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49"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the Prospectus dated January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92710</wp:posOffset>
            </wp:positionV>
            <wp:extent cx="17659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$165,000,000</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4.00%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4"/>
          <w:szCs w:val="24"/>
          <w:color w:val="auto"/>
        </w:rPr>
      </w:pPr>
    </w:p>
    <w:p>
      <w:pPr>
        <w:ind w:left="120" w:right="100"/>
        <w:spacing w:after="0" w:line="229" w:lineRule="auto"/>
        <w:rPr>
          <w:sz w:val="20"/>
          <w:szCs w:val="20"/>
          <w:color w:val="auto"/>
        </w:rPr>
      </w:pPr>
      <w:r>
        <w:rPr>
          <w:rFonts w:ascii="Arial" w:cs="Arial" w:eastAsia="Arial" w:hAnsi="Arial"/>
          <w:sz w:val="14"/>
          <w:szCs w:val="14"/>
          <w:color w:val="auto"/>
        </w:rPr>
        <w:t>PennantPark Investment Corporation is offering for sale $165.0 million in aggregate principal amount of 4.00% notes due 2026, which we refer to as the Notes. The Notes will mature on November 1, 2026. We will pay interest on the Notes semi-annually in arrears on May 1 and November 1 of each year, beginning on May 1, 2022. We may redeem the Notes in whole or in part at any time or from time to time at the redemption price discussed under the caption “</w:t>
      </w:r>
      <w:r>
        <w:rPr>
          <w:rFonts w:ascii="Arial" w:cs="Arial" w:eastAsia="Arial" w:hAnsi="Arial"/>
          <w:sz w:val="14"/>
          <w:szCs w:val="14"/>
          <w:i w:val="1"/>
          <w:iCs w:val="1"/>
          <w:color w:val="auto"/>
        </w:rPr>
        <w:t>Description of the Notes—Optional redemption</w:t>
      </w:r>
      <w:r>
        <w:rPr>
          <w:rFonts w:ascii="Arial" w:cs="Arial" w:eastAsia="Arial" w:hAnsi="Arial"/>
          <w:sz w:val="14"/>
          <w:szCs w:val="14"/>
          <w:color w:val="auto"/>
        </w:rPr>
        <w:t>”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77" w:lineRule="exact"/>
        <w:rPr>
          <w:sz w:val="24"/>
          <w:szCs w:val="24"/>
          <w:color w:val="auto"/>
        </w:rPr>
      </w:pPr>
    </w:p>
    <w:p>
      <w:pPr>
        <w:ind w:left="120" w:right="40"/>
        <w:spacing w:after="0" w:line="244" w:lineRule="auto"/>
        <w:rPr>
          <w:sz w:val="20"/>
          <w:szCs w:val="20"/>
          <w:color w:val="auto"/>
        </w:rPr>
      </w:pPr>
      <w:r>
        <w:rPr>
          <w:rFonts w:ascii="Arial" w:cs="Arial" w:eastAsia="Arial" w:hAnsi="Arial"/>
          <w:sz w:val="13"/>
          <w:szCs w:val="13"/>
          <w:color w:val="auto"/>
        </w:rPr>
        <w:t xml:space="preserve">The Notes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current and future unsecured unsubordinated indebtedness issued by PennantPark Investment Corporation.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Investment Corporation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June 30, 2021, we had approximately $514.3 million of debt outstanding, of which approximately $236.3 million was unsecured and unsubordinated indebtedness, approximately $214.5 million was indebtedness secured by substantially all of our assets (excluding assets held by our consolidated subsidiary, PennantPark SBIC II LP, or SBIC II) and $63.5 million was indebtedness secured by all the investment portfolio assets of SBIC II. None of our current indebtedness will be subordinated to the Notes. Currently, there is no public market for the Notes. We do not intend to list the Notes on any securities exchange or automated dealer quotation system.</w:t>
      </w:r>
    </w:p>
    <w:p>
      <w:pPr>
        <w:spacing w:after="0" w:line="77" w:lineRule="exact"/>
        <w:rPr>
          <w:sz w:val="24"/>
          <w:szCs w:val="24"/>
          <w:color w:val="auto"/>
        </w:rPr>
      </w:pPr>
    </w:p>
    <w:p>
      <w:pPr>
        <w:ind w:left="120" w:right="60"/>
        <w:spacing w:after="0" w:line="227"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78"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w:t>
      </w:r>
      <w:r>
        <w:rPr>
          <w:rFonts w:ascii="Arial" w:cs="Arial" w:eastAsia="Arial" w:hAnsi="Arial"/>
          <w:sz w:val="11"/>
          <w:szCs w:val="11"/>
          <w:color w:val="auto"/>
        </w:rPr>
        <w:t>th</w:t>
      </w:r>
      <w:r>
        <w:rPr>
          <w:rFonts w:ascii="Arial" w:cs="Arial" w:eastAsia="Arial" w:hAnsi="Arial"/>
          <w:sz w:val="13"/>
          <w:szCs w:val="13"/>
          <w:color w:val="auto"/>
        </w:rPr>
        <w:t xml:space="preserve">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67" w:lineRule="exact"/>
        <w:rPr>
          <w:sz w:val="24"/>
          <w:szCs w:val="24"/>
          <w:color w:val="auto"/>
        </w:rPr>
      </w:pPr>
    </w:p>
    <w:p>
      <w:pPr>
        <w:jc w:val="both"/>
        <w:ind w:left="120" w:righ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a high degree of risk, including the risk of leverage. Before buying any of the Notes, you should read the discussion of the material risks of investing in us in “</w:t>
      </w:r>
      <w:hyperlink w:anchor="page14">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color w:val="auto"/>
        </w:rPr>
        <w:t>” beginning on page S-12 of this prospectus supplement and page 7 of the accompanying prospectus, in our most recent Annual Report on Form 10-K, in any subsequent Quarterly Reports on Form 10-Q and in any of our other filings incorporated by reference herein.</w:t>
      </w:r>
    </w:p>
    <w:p>
      <w:pPr>
        <w:spacing w:after="0" w:line="71" w:lineRule="exact"/>
        <w:rPr>
          <w:sz w:val="24"/>
          <w:szCs w:val="24"/>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9" w:lineRule="exact"/>
        <w:rPr>
          <w:sz w:val="24"/>
          <w:szCs w:val="24"/>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72"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96"/>
        </w:trPr>
        <w:tc>
          <w:tcPr>
            <w:tcW w:w="6420" w:type="dxa"/>
            <w:vAlign w:val="bottom"/>
            <w:shd w:val="clear" w:color="auto" w:fill="CCEEFF"/>
          </w:tcPr>
          <w:p>
            <w:pPr>
              <w:spacing w:after="0" w:line="195"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22"/>
                <w:szCs w:val="22"/>
                <w:color w:val="auto"/>
                <w:vertAlign w:val="superscript"/>
              </w:rPr>
              <w:t>(1)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99.436%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164,069,400</w:t>
            </w:r>
          </w:p>
        </w:tc>
        <w:tc>
          <w:tcPr>
            <w:tcW w:w="40" w:type="dxa"/>
            <w:vAlign w:val="bottom"/>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Underwriting discount (sales load)</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3,300,000</w:t>
            </w:r>
          </w:p>
        </w:tc>
        <w:tc>
          <w:tcPr>
            <w:tcW w:w="4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23"/>
                <w:szCs w:val="23"/>
                <w:color w:val="auto"/>
                <w:vertAlign w:val="superscript"/>
              </w:rPr>
              <w:t>(2)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97.436%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160,769,400</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4"/>
          <w:szCs w:val="24"/>
          <w:color w:val="auto"/>
        </w:rPr>
      </w:pPr>
    </w:p>
    <w:p>
      <w:pPr>
        <w:ind w:left="540" w:right="320" w:hanging="424"/>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set forth above does not include accrued interest, if any. Interest on the Notes will accrue from October 21, 2021 and must be paid by the purchaser if the Notes are delivered after October 21, 2021.</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expenses of the offering payable by us, excluding the underwriting discount, are estimated to be $250,000.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p>
      <w:pPr>
        <w:spacing w:after="0" w:line="8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Delivery of the Notes in book-entry form through The Depository Trust Company, or DTC, will be made on or about October 21, 2021.</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Joint Book-Running Managers</w:t>
      </w:r>
    </w:p>
    <w:p>
      <w:pPr>
        <w:sectPr>
          <w:pgSz w:w="11900" w:h="16838" w:orient="portrait"/>
          <w:cols w:equalWidth="0" w:num="1">
            <w:col w:w="11140"/>
          </w:cols>
          <w:pgMar w:left="320" w:top="230" w:right="439" w:bottom="1440" w:gutter="0" w:footer="0" w:header="0"/>
        </w:sectPr>
      </w:pPr>
    </w:p>
    <w:p>
      <w:pPr>
        <w:spacing w:after="0" w:line="122"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Truist Securities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62" w:lineRule="exact"/>
        <w:rPr>
          <w:sz w:val="24"/>
          <w:szCs w:val="24"/>
          <w:color w:val="auto"/>
        </w:rPr>
      </w:pPr>
    </w:p>
    <w:p>
      <w:pPr>
        <w:sectPr>
          <w:pgSz w:w="11900" w:h="16838" w:orient="portrait"/>
          <w:cols w:equalWidth="0" w:num="4">
            <w:col w:w="2260" w:space="720"/>
            <w:col w:w="2560" w:space="720"/>
            <w:col w:w="2280" w:space="720"/>
            <w:col w:w="1880"/>
          </w:cols>
          <w:pgMar w:left="320" w:top="230" w:right="439" w:bottom="1440" w:gutter="0" w:footer="0" w:header="0"/>
          <w:type w:val="continuous"/>
        </w:sectPr>
      </w:pPr>
    </w:p>
    <w:p>
      <w:pPr>
        <w:ind w:left="4200"/>
        <w:spacing w:after="0"/>
        <w:rPr>
          <w:sz w:val="20"/>
          <w:szCs w:val="20"/>
          <w:color w:val="auto"/>
        </w:rPr>
      </w:pPr>
      <w:r>
        <w:rPr>
          <w:rFonts w:ascii="Arial" w:cs="Arial" w:eastAsia="Arial" w:hAnsi="Arial"/>
          <w:sz w:val="16"/>
          <w:szCs w:val="16"/>
          <w:i w:val="1"/>
          <w:iCs w:val="1"/>
          <w:color w:val="auto"/>
        </w:rPr>
        <w:t>A Stifel Company</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i w:val="1"/>
          <w:iCs w:val="1"/>
          <w:color w:val="auto"/>
        </w:rPr>
        <w:t>Co-Managers</w:t>
      </w:r>
    </w:p>
    <w:p>
      <w:pPr>
        <w:sectPr>
          <w:pgSz w:w="11900" w:h="16838" w:orient="portrait"/>
          <w:cols w:equalWidth="0" w:num="1">
            <w:col w:w="11140"/>
          </w:cols>
          <w:pgMar w:left="320" w:top="230" w:right="439" w:bottom="1440" w:gutter="0" w:footer="0" w:header="0"/>
          <w:type w:val="continuous"/>
        </w:sectPr>
      </w:pPr>
    </w:p>
    <w:p>
      <w:pPr>
        <w:spacing w:after="0" w:line="44"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Compass Point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JMP Securities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Ladenburg Thalmann</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Oppenheimer &amp; Co.</w:t>
      </w:r>
    </w:p>
    <w:p>
      <w:pPr>
        <w:spacing w:after="0" w:line="200" w:lineRule="exact"/>
        <w:rPr>
          <w:sz w:val="24"/>
          <w:szCs w:val="24"/>
          <w:color w:val="auto"/>
        </w:rPr>
      </w:pPr>
    </w:p>
    <w:p>
      <w:pPr>
        <w:sectPr>
          <w:pgSz w:w="11900" w:h="16838" w:orient="portrait"/>
          <w:cols w:equalWidth="0" w:num="4">
            <w:col w:w="2460" w:space="720"/>
            <w:col w:w="2320" w:space="720"/>
            <w:col w:w="2640" w:space="720"/>
            <w:col w:w="1560"/>
          </w:cols>
          <w:pgMar w:left="320" w:top="230" w:right="439" w:bottom="1440" w:gutter="0" w:footer="0" w:header="0"/>
          <w:type w:val="continuous"/>
        </w:sectPr>
      </w:pP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The date of this prospectus supplement is October 14,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60" w:type="dxa"/>
            <w:vAlign w:val="bottom"/>
            <w:gridSpan w:val="3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8"/>
              </w:rPr>
              <w:t>TABLE OF CONTENTS</w:t>
            </w:r>
          </w:p>
        </w:tc>
        <w:tc>
          <w:tcPr>
            <w:tcW w:w="40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7"/>
              </w:rPr>
              <w:t>PROSPECTUS SUPPLEMENT</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3500" w:type="dxa"/>
            <w:vAlign w:val="bottom"/>
            <w:gridSpan w:val="9"/>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5660" w:type="dxa"/>
            <w:vAlign w:val="bottom"/>
            <w:gridSpan w:val="2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STATEMENTS</w:t>
              </w:r>
            </w:hyperlink>
          </w:p>
        </w:tc>
        <w:tc>
          <w:tcPr>
            <w:tcW w:w="3660" w:type="dxa"/>
            <w:vAlign w:val="bottom"/>
            <w:gridSpan w:val="1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USE OF PROCEEDS</w:t>
              </w:r>
            </w:hyperlink>
          </w:p>
        </w:tc>
        <w:tc>
          <w:tcPr>
            <w:tcW w:w="5360" w:type="dxa"/>
            <w:vAlign w:val="bottom"/>
            <w:gridSpan w:val="2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CAPITALIZATION</w:t>
              </w:r>
            </w:hyperlink>
          </w:p>
        </w:tc>
        <w:tc>
          <w:tcPr>
            <w:tcW w:w="5460" w:type="dxa"/>
            <w:vAlign w:val="bottom"/>
            <w:gridSpan w:val="2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THE NOTES</w:t>
              </w:r>
            </w:hyperlink>
          </w:p>
        </w:tc>
        <w:tc>
          <w:tcPr>
            <w:tcW w:w="4480" w:type="dxa"/>
            <w:vAlign w:val="bottom"/>
            <w:gridSpan w:val="1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S-36</w:t>
            </w:r>
          </w:p>
        </w:tc>
      </w:tr>
      <w:tr>
        <w:trPr>
          <w:trHeight w:val="196"/>
        </w:trPr>
        <w:tc>
          <w:tcPr>
            <w:tcW w:w="12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UNDERWRITING</w:t>
              </w:r>
            </w:hyperlink>
          </w:p>
        </w:tc>
        <w:tc>
          <w:tcPr>
            <w:tcW w:w="224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S-40</w:t>
            </w:r>
          </w:p>
        </w:tc>
      </w:tr>
      <w:tr>
        <w:trPr>
          <w:trHeight w:val="20"/>
        </w:trPr>
        <w:tc>
          <w:tcPr>
            <w:tcW w:w="12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INDEPENDENT REGISTERED PUBLIC ACCOUNTING FIRM</w:t>
              </w:r>
            </w:hyperlink>
          </w:p>
        </w:tc>
        <w:tc>
          <w:tcPr>
            <w:tcW w:w="21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S-47</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PROSPECTUS</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PROSPECTUS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FEES AND EXPENSES</w:t>
              </w:r>
            </w:hyperlink>
          </w:p>
        </w:tc>
        <w:tc>
          <w:tcPr>
            <w:tcW w:w="4860" w:type="dxa"/>
            <w:vAlign w:val="bottom"/>
            <w:gridSpan w:val="2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5160" w:type="dxa"/>
            <w:vAlign w:val="bottom"/>
            <w:gridSpan w:val="2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FORWARD-LOOKING STATEMENTS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2"/>
          </w:tcPr>
          <w:p>
            <w:pPr>
              <w:spacing w:after="0"/>
              <w:rPr>
                <w:sz w:val="17"/>
                <w:szCs w:val="17"/>
                <w:color w:val="auto"/>
              </w:rPr>
            </w:pPr>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PRICE RANGE OF COMMON STOCK</w:t>
              </w:r>
            </w:hyperlink>
          </w:p>
        </w:tc>
        <w:tc>
          <w:tcPr>
            <w:tcW w:w="3980" w:type="dxa"/>
            <w:vAlign w:val="bottom"/>
            <w:gridSpan w:val="1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SALES OF COMMON STOCK BELOW NET ASSET VALUE</w:t>
              </w:r>
            </w:hyperlink>
          </w:p>
        </w:tc>
        <w:tc>
          <w:tcPr>
            <w:tcW w:w="230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DISTRIBUTIONS</w:t>
              </w:r>
            </w:hyperlink>
          </w:p>
        </w:tc>
        <w:tc>
          <w:tcPr>
            <w:tcW w:w="5560" w:type="dxa"/>
            <w:vAlign w:val="bottom"/>
            <w:gridSpan w:val="2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PORTFOLIO COMPANIES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PORTFOLIO MANAGEMENT</w:t>
              </w:r>
            </w:hyperlink>
          </w:p>
        </w:tc>
        <w:tc>
          <w:tcPr>
            <w:tcW w:w="4620" w:type="dxa"/>
            <w:vAlign w:val="bottom"/>
            <w:gridSpan w:val="1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DETERMINATION OF NET ASSET VALUE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DIVIDEND REINVESTMENT PLAN</w:t>
              </w:r>
            </w:hyperlink>
          </w:p>
        </w:tc>
        <w:tc>
          <w:tcPr>
            <w:tcW w:w="540" w:type="dxa"/>
            <w:vAlign w:val="bottom"/>
            <w:tcBorders>
              <w:top w:val="single" w:sz="8" w:color="0000EE"/>
            </w:tcBorders>
            <w:gridSpan w:val="6"/>
          </w:tcPr>
          <w:p>
            <w:pPr>
              <w:spacing w:after="0"/>
              <w:rPr>
                <w:sz w:val="17"/>
                <w:szCs w:val="17"/>
                <w:color w:val="auto"/>
              </w:rPr>
            </w:pPr>
          </w:p>
        </w:tc>
        <w:tc>
          <w:tcPr>
            <w:tcW w:w="3580" w:type="dxa"/>
            <w:vAlign w:val="bottom"/>
            <w:gridSpan w:val="10"/>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CAPITAL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OUR PREFERRED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OUR WARRANTS</w:t>
              </w:r>
            </w:hyperlink>
          </w:p>
        </w:tc>
        <w:tc>
          <w:tcPr>
            <w:tcW w:w="3380" w:type="dxa"/>
            <w:vAlign w:val="bottom"/>
            <w:gridSpan w:val="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SUBSCRIPTION RIGHTS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DEBT SECURITIES</w:t>
              </w:r>
            </w:hyperlink>
          </w:p>
        </w:tc>
        <w:tc>
          <w:tcPr>
            <w:tcW w:w="3060" w:type="dxa"/>
            <w:vAlign w:val="bottom"/>
            <w:gridSpan w:val="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DESCRIPTION OF OUR UNITS</w:t>
              </w:r>
            </w:hyperlink>
          </w:p>
        </w:tc>
        <w:tc>
          <w:tcPr>
            <w:tcW w:w="350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BROKERAGE ALLOCATIONS AND OTHER PRACTICES</w:t>
              </w:r>
            </w:hyperlink>
          </w:p>
        </w:tc>
        <w:tc>
          <w:tcPr>
            <w:tcW w:w="2460" w:type="dxa"/>
            <w:vAlign w:val="bottom"/>
            <w:gridSpan w:val="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208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80" w:type="dxa"/>
            <w:vAlign w:val="bottom"/>
            <w:gridSpan w:val="1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SUB-ADMINISTRATOR, CUSTODIAN, TRANSFER AGENT AND TRUSTEE</w:t>
              </w:r>
            </w:hyperlink>
          </w:p>
        </w:tc>
        <w:tc>
          <w:tcPr>
            <w:tcW w:w="100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INDEPENDENT REGISTERED PUBLIC ACCOUNTING FIRM/INDEPENDENT AUDITOR</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 and any documents incorporated by reference. Please carefully read this prospectus supplement and the accompanying prospectus together with any free writing prospectus that we have authorized for use in connection with this offering and any documents incorporated by reference before you make an investment decision.</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IS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Arial" w:cs="Arial" w:eastAsia="Arial" w:hAnsi="Arial"/>
          <w:sz w:val="16"/>
          <w:szCs w:val="16"/>
          <w:i w:val="1"/>
          <w:iCs w:val="1"/>
          <w:color w:val="auto"/>
        </w:rPr>
        <w:t>Description of the Notes</w:t>
      </w:r>
      <w:r>
        <w:rPr>
          <w:rFonts w:ascii="Arial" w:cs="Arial" w:eastAsia="Arial" w:hAnsi="Arial"/>
          <w:sz w:val="16"/>
          <w:szCs w:val="16"/>
          <w:color w:val="auto"/>
        </w:rPr>
        <w:t>” in this prospectus supplement and under the heading “</w:t>
      </w:r>
      <w:r>
        <w:rPr>
          <w:rFonts w:ascii="Arial" w:cs="Arial" w:eastAsia="Arial" w:hAnsi="Arial"/>
          <w:sz w:val="16"/>
          <w:szCs w:val="16"/>
          <w:i w:val="1"/>
          <w:iCs w:val="1"/>
          <w:color w:val="auto"/>
        </w:rPr>
        <w:t>Description of Our Debt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in the accompanying prospectus before investing in the Notes. Capitalized terms used in this prospectus supplement and not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will have the meanings ascribed to them in the accompanying prospectus or in the indenture governing the Notes.</w:t>
      </w:r>
    </w:p>
    <w:p>
      <w:pPr>
        <w:sectPr>
          <w:pgSz w:w="11900" w:h="16838" w:orient="portrait"/>
          <w:cols w:equalWidth="0" w:num="1">
            <w:col w:w="11120"/>
          </w:cols>
          <w:pgMar w:left="320" w:top="459" w:right="45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160"/>
        <w:spacing w:after="0"/>
        <w:rPr>
          <w:sz w:val="20"/>
          <w:szCs w:val="20"/>
          <w:color w:val="auto"/>
        </w:rPr>
      </w:pPr>
      <w:r>
        <w:rPr>
          <w:rFonts w:ascii="Arial" w:cs="Arial" w:eastAsia="Arial" w:hAnsi="Arial"/>
          <w:sz w:val="16"/>
          <w:szCs w:val="16"/>
          <w:color w:val="auto"/>
        </w:rPr>
        <w:t>PennantPark Investment Corporation</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4.00% Notes due 2026</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$165.0 million</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3700"/>
        <w:spacing w:after="0"/>
        <w:rPr>
          <w:sz w:val="20"/>
          <w:szCs w:val="20"/>
          <w:color w:val="auto"/>
        </w:rPr>
      </w:pPr>
      <w:r>
        <w:rPr>
          <w:rFonts w:ascii="Arial" w:cs="Arial" w:eastAsia="Arial" w:hAnsi="Arial"/>
          <w:sz w:val="16"/>
          <w:szCs w:val="16"/>
          <w:color w:val="auto"/>
        </w:rPr>
        <w:t>99.436% of the aggregate principal amount</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payable at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100% of the aggregate principal amount; the principal amount of each Note will be payable on its stated maturity date at the office of the paying agent, registrar and transfer agent for the Notes or at such other office in New York City as we may designate.</w:t>
      </w:r>
    </w:p>
    <w:p>
      <w:pPr>
        <w:spacing w:after="0" w:line="192"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Type of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Fixed-rate note</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established trading market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do not intend to list the Notes on any securities exchange or automated dealer quotation system. Although the underwriters have informed us that they intend to make a market in the Notes, they are not obligated to do so, and may discontinue any such market at any time without notice. Accordingly, we cannot assure you that a liquid market for the Notes will develop or be maintained.</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4.00% per year</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4.125%</w:t>
      </w:r>
    </w:p>
    <w:p>
      <w:pPr>
        <w:spacing w:after="0" w:line="211"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 count basis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360-day year of twelve 30-day months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October 21, 2021</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Stated 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 2026</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interest starts accruing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October 21, 2021</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Payable semi-annually in arrears every May 1, and November 1, commencing May 1, 2022. If an interest payment date is a non-business day, the applicable interest payment will be made on the next business day, and no additional interest will accrue as a result of such delayed payment.</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periods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The initial interest period will be the period from and including October 21, 2021, to, but not including, the initial interest payment date,</w:t>
      </w:r>
    </w:p>
    <w:p>
      <w:pPr>
        <w:spacing w:after="0" w:line="103"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120"/>
          </w:cols>
          <w:pgMar w:left="320" w:top="459"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Regular record dates for interest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Specified currency</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Place of payment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Ranking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Denominations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day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the subsequent interest periods will be the periods from and including an interest payment date to, but not including, the next interest payment date or the stated maturity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-962660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Every April 15, and October 15, commencing April 15, 2022 (whether or not a business day).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U.S. Dollars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City of New York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our direct unsecured obligations and will rank:</w:t>
      </w:r>
    </w:p>
    <w:p>
      <w:pPr>
        <w:spacing w:after="0" w:line="144" w:lineRule="exact"/>
        <w:rPr>
          <w:sz w:val="20"/>
          <w:szCs w:val="20"/>
          <w:color w:val="auto"/>
        </w:rPr>
      </w:pPr>
    </w:p>
    <w:p>
      <w:pPr>
        <w:ind w:left="220" w:right="280" w:hanging="219"/>
        <w:spacing w:after="0" w:line="275"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any existing and future unsecured unsubordinated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including approximately $86.3 million in aggregate principal amount outstanding under our 5.50% Notes due 2024, or the 2024 Notes, and $150.0 million in aggregate principal amount outstanding under our 4.50% Notes due 2026, or the 2026 Notes, each as of June 30, 2021;</w:t>
      </w:r>
    </w:p>
    <w:p>
      <w:pPr>
        <w:spacing w:after="0" w:line="81" w:lineRule="exact"/>
        <w:rPr>
          <w:rFonts w:ascii="Arial" w:cs="Arial" w:eastAsia="Arial" w:hAnsi="Arial"/>
          <w:sz w:val="17"/>
          <w:szCs w:val="17"/>
          <w:color w:val="auto"/>
        </w:rPr>
      </w:pPr>
    </w:p>
    <w:p>
      <w:pPr>
        <w:ind w:left="220" w:right="180" w:hanging="219"/>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75" w:lineRule="exact"/>
        <w:rPr>
          <w:rFonts w:ascii="Arial" w:cs="Arial" w:eastAsia="Arial" w:hAnsi="Arial"/>
          <w:sz w:val="18"/>
          <w:szCs w:val="18"/>
          <w:color w:val="auto"/>
        </w:rPr>
      </w:pPr>
    </w:p>
    <w:p>
      <w:pPr>
        <w:ind w:left="220" w:hanging="219"/>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220" w:hanging="219"/>
        <w:spacing w:after="0" w:line="272"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$214.5 million of borrowings outstanding under our multi-currency, senior secured revolving credit facility with Truist Bank (formerly SunTrust Bank), as amended and restated, or the Truist Credit Facility, to the extent of the value of the assets securing the Truist Credit Facility, as of June 30, 2021; and</w:t>
      </w:r>
    </w:p>
    <w:p>
      <w:pPr>
        <w:spacing w:after="0" w:line="82" w:lineRule="exact"/>
        <w:rPr>
          <w:rFonts w:ascii="Arial" w:cs="Arial" w:eastAsia="Arial" w:hAnsi="Arial"/>
          <w:sz w:val="17"/>
          <w:szCs w:val="17"/>
          <w:color w:val="auto"/>
        </w:rPr>
      </w:pPr>
    </w:p>
    <w:p>
      <w:pPr>
        <w:ind w:left="220" w:right="20" w:hanging="219"/>
        <w:spacing w:after="0" w:line="25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$63.5 million of indebtedness outstanding under our Small Business Administration, or SBA, debentures as of June 30, 2021.</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issue the Notes in denominations of $2,000 and integral multiples of $1,000 in excess thereof.</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day other than a Saturday, a Sunday or a day on which banking institutions in New York or the city in which the corporate trust office of the trustee is located are authorized or obligated by law or executive order to close.</w:t>
      </w:r>
    </w:p>
    <w:p>
      <w:pPr>
        <w:spacing w:after="0" w:line="21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may redeem some or all of the Notes at any time, or from time to time, upon not less than 30 days’ nor more than 60 days’ written notice prior to the date fixed for redemption thereof, at a redemption price equal to the greater of (1) 100% of the principal amount of the</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S-3</w:t>
      </w:r>
    </w:p>
    <w:p>
      <w:pPr>
        <w:sectPr>
          <w:pgSz w:w="11900" w:h="16838" w:orient="portrait"/>
          <w:cols w:equalWidth="0" w:num="2">
            <w:col w:w="3580" w:space="720"/>
            <w:col w:w="6780"/>
          </w:cols>
          <w:pgMar w:left="320" w:top="459"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0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Notes to be redeemed or (2) the sum of the present values of the remaining scheduled</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payments of principal and interest (exclusive of accrued and unpaid interest to the date of</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89"/>
              </w:rPr>
              <w:t>redemption) on the Notes to be redeemed, discounted to the redemption date on a semi-annual</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basis (assuming a 360-day year consisting of twelve 30-day months) using the applicable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Treasury Rate plus 50 basis points, plus, in each case, accrued and unpaid interest to, but not</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 xml:space="preserve">including, the redemption date;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however</w:t>
            </w:r>
            <w:r>
              <w:rPr>
                <w:rFonts w:ascii="Arial" w:cs="Arial" w:eastAsia="Arial" w:hAnsi="Arial"/>
                <w:sz w:val="18"/>
                <w:szCs w:val="18"/>
                <w:color w:val="auto"/>
                <w:w w:val="94"/>
              </w:rPr>
              <w:t>, that if we redeem any Notes on or after</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August 1, 2026 (the date falling three months prior to the maturity date of the Notes), the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redemption price for the Notes will be equal to 100% of the principal amount of the Notes to</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be redeemed, plus accrued and unpaid interest, if any, to, but not including, the date of</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redemption.</w:t>
            </w:r>
          </w:p>
        </w:tc>
      </w:tr>
      <w:tr>
        <w:trPr>
          <w:trHeight w:val="458"/>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Any exercise of our option to redeem the Notes will be done in compliance with the 1940 Act</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and the related rules, regulations and interpretations, to the extent applicable.</w:t>
            </w:r>
          </w:p>
        </w:tc>
      </w:tr>
      <w:tr>
        <w:trPr>
          <w:trHeight w:val="445"/>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If we redeem only some of the Notes, the trustee or DTC, as applicable, will determine the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method for selection of the particular Notes to be redeemed, in accordance with the 1940 Act,</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to the extent applicable. Unless we default in payment of the redemption price, on and after</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the date of redemption interest will cease to accrue on the Notes called for redemption.</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Sinking fund</w:t>
            </w:r>
          </w:p>
        </w:tc>
        <w:tc>
          <w:tcPr>
            <w:tcW w:w="7020" w:type="dxa"/>
            <w:vAlign w:val="bottom"/>
          </w:tcPr>
          <w:p>
            <w:pPr>
              <w:ind w:left="200"/>
              <w:spacing w:after="0"/>
              <w:rPr>
                <w:sz w:val="20"/>
                <w:szCs w:val="20"/>
                <w:color w:val="auto"/>
              </w:rPr>
            </w:pPr>
            <w:r>
              <w:rPr>
                <w:rFonts w:ascii="Arial" w:cs="Arial" w:eastAsia="Arial" w:hAnsi="Arial"/>
                <w:sz w:val="18"/>
                <w:szCs w:val="18"/>
                <w:color w:val="auto"/>
              </w:rPr>
              <w:t>The Notes will not be subject to any sinking fund.</w:t>
            </w:r>
          </w:p>
        </w:tc>
      </w:tr>
      <w:tr>
        <w:trPr>
          <w:trHeight w:val="458"/>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Offer to Repurchase upon a Change of Control</w:t>
            </w: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If a Change of Control Repurchase Event occurs prior to maturity, unless we have exercised</w:t>
            </w: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Repurchase Event</w:t>
            </w: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our right to redeem the Notes in full, holders of the Notes will have the right, at their option, to</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require us to repurchase for cash some or all of the Notes at a repurchase price equal to 100%</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of the principal amount of the Notes being repurchased, plus accrued and unpaid interest to,</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but not including, the repurchase date.</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Defeasance</w:t>
            </w:r>
          </w:p>
        </w:tc>
        <w:tc>
          <w:tcPr>
            <w:tcW w:w="7020" w:type="dxa"/>
            <w:vAlign w:val="bottom"/>
          </w:tcPr>
          <w:p>
            <w:pPr>
              <w:ind w:left="200"/>
              <w:spacing w:after="0"/>
              <w:rPr>
                <w:sz w:val="20"/>
                <w:szCs w:val="20"/>
                <w:color w:val="auto"/>
              </w:rPr>
            </w:pPr>
            <w:r>
              <w:rPr>
                <w:rFonts w:ascii="Arial" w:cs="Arial" w:eastAsia="Arial" w:hAnsi="Arial"/>
                <w:sz w:val="18"/>
                <w:szCs w:val="18"/>
                <w:color w:val="auto"/>
              </w:rPr>
              <w:t>The Notes are subject to defeasance by us.</w:t>
            </w:r>
          </w:p>
        </w:tc>
      </w:tr>
      <w:tr>
        <w:trPr>
          <w:trHeight w:val="473"/>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Covenant defeasance</w:t>
            </w:r>
          </w:p>
        </w:tc>
        <w:tc>
          <w:tcPr>
            <w:tcW w:w="7020" w:type="dxa"/>
            <w:vAlign w:val="bottom"/>
          </w:tcPr>
          <w:p>
            <w:pPr>
              <w:ind w:left="200"/>
              <w:spacing w:after="0"/>
              <w:rPr>
                <w:sz w:val="20"/>
                <w:szCs w:val="20"/>
                <w:color w:val="auto"/>
              </w:rPr>
            </w:pPr>
            <w:r>
              <w:rPr>
                <w:rFonts w:ascii="Arial" w:cs="Arial" w:eastAsia="Arial" w:hAnsi="Arial"/>
                <w:sz w:val="18"/>
                <w:szCs w:val="18"/>
                <w:color w:val="auto"/>
              </w:rPr>
              <w:t>The Notes are subject to covenant defeasance by us.</w:t>
            </w:r>
          </w:p>
        </w:tc>
      </w:tr>
      <w:tr>
        <w:trPr>
          <w:trHeight w:val="458"/>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Form of Notes</w:t>
            </w: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The Notes will be represented by global securities that will be deposited and registered in the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name of DTC or its nominee. This means that, except in limited circumstances, you will not</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receive certificates for the Notes. Beneficial interests in the Notes will be represented through</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book-entry accounts of financial institutions acting on behalf of beneficial owners as direct</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and indirect participants in DTC. Investors may elect to hold interests in the Notes through</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either DTC, if they are a participant, or indirectly through organizations that are participants in</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DTC.</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w w:val="94"/>
              </w:rPr>
              <w:t>Trustee, Paying Agent, Registrar and Transfer Agent</w:t>
            </w:r>
          </w:p>
        </w:tc>
        <w:tc>
          <w:tcPr>
            <w:tcW w:w="7020" w:type="dxa"/>
            <w:vAlign w:val="bottom"/>
          </w:tcPr>
          <w:p>
            <w:pPr>
              <w:ind w:left="200"/>
              <w:spacing w:after="0"/>
              <w:rPr>
                <w:sz w:val="20"/>
                <w:szCs w:val="20"/>
                <w:color w:val="auto"/>
              </w:rPr>
            </w:pPr>
            <w:r>
              <w:rPr>
                <w:rFonts w:ascii="Arial" w:cs="Arial" w:eastAsia="Arial" w:hAnsi="Arial"/>
                <w:sz w:val="18"/>
                <w:szCs w:val="18"/>
                <w:color w:val="auto"/>
              </w:rPr>
              <w:t>American Stock Transfer &amp; Trust Company, LLC</w:t>
            </w:r>
          </w:p>
        </w:tc>
      </w:tr>
      <w:tr>
        <w:trPr>
          <w:trHeight w:val="378"/>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Arial" w:cs="Arial" w:eastAsia="Arial" w:hAnsi="Arial"/>
                <w:sz w:val="18"/>
                <w:szCs w:val="18"/>
                <w:color w:val="auto"/>
              </w:rPr>
              <w:t>S-4</w:t>
            </w:r>
          </w:p>
        </w:tc>
      </w:tr>
    </w:tbl>
    <w:p>
      <w:pPr>
        <w:ind w:left="140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46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519"/>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Other covenants</w:t>
            </w:r>
          </w:p>
        </w:tc>
        <w:tc>
          <w:tcPr>
            <w:tcW w:w="7280" w:type="dxa"/>
            <w:vAlign w:val="bottom"/>
          </w:tcPr>
          <w:p>
            <w:pPr>
              <w:ind w:left="48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2"/>
              </w:rPr>
              <w:t>violate Section 18(a)(1)(A) of the 1940 Act, as modified by Section 61(a)(1) and (2)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89"/>
              </w:rPr>
              <w:t>1940 Act or any successor provisions, as such obligations may be amended or superseded,</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giving effect to any exemptive relief granted to us by the SEC.</w:t>
            </w: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3"/>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0"/>
              </w:rPr>
              <w:t>the Securities Exchange Act of 1934, as amended, or the Exchange Act, to file any periodic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3"/>
              </w:rPr>
              <w:t>reports with the SEC, we agree to publish on our website and to furnish to holders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3"/>
              </w:rPr>
              <w:t>Notes and the trustee, for the period of time during which the Notes are outstanding, our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0"/>
              </w:rPr>
              <w:t>audited annual consolidated financial statements, within 90 days of our fiscal year end, and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4"/>
              </w:rPr>
              <w:t>unaudited interim consolidated financial statements, within 45 days of our fiscal quarter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2"/>
              </w:rPr>
              <w:t>end (other than our fourth fiscal quarter). All such financial statements will be prepared, in</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4"/>
              </w:rPr>
              <w:t>all material respects, in accordance with applicable U.S. generally accepted accounting</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principles, or GAAP.</w:t>
            </w:r>
          </w:p>
        </w:tc>
      </w:tr>
      <w:tr>
        <w:trPr>
          <w:trHeight w:val="338"/>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If an event of default (as described under “</w:t>
            </w:r>
            <w:r>
              <w:rPr>
                <w:rFonts w:ascii="Arial" w:cs="Arial" w:eastAsia="Arial" w:hAnsi="Arial"/>
                <w:sz w:val="18"/>
                <w:szCs w:val="18"/>
                <w:i w:val="1"/>
                <w:iCs w:val="1"/>
                <w:color w:val="auto"/>
                <w:w w:val="91"/>
              </w:rPr>
              <w:t>Description of the Notes</w:t>
            </w:r>
            <w:r>
              <w:rPr>
                <w:rFonts w:ascii="Arial" w:cs="Arial" w:eastAsia="Arial" w:hAnsi="Arial"/>
                <w:sz w:val="18"/>
                <w:szCs w:val="18"/>
                <w:color w:val="auto"/>
                <w:w w:val="91"/>
              </w:rPr>
              <w:t>”) on the Notes occurs,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involving the Company.</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Further Issuances</w:t>
            </w: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We have the ability to issue additional debt securities under the indenture with terms different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4"/>
              </w:rPr>
              <w:t>from the Notes and, without consent of the holders thereof, to issue additional Notes. If we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5"/>
              </w:rPr>
              <w:t>issue additional debt securities, these additional debt securities could have a lien or other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security interest greater than that accorded to the holders of the Notes, which are unsecured.</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Global Clearance and Settlement Procedures</w:t>
            </w:r>
          </w:p>
        </w:tc>
        <w:tc>
          <w:tcPr>
            <w:tcW w:w="7280" w:type="dxa"/>
            <w:vAlign w:val="bottom"/>
          </w:tcPr>
          <w:p>
            <w:pPr>
              <w:ind w:left="48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4"/>
              </w:rPr>
              <w:t>agent will have any responsibility for the performance by DTC or its participants or indirect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5"/>
              </w:rPr>
              <w:t>participants of their respective obligations under the rules and procedures governing their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operations.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7280" w:type="dxa"/>
            <w:vAlign w:val="bottom"/>
          </w:tcPr>
          <w:p>
            <w:pPr>
              <w:ind w:left="480"/>
              <w:spacing w:after="0"/>
              <w:rPr>
                <w:sz w:val="20"/>
                <w:szCs w:val="20"/>
                <w:color w:val="auto"/>
              </w:rPr>
            </w:pPr>
            <w:r>
              <w:rPr>
                <w:rFonts w:ascii="Arial" w:cs="Arial" w:eastAsia="Arial" w:hAnsi="Arial"/>
                <w:sz w:val="18"/>
                <w:szCs w:val="18"/>
                <w:color w:val="auto"/>
                <w:w w:val="93"/>
              </w:rPr>
              <w:t>We estimate that net proceeds we will receive from the sale of the $165.0 million aggregate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4"/>
              </w:rPr>
              <w:t>principal amount of the Notes in this offering will be approximately $160.5 million based on</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the public</w:t>
            </w:r>
          </w:p>
        </w:tc>
      </w:tr>
      <w:tr>
        <w:trPr>
          <w:trHeight w:val="365"/>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Arial" w:cs="Arial" w:eastAsia="Arial" w:hAnsi="Arial"/>
                <w:sz w:val="18"/>
                <w:szCs w:val="18"/>
                <w:color w:val="auto"/>
              </w:rPr>
              <w:t>S-5</w:t>
            </w:r>
          </w:p>
        </w:tc>
      </w:tr>
    </w:tbl>
    <w:p>
      <w:pPr>
        <w:ind w:left="168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720" w:type="dxa"/>
            <w:vAlign w:val="bottom"/>
          </w:tcPr>
          <w:p>
            <w:pPr>
              <w:spacing w:after="0"/>
              <w:rPr>
                <w:sz w:val="17"/>
                <w:szCs w:val="17"/>
                <w:color w:val="auto"/>
              </w:rPr>
            </w:pPr>
          </w:p>
        </w:tc>
      </w:tr>
      <w:tr>
        <w:trPr>
          <w:trHeight w:val="519"/>
        </w:trPr>
        <w:tc>
          <w:tcPr>
            <w:tcW w:w="1360" w:type="dxa"/>
            <w:vAlign w:val="bottom"/>
          </w:tcPr>
          <w:p>
            <w:pPr>
              <w:spacing w:after="0"/>
              <w:rPr>
                <w:sz w:val="24"/>
                <w:szCs w:val="24"/>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2"/>
              </w:rPr>
              <w:t>offering price of 99.436% of the aggregate principal amount after deducting the underwriting</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1"/>
              </w:rPr>
              <w:t>discounts and commissions of $3.3 million payable by us and estimated offering expenses of</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4"/>
              </w:rPr>
              <w:t>approximately $0.25 million payable by us. We intend to use a portion of the net proceeds</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0"/>
              </w:rPr>
              <w:t>from this offering to redeem all of the outstanding 2024 Notes and the remaining net proceeds</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5"/>
              </w:rPr>
              <w:t>to invest in new or existing portfolio companies or for other general corporate or strategic</w:t>
            </w:r>
          </w:p>
        </w:tc>
      </w:tr>
      <w:tr>
        <w:trPr>
          <w:trHeight w:val="230"/>
        </w:trPr>
        <w:tc>
          <w:tcPr>
            <w:tcW w:w="1360" w:type="dxa"/>
            <w:vAlign w:val="bottom"/>
          </w:tcPr>
          <w:p>
            <w:pPr>
              <w:spacing w:after="0"/>
              <w:rPr>
                <w:sz w:val="20"/>
                <w:szCs w:val="20"/>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4"/>
              </w:rPr>
              <w:t>purposes, including repaying amounts outstanding under our other existing indebtedness.</w:t>
            </w:r>
          </w:p>
        </w:tc>
      </w:tr>
      <w:tr>
        <w:trPr>
          <w:trHeight w:val="458"/>
        </w:trPr>
        <w:tc>
          <w:tcPr>
            <w:tcW w:w="13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9720" w:type="dxa"/>
            <w:vAlign w:val="bottom"/>
          </w:tcPr>
          <w:p>
            <w:pPr>
              <w:ind w:left="2940"/>
              <w:spacing w:after="0"/>
              <w:rPr>
                <w:sz w:val="20"/>
                <w:szCs w:val="20"/>
                <w:color w:val="auto"/>
              </w:rPr>
            </w:pPr>
            <w:r>
              <w:rPr>
                <w:rFonts w:ascii="Arial" w:cs="Arial" w:eastAsia="Arial" w:hAnsi="Arial"/>
                <w:sz w:val="18"/>
                <w:szCs w:val="18"/>
                <w:color w:val="auto"/>
                <w:w w:val="92"/>
              </w:rPr>
              <w:t>See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beginning on page S-12 of this prospectus supplement and beginning on</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0"/>
              </w:rPr>
              <w:t>page 7 of the accompanying prospectus for a discussion of risks you should carefully consider</w:t>
            </w:r>
          </w:p>
        </w:tc>
      </w:tr>
      <w:tr>
        <w:trPr>
          <w:trHeight w:val="230"/>
        </w:trPr>
        <w:tc>
          <w:tcPr>
            <w:tcW w:w="1360" w:type="dxa"/>
            <w:vAlign w:val="bottom"/>
          </w:tcPr>
          <w:p>
            <w:pPr>
              <w:spacing w:after="0"/>
              <w:rPr>
                <w:sz w:val="20"/>
                <w:szCs w:val="20"/>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rPr>
              <w:t>before deciding to invest in the Notes.</w:t>
            </w:r>
          </w:p>
        </w:tc>
      </w:tr>
      <w:tr>
        <w:trPr>
          <w:trHeight w:val="364"/>
        </w:trPr>
        <w:tc>
          <w:tcPr>
            <w:tcW w:w="1360" w:type="dxa"/>
            <w:vAlign w:val="bottom"/>
          </w:tcPr>
          <w:p>
            <w:pPr>
              <w:spacing w:after="0"/>
              <w:rPr>
                <w:sz w:val="24"/>
                <w:szCs w:val="24"/>
                <w:color w:val="auto"/>
              </w:rPr>
            </w:pPr>
          </w:p>
        </w:tc>
        <w:tc>
          <w:tcPr>
            <w:tcW w:w="9720" w:type="dxa"/>
            <w:vAlign w:val="bottom"/>
          </w:tcPr>
          <w:p>
            <w:pPr>
              <w:ind w:left="4140"/>
              <w:spacing w:after="0"/>
              <w:rPr>
                <w:sz w:val="20"/>
                <w:szCs w:val="20"/>
                <w:color w:val="auto"/>
              </w:rPr>
            </w:pPr>
            <w:r>
              <w:rPr>
                <w:rFonts w:ascii="Arial" w:cs="Arial" w:eastAsia="Arial" w:hAnsi="Arial"/>
                <w:sz w:val="18"/>
                <w:szCs w:val="18"/>
                <w:color w:val="auto"/>
              </w:rPr>
              <w:t>S-6</w:t>
            </w:r>
          </w:p>
        </w:tc>
      </w:tr>
    </w:tbl>
    <w:p>
      <w:pPr>
        <w:ind w:left="414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“Company,” “we,” “our” or “us” refers to PennantPark Investment Corporation and its consolidated subsidiaries; “PennantPark Investment” refers to only PennantPark Investment Corporation; SBIC II refers to our consolidated subsidiary, PennantPark SBIC II LP; “Funding I” refers to PennantPark Investment Funding I, LLC, a wholly-owned subsidiary prior to deconsolidation on July 31, 2020; “Taxable Subsidiaries” refers to PNNT CI (Galls) Prime Investment Holdings, LLC, and PNNT Investment Holdings, LLC; “PSLF” refers to PennantPark Senior Loan Fund, LLC, an unconsolidated joint venture; “Investment Adviser” refers to our investment adviser, PennantPark Investment Advisers, LLC; “Administrator” refers to our administrator,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to a lesser extent, equity investments.</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Certain biographical information about our directors and officers is set forth in our proxy statement on Schedule 14A filed with the SEC on December 8, 2020, which is incorporated by reference herein. In addition, Samuel Katz, one of our independent directors, serves as the Chief Executive Officer and director of TZP Strategies Acquisition Corp. (Nasdaq: TZPS), a special purpose acquisition company incorporated in the Cayman Islands.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6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July 31, 2020, we and certain entities and managed accounts of the private credit investment manager of Pantheon Ventures (UK) LLP entered into a limited liability company agreement to co-manage PSLF, a newly formed unconsolidated joint venture. PSLF invests primarily in middle-market and other corporate debt securities consistent with our strategy.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utilize the investing experience and contacts of our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$13.1 billion in 566 companies with approximately 195 different financial sponsors through its managed funds.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Structure—There are significant potential conflicts of interest which could impact our investment returns</w:t>
      </w:r>
      <w:r>
        <w:rPr>
          <w:rFonts w:ascii="Arial" w:cs="Arial" w:eastAsia="Arial" w:hAnsi="Arial"/>
          <w:sz w:val="18"/>
          <w:szCs w:val="18"/>
          <w:color w:val="auto"/>
        </w:rPr>
        <w:t>” in our most recent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administrative and principal executive offices are located at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us,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100"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 or any worsening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significant disruptions caused by the current COVID-19 pandemic or any worsening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and the accompanying prospectus, in the documents incorporated by reference, and elsewhere in this prospectus supplement and the accompanying prospectus.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any subsequent Quarterly Reports on Form 10-Q or any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forth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the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16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2021, we had approximately $214.5 million in outstanding borrowings under the Truist Credit Facility. The Truist Credit Facility is secured by substantially all of our assets excluding assets held by SBIC II. The indebtedness under the Truist Credit Facility is therefore effectively senior to the Notes to the extent of the value of such assets.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the Notes.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subsidiaries) will have priority over our equity interests in such subsidiaries (and therefore the claims of our creditors, including holders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with respect to the assets of such subsidiaries. Even if we are recognized as a creditor of one or more of our subsidiaries, our claims would still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subordinated to any security interests in the assets of any such subsidiary and to any indebtedness or other liabilities of any such subsidiary senior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claims. Consequently, the Notes will be structurally subordinated to all indebtedness and other liabilities (including trade payables)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and any subsidiaries that we may in the future acquire or establish as financing vehicles or otherwise. As of June 30, 2021, SBIC II had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$63.5 million of indebtedness outstanding under the SBA debentures. All of such indebtedness would be structurally senior to the Notes. In addition,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may incur substantial additional indebtedness in the future, all of which would be structurally senior to the Notes.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22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44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other than in connection with a Change of Control Repurchase Event.</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w:t>
      </w:r>
      <w:r>
        <w:rPr>
          <w:rFonts w:ascii="Arial" w:cs="Arial" w:eastAsia="Arial" w:hAnsi="Arial"/>
          <w:sz w:val="17"/>
          <w:szCs w:val="17"/>
          <w:i w:val="1"/>
          <w:iCs w:val="1"/>
          <w:color w:val="auto"/>
        </w:rPr>
        <w:t>Risk Factors—Risks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Structure</w:t>
      </w:r>
      <w:r>
        <w:rPr>
          <w:rFonts w:ascii="Arial" w:cs="Arial" w:eastAsia="Arial" w:hAnsi="Arial"/>
          <w:sz w:val="17"/>
          <w:szCs w:val="17"/>
          <w:color w:val="auto"/>
        </w:rPr>
        <w:t>” including “</w:t>
      </w:r>
      <w:r>
        <w:rPr>
          <w:rFonts w:ascii="Arial" w:cs="Arial" w:eastAsia="Arial" w:hAnsi="Arial"/>
          <w:sz w:val="17"/>
          <w:szCs w:val="17"/>
          <w:i w:val="1"/>
          <w:iCs w:val="1"/>
          <w:color w:val="auto"/>
        </w:rPr>
        <w:t>Risk Factors—Risks Relating to Our Business and Structure—We are subject to various covenants under our Credit Facility which, if not complied with, could result in reduced availability and/or mandatory prepayments under our Credit Facility and SBA debentures</w:t>
      </w:r>
      <w:r>
        <w:rPr>
          <w:rFonts w:ascii="Arial" w:cs="Arial" w:eastAsia="Arial" w:hAnsi="Arial"/>
          <w:sz w:val="17"/>
          <w:szCs w:val="17"/>
          <w:color w:val="auto"/>
        </w:rPr>
        <w:t>” in our most recent Annual Report on Form 10-K for more information. In addition, other debt we issue or incur in the future could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Notes—Optional Redemption</w:t>
      </w:r>
      <w:r>
        <w:rPr>
          <w:rFonts w:ascii="Arial" w:cs="Arial" w:eastAsia="Arial" w:hAnsi="Arial"/>
          <w:sz w:val="18"/>
          <w:szCs w:val="18"/>
          <w:color w:val="auto"/>
        </w:rPr>
        <w:t>.” We may choose to redeem the Notes at times when prevailing interest rates are lower than the interest rate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In this circumstance, you may not be able to reinvest the redemption proceeds in a comparable security at an effective interest rate as high as the Notes being redeemed.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22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Upon the occurrence of a Change of Control Repurchase Event, as defined in the indenture that governs the Notes,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Before making any such repurchase of Notes, we may have to comply with certain requirements under our then existing financing arrangements, such as the Truist Credit Facility, the 2024 Notes, the 2026</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Notes and the SBA debentures. Our future debt instruments may also contain similar restrictions and provisions. If the holders of the Notes exercise their right to require us to repurchase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Arial" w:cs="Arial" w:eastAsia="Arial" w:hAnsi="Arial"/>
          <w:sz w:val="17"/>
          <w:szCs w:val="17"/>
          <w:i w:val="1"/>
          <w:iCs w:val="1"/>
          <w:color w:val="auto"/>
        </w:rPr>
        <w:t>Description of the Notes—Offer to Repurchase Upon a Change of Control Repurchase Event</w:t>
      </w:r>
      <w:r>
        <w:rPr>
          <w:rFonts w:ascii="Arial" w:cs="Arial" w:eastAsia="Arial" w:hAnsi="Arial"/>
          <w:sz w:val="17"/>
          <w:szCs w:val="17"/>
          <w:color w:val="auto"/>
        </w:rPr>
        <w: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There is no active trading market for the Notes. If an active trading market does not develop for the Notes, you may not be able to sell them.</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the Truist Credit Facility, the 2024 Notes, the 2026 Notes, the SBA debentures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Truist Credit Facility, the 2024 Notes, the 2026 Notes, the SBA debentures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our operating performance declines, we may in the future need to seek to obtain waivers from the required lenders or holders under the agreements relating to the Truist Credit Facility, the 2024 Notes, the 2026 Notes, the SBA debentures or other debt that we may incur in the future to avoid being in default. If we breach our covenants under the Truist Credit Facility, the 2024 Notes, the 2026 Notes, the SBA debentures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having secured obligations, including the lenders under the Truist Credit Facility and the SBA debentures, could proceed against the collateral securing such debt. Because the Truist Credit Facility, the 2024 Notes, the 2026 Notes and the SBA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debentures have, and any future debt will likely have, customary cross-default provisions, if the indebtedness thereunder or under any future credit facility is accelerated, we may be unable to repay or finance the amounts due.</w:t>
      </w:r>
    </w:p>
    <w:p>
      <w:pPr>
        <w:spacing w:after="0" w:line="166"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or change in the debt markets could cause the liquidity or market value of the Notes to decline significantly.</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the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the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540"/>
        <w:spacing w:after="0" w:line="311" w:lineRule="auto"/>
        <w:rPr>
          <w:sz w:val="20"/>
          <w:szCs w:val="20"/>
          <w:color w:val="auto"/>
        </w:rPr>
      </w:pPr>
      <w:r>
        <w:rPr>
          <w:rFonts w:ascii="Arial" w:cs="Arial" w:eastAsia="Arial" w:hAnsi="Arial"/>
          <w:sz w:val="16"/>
          <w:szCs w:val="16"/>
          <w:color w:val="auto"/>
        </w:rPr>
        <w:t>We estimate that the net proceeds we will receive from the sale of $165.0 million aggregate principal amount of the Notes in this offering will be approximately $160.5 million, based on the public offering price of 99.436% of the aggregate principal amount, after deducting the underwriting discounts and commissions of $3.3 million payable by us and estimated offering expenses of approximately $0.25 million payable by us.</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intend to use a portion of the net proceeds from this offering to redeem all of the outstanding 2024 Notes and the remaining net proceeds to invest in new or existing portfolio companies or for other general corporate or strategic purposes, including repaying amounts outstanding under our other existing indebtedness. Affiliates of certain of the underwriters serve as lenders under the Truist Credit Facility. Accordingly, affiliates of certain of the underwriters are expected to receive proceeds from this offering if we use proceeds from this offering to reduce our outstanding obligations under the Truist Credit Facility.</w:t>
      </w:r>
    </w:p>
    <w:p>
      <w:pPr>
        <w:spacing w:after="0" w:line="188"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As of June 30, 2021, we had approximately $214.5 million in outstanding borrowings under the Truist Credit Facility, approximately $86.3 million outstanding under our 2024 Notes, $150.0 million outstanding under our 2026 Notes and $63.5 million outstanding under the SBA debentures. After completing this offering, we may continue to borrow under our existing financing arrangements to finance our investment objectives.</w:t>
      </w:r>
    </w:p>
    <w:p>
      <w:pPr>
        <w:spacing w:after="0" w:line="14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Truist Credit Facility had a weighted average interest rate of 2.5%, exclusive of the fee on undrawn commitments, as of June 30, 2021. The Truist Credit Facility has a stated maturity date of September 4, 2024, a one-year term-out period on September 4, 2023 and bear interest at an annual rate equal to LIBOR (or an alternative risk-free floating interest rate index) plus 225 basis points.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 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Information about our senior securities is shown in the following tables for the fiscal years ended September 30, 2020, 2019, 2018, 2017, 2016, 2015, 2014, 2013, 2012 and 2011. The annual information has been derived from our audited financial statements for each respective period, which have been audited by RSM US LLP, our independent registered public accounting firm. RSM US LLP’s report on the senior securities table as of September 30, 2020 is attached as Exhibit 99.5 to our Annual Report on Form 10-K for the fiscal year ended September 30, 2020. The information as of June 30, 2021 has been derived from our unaudited financial statements for such period and was not audited by RSM US LLP.</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Asset Coverage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3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3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800" w:type="dxa"/>
            <w:vAlign w:val="bottom"/>
          </w:tcPr>
          <w:p>
            <w:pPr>
              <w:spacing w:after="0"/>
              <w:rPr>
                <w:sz w:val="15"/>
                <w:szCs w:val="15"/>
                <w:color w:val="auto"/>
              </w:rPr>
            </w:pP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Per Unit</w:t>
            </w:r>
            <w:r>
              <w:rPr>
                <w:rFonts w:ascii="Arial" w:cs="Arial" w:eastAsia="Arial" w:hAnsi="Arial"/>
                <w:sz w:val="12"/>
                <w:szCs w:val="12"/>
                <w:b w:val="1"/>
                <w:bCs w:val="1"/>
                <w:color w:val="auto"/>
                <w:w w:val="98"/>
              </w:rPr>
              <w:t>(2), (3)</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Truist Credit Facility</w:t>
            </w:r>
          </w:p>
        </w:tc>
        <w:tc>
          <w:tcPr>
            <w:tcW w:w="4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214,545</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388,252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301,636</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79,393</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2,998</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136,864</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145,500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240,900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BNP Credit Facility</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2025 Notes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Fiscal 2014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2026 Notes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Fiscal 2021 (through June 30, 2021) (unaudited)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spacing w:after="0" w:line="1"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hanging="424"/>
        <w:spacing w:after="0" w:line="25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following table sets forth our cash and capitalization on June 30, 2021 (1) on an actual basis and (2) on an as-adjusted basis to reflect the effects of the sale of $165.0 million aggregate principal amount of Notes in this offering based on the public offering price of 99.436% of the aggregate principal amount, after deducting the underwriting discounts and commissions of $3.3 million payable by us, estimated offering expenses of approximately $0.25 million payable by us and the redemption of the 2024 Notes. The as-adjusted information is illustrative only; our capitalization following the completion of this offering is subject to further adjustments, such as the potential repayment of certain of our existing indebtedness. You should read this table together with “</w:t>
      </w:r>
      <w:r>
        <w:rPr>
          <w:rFonts w:ascii="Arial" w:cs="Arial" w:eastAsia="Arial" w:hAnsi="Arial"/>
          <w:sz w:val="17"/>
          <w:szCs w:val="17"/>
          <w:i w:val="1"/>
          <w:iCs w:val="1"/>
          <w:color w:val="auto"/>
        </w:rPr>
        <w:t>Use of Proceeds</w:t>
      </w:r>
      <w:r>
        <w:rPr>
          <w:rFonts w:ascii="Arial" w:cs="Arial" w:eastAsia="Arial" w:hAnsi="Arial"/>
          <w:sz w:val="17"/>
          <w:szCs w:val="17"/>
          <w:color w:val="auto"/>
        </w:rPr>
        <w:t>” set forth in this prospectus supplement. You should also read this table with our Consolidated Financial Statements and related notes thereto, in conjunction with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most recent Quarterly Report on Form 10-Q for more information.</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As of June 30, 2021</w:t>
            </w:r>
          </w:p>
        </w:tc>
      </w:tr>
      <w:tr>
        <w:trPr>
          <w:trHeight w:val="17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9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2"/>
                <w:szCs w:val="12"/>
                <w:color w:val="auto"/>
              </w:rPr>
            </w:pPr>
          </w:p>
        </w:tc>
      </w:tr>
      <w:tr>
        <w:trPr>
          <w:trHeight w:val="182"/>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and cash equivalents (cost—$14,207,092 and $88,476,492,</w:t>
            </w: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14,212,253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88,481,653</w:t>
            </w: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Truist Credit Facility payable, at fair value (cost—$214,544,900)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213,489,240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213,489,240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2024 Notes payable, net (par—$86,250,000)</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84,336,685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2026 Notes payable, net (par—$150,000,000)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145,639,797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145,639,797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SBA debentures payable, net (par—$63,500,000)</w:t>
            </w:r>
          </w:p>
        </w:tc>
        <w:tc>
          <w:tcPr>
            <w:tcW w:w="1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62,110,290</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62,110,290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Notes (par—$165,000,000)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160,519,400</w:t>
            </w: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Net Asset Value</w:t>
            </w: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67,045,105 shares issued and outstanding, Par</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$0.001 per share and 100,000,000 shares authorized</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67,045</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67,045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787,625,031</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787,625,031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distributable net loss</w:t>
            </w: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(144,610,581)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(146,523,896)</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Total net assets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643,081,495</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641,168,180</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ind w:left="540" w:right="80" w:hanging="424"/>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use a portion of the net proceeds from this offering to redeem all of the outstanding 2024 Notes. After giving effect to this offering and such repayment of the 2024 Notes, we expect to have no amount outstanding under the 2024 Notes. See “Use of Proceeds” in this prospectus supplement.</w:t>
      </w:r>
    </w:p>
    <w:p>
      <w:pPr>
        <w:spacing w:after="0" w:line="3" w:lineRule="exact"/>
        <w:rPr>
          <w:sz w:val="20"/>
          <w:szCs w:val="20"/>
          <w:color w:val="auto"/>
        </w:rPr>
      </w:pPr>
    </w:p>
    <w:p>
      <w:pPr>
        <w:ind w:left="540" w:right="220" w:hanging="424"/>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extinguishment of the 2024 Notes with the use of a portion of the proceeds from the offering, we expect that net assets will be reduced due to the expense of the amortization of remaining deferred financing fees relating to the 2024 Notes, which totaled $1,913,315 as of June 30, 2021.</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We will issue the Notes under that certain base indenture, dated as of January 22, 2013, or the base indenture, as supplemented by the fifth supplemental indenture, or the supplemental indenture, to be dated as of the settlement date for the offering of the Notes.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Investment Corporation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the Company’s direct, general, unsecured, unsubordinated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$165.0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mature on November 1, 2026, unless earlier redeemed or repurchased, as discussed below;</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bear cash interest from October 21, 2021 at an annual rate of 4.00% payable semi-annually in arrears on May 1 and November 1 of each year, beginning on May 1,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subject to redemption at the Company’s option as described under “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will be subject to repurchase by the Company at the option of the holders following a Change of Control Repurchase Event (as defined below under “ </w:t>
      </w:r>
      <w:r>
        <w:rPr>
          <w:rFonts w:ascii="Arial" w:cs="Arial" w:eastAsia="Arial" w:hAnsi="Arial"/>
          <w:sz w:val="16"/>
          <w:szCs w:val="16"/>
          <w:i w:val="1"/>
          <w:iCs w:val="1"/>
          <w:color w:val="auto"/>
        </w:rPr>
        <w:t>—Offer to Repurchase Upon a Change of Control Repurchase Event</w:t>
      </w:r>
      <w:r>
        <w:rPr>
          <w:rFonts w:ascii="Arial" w:cs="Arial" w:eastAsia="Arial" w:hAnsi="Arial"/>
          <w:sz w:val="16"/>
          <w:szCs w:val="16"/>
          <w:color w:val="auto"/>
        </w:rPr>
        <w:t xml:space="preserve">”), at a repurchase price equal to 100% of the principal amount of the Notes to be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to, but not including, the date of repurchase;</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represented by one or more registered Notes in global form, but in certain limited circumstances may be represented by Notes in definitive form. See “ </w:t>
      </w:r>
      <w:r>
        <w:rPr>
          <w:rFonts w:ascii="Arial" w:cs="Arial" w:eastAsia="Arial" w:hAnsi="Arial"/>
          <w:sz w:val="18"/>
          <w:szCs w:val="18"/>
          <w:i w:val="1"/>
          <w:iCs w:val="1"/>
          <w:color w:val="auto"/>
        </w:rPr>
        <w:t>—Book-Entry, Settlement and Clearance</w:t>
      </w:r>
      <w:r>
        <w:rPr>
          <w:rFonts w:ascii="Arial" w:cs="Arial" w:eastAsia="Arial" w:hAnsi="Arial"/>
          <w:sz w:val="18"/>
          <w:szCs w:val="18"/>
          <w:color w:val="auto"/>
        </w:rPr>
        <w:t>”.</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 </w:t>
      </w:r>
      <w:r>
        <w:rPr>
          <w:rFonts w:ascii="Arial" w:cs="Arial" w:eastAsia="Arial" w:hAnsi="Arial"/>
          <w:sz w:val="16"/>
          <w:szCs w:val="16"/>
          <w:i w:val="1"/>
          <w:iCs w:val="1"/>
          <w:color w:val="auto"/>
        </w:rPr>
        <w:t>—Offer to Repurchase Upon a Change of Control Repurchase Event</w:t>
      </w:r>
      <w:r>
        <w:rPr>
          <w:rFonts w:ascii="Arial" w:cs="Arial" w:eastAsia="Arial" w:hAnsi="Arial"/>
          <w:sz w:val="16"/>
          <w:szCs w:val="16"/>
          <w:color w:val="auto"/>
        </w:rPr>
        <w:t xml:space="preserve">” and “ </w:t>
      </w:r>
      <w:r>
        <w:rPr>
          <w:rFonts w:ascii="Arial" w:cs="Arial" w:eastAsia="Arial" w:hAnsi="Arial"/>
          <w:sz w:val="16"/>
          <w:szCs w:val="16"/>
          <w:i w:val="1"/>
          <w:iCs w:val="1"/>
          <w:color w:val="auto"/>
        </w:rPr>
        <w:t>—Merger, Consolidation or Sale of Assets</w:t>
      </w:r>
      <w:r>
        <w:rPr>
          <w:rFonts w:ascii="Arial" w:cs="Arial" w:eastAsia="Arial" w:hAnsi="Arial"/>
          <w:sz w:val="16"/>
          <w:szCs w:val="16"/>
          <w:color w:val="auto"/>
        </w:rPr>
        <w:t xml:space="preserve">”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offering price, the first payment date and the date from which interest may accrue may be different)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be part of the same issue as the Notes offered hereby for U.S. federal income tax purposes if represented by the same CUSIP number as the Notes offered hereby.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will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Notes that are not in global form, at our option, payment of interest may be made by check mailed to the address of the person entitled thereto as such address will appear in the security register.</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Notes will bear cash interest at a rate of 4.00% per year until maturity. Interest on the Notes will accrue from October 21, 2021 or from the most recent date on which interest has been paid or duly provided for. Interest will be payable semi-annually in arrears on May 1 and November 1 of each year, beginning on May 1, 2022.</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or the close of business, on April 15 or October 15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the Company’s direct, general unsecured obligations that will rank:</w:t>
      </w:r>
    </w:p>
    <w:p>
      <w:pPr>
        <w:spacing w:after="0" w:line="131" w:lineRule="exact"/>
        <w:rPr>
          <w:sz w:val="20"/>
          <w:szCs w:val="20"/>
          <w:color w:val="auto"/>
        </w:rPr>
      </w:pPr>
    </w:p>
    <w:p>
      <w:pPr>
        <w:jc w:val="both"/>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 $86.3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outstanding under our 2024 Notes and $150.0 million aggregate principal outstanding under our 2026 Notes, each as of June 30,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$214.5 million aggregate principal amount of borrowings outstanding under the Truist Credit Facility, to the extent of the value of the assets securing the Truist Credit Facility, as of June 30, 2021; and</w:t>
      </w:r>
    </w:p>
    <w:p>
      <w:pPr>
        <w:spacing w:after="0" w:line="92"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obligations of any of our subsidiaries, financing vehicles or similar facilities, including $63.5 million of indebtedness outstanding under our SBA debentures as of June 30, 2021.</w:t>
      </w:r>
    </w:p>
    <w:p>
      <w:pPr>
        <w:spacing w:after="0" w:line="14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of June 30, 2021, we had approximately $514.3 million of debt outstanding, of which approximately $236.3 million was unsecured and unsubordinated indebtedness, approximately $214.5 million was indebtedness secured by substantially all of our assets (excluding assets held by SBIC II) and $63.5 million was indebtedness secured by all the investment portfolio assets of SBIC II. After giving effect to the issuance of the Notes, assuming full repayment of amounts outstanding under our 2024 Notes, our total indebtedness would have been approximately $593.0 million aggregate principal amount outstanding as of June 30, 2021.</w:t>
      </w:r>
    </w:p>
    <w:p>
      <w:pPr>
        <w:spacing w:after="0" w:line="188"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As of September 30, 2021, at cost, we had approximately $315.6 million of borrowings outstanding under the Truist Credit Facility, approximately $86.3 million in aggregate principal amount outstanding under our 2024 Notes, $150.0 million in aggregate principal amount outstanding under our 2026 Notes and $63.5 million of indebtedness outstanding under the SBA debentures.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but not including, the redemption date:</w:t>
      </w:r>
    </w:p>
    <w:p>
      <w:pPr>
        <w:spacing w:after="0" w:line="2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18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we redeem any of the Notes on or after August 1, 2026 (the date falling three months prior to the maturity date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price for the Notes will be equal to 100% of the principal amount of the Notes to be redeemed, plus accrued and unpaid interest, if any, to, but not including, the date of redemption.</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pro rata basis to the extent practicable, or, if a pro rata basis is not practicable for any reason, by lot or in such other manner as the trustee deems fair and appropriate, and in any case in accordance with the applicable procedures of DTC and in accordance with the 1940 Act as directed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partial redemption will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or a Primary Treasury Dealer, we shall select another Primary Treasury Dealer.</w:t>
      </w:r>
    </w:p>
    <w:p>
      <w:pPr>
        <w:spacing w:after="0" w:line="15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will,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w:t>
      </w:r>
      <w:r>
        <w:rPr>
          <w:rFonts w:ascii="Arial" w:cs="Arial" w:eastAsia="Arial" w:hAnsi="Arial"/>
          <w:sz w:val="16"/>
          <w:szCs w:val="16"/>
          <w:i w:val="1"/>
          <w:iCs w:val="1"/>
          <w:color w:val="auto"/>
        </w:rPr>
        <w:t>Ranking</w:t>
      </w:r>
      <w:r>
        <w:rPr>
          <w:rFonts w:ascii="Arial" w:cs="Arial" w:eastAsia="Arial" w:hAnsi="Arial"/>
          <w:sz w:val="16"/>
          <w:szCs w:val="16"/>
          <w:color w:val="auto"/>
        </w:rPr>
        <w:t>” above as well as the documents incorporated by reference herein for a general discussion of our indebtedness. Before making any such repurchase of Notes, we would also have to comply with certain requirements under the Truist Credit Facility, to the extent such requirements remain in effect at such time, or otherwise obtain consent from the lenders under the Truist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w:t>
      </w:r>
      <w:r>
        <w:rPr>
          <w:rFonts w:ascii="Arial" w:cs="Arial" w:eastAsia="Arial" w:hAnsi="Arial"/>
          <w:sz w:val="16"/>
          <w:szCs w:val="16"/>
          <w:i w:val="1"/>
          <w:iCs w:val="1"/>
          <w:color w:val="auto"/>
        </w:rPr>
        <w:t>Risk Factors—Risks Relating to the Notes—We may not be able to repurchase the Notes upon a Change of Control Repurchase Event</w:t>
      </w:r>
      <w:r>
        <w:rPr>
          <w:rFonts w:ascii="Arial" w:cs="Arial" w:eastAsia="Arial" w:hAnsi="Arial"/>
          <w:sz w:val="16"/>
          <w:szCs w:val="16"/>
          <w:color w:val="auto"/>
        </w:rPr>
        <w:t>.”</w:t>
      </w:r>
    </w:p>
    <w:p>
      <w:pPr>
        <w:spacing w:after="0" w:line="17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(which period will be extended so long as the rating of the Notes is under publicly announced consideration for possible downgrade by the Rating Agency);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Below Investment Grade Rating Event otherwise arising by virtue of a particular reduction in rating will not be deemed to have occurred in respect of a particular Change of Control (and thus will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will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or any successor thereto.</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 from any Rating Agency selected by us as a replacement Rating Agency).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“Permitted Holders” means (i) the Company, (ii) one or more of the Company’s Controlled Subsidiaries and (iii) PennantPark Investment Advisers, LLC or any affiliate of the PennantPark Investment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will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a pledge of assets pursuant to any secured debt instrument of the Company or its subsidiaries will not be deemed to be any such sale, transfer, lease, conveyance or disposition;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2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United States of America or any state or territory thereof or the District of Columbia;</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be continuing;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6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will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Arial" w:cs="Arial" w:eastAsia="Arial" w:hAnsi="Arial"/>
          <w:sz w:val="18"/>
          <w:szCs w:val="18"/>
          <w:i w:val="1"/>
          <w:iCs w:val="1"/>
          <w:color w:val="auto"/>
        </w:rPr>
        <w:t>Changes Requiring Your Approval</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Arial" w:cs="Arial" w:eastAsia="Arial" w:hAnsi="Arial"/>
          <w:sz w:val="16"/>
          <w:szCs w:val="16"/>
          <w:i w:val="1"/>
          <w:iCs w:val="1"/>
          <w:color w:val="auto"/>
        </w:rPr>
        <w:t>Defeasance—Legal Defeasance.</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BDCs)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is hereafter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within a period of 30 calendar days after written notice of such failure is given to the Company by the trustee or to the Company and the trustee by the holders of at least 25% in aggregate principal amount of the Notes then outstanding;</w:t>
      </w:r>
    </w:p>
    <w:p>
      <w:pPr>
        <w:spacing w:after="0" w:line="76" w:lineRule="exact"/>
        <w:rPr>
          <w:sz w:val="20"/>
          <w:szCs w:val="20"/>
          <w:color w:val="auto"/>
        </w:rPr>
      </w:pPr>
    </w:p>
    <w:p>
      <w:pPr>
        <w:ind w:left="1080" w:right="40" w:hanging="532"/>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Section 18(a)(1)(C)(ii) and Section 61 of the 1940 Act, or any successor provisions, on the last business day of each of 24 consecutive calendar months, any class of securities has an asset coverage (as such term is used in the 1940 Act) of less than 100%, giving effect to any amendments to such provisions of the 1940 Act or to any exemptive relief granted to us by the SEC; and</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will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direction will not be in conflict with any rule of law or with this indenture, (ii) the trustee may take any other action deemed proper by the trustee that is not inconsistent with such direction and</w:t>
      </w:r>
    </w:p>
    <w:p>
      <w:pPr>
        <w:spacing w:after="0" w:line="4" w:lineRule="exact"/>
        <w:rPr>
          <w:sz w:val="20"/>
          <w:szCs w:val="20"/>
          <w:color w:val="auto"/>
        </w:rPr>
      </w:pPr>
    </w:p>
    <w:p>
      <w:pPr>
        <w:jc w:val="both"/>
        <w:ind w:left="120" w:right="20" w:hanging="4"/>
        <w:spacing w:after="0" w:line="255"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90"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whether, to the knowledge of the signers, we are in default in the performance of any of the terms, provisions or conditions of the indenture.</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 xml:space="preserve">Within 90 days after the occurrence of any default under the indenture with respect to the Notes, the trustee will transmit notice of such default actually known to a responsible officer of the trustee, unless such default has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jc w:val="both"/>
        <w:ind w:left="1080" w:right="14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116" w:lineRule="exact"/>
        <w:rPr>
          <w:sz w:val="20"/>
          <w:szCs w:val="20"/>
          <w:color w:val="auto"/>
        </w:rPr>
      </w:pPr>
    </w:p>
    <w:p>
      <w:pPr>
        <w:ind w:left="1080" w:right="100" w:hanging="424"/>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80" w:hanging="424"/>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subject to customary limitations and exclusions, that there has been a change in current U.S. federal tax law or an Internal Revenue Service, or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10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American Stock Transfer &amp; Trust Company, LLC also serves as transfer agent for our common stock and as trustee for the 2024 Notes and the 2026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The trustee may resign or be removed with respect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77" w:lineRule="exact"/>
        <w:rPr>
          <w:sz w:val="20"/>
          <w:szCs w:val="20"/>
          <w:color w:val="auto"/>
        </w:rPr>
      </w:pPr>
    </w:p>
    <w:p>
      <w:pPr>
        <w:ind w:left="1080" w:right="1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jc w:val="center"/>
        <w:ind w:left="340" w:right="100"/>
        <w:spacing w:after="0" w:line="449"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 S-33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any underwriter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any proposed transfer outside the book entry only system, there will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following discussion is a general summary of certain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7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U.S. federal income tax purposes, (i) an individual who is a citizen or resident of the United States, (ii) a corporation or other entity treated as a corporation for U.S. federal income tax purposes, created or organized in or under the laws of the United States or of any political subdivision thereof, (iii) a trust (a) subject to the control of one or more U.S. persons and the primary supervision of a court in the United States, or (b) that has a valid election (under applicable Treasury Regulations) to be treated as a U.S. person for U.S. federal income tax purposes, or (iv) 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72"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and this discussion assumes, that the Notes will not be treated as issued with original issue discount for U.S. federal income tax purposes.</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such as, for example, for purposes of the limitations on a U.S. holder’s ability to offset capital losses against ordinary income.</w:t>
      </w:r>
    </w:p>
    <w:p>
      <w:pPr>
        <w:spacing w:after="0" w:line="17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u w:val="single" w:color="auto"/>
          <w:color w:val="auto"/>
        </w:rPr>
        <w:t>Taxation of Non-U.S. Holders</w:t>
      </w:r>
      <w:r>
        <w:rPr>
          <w:rFonts w:ascii="Arial" w:cs="Arial" w:eastAsia="Arial" w:hAnsi="Arial"/>
          <w:sz w:val="16"/>
          <w:szCs w:val="16"/>
          <w:color w:val="auto"/>
        </w:rPr>
        <w:t>. A non-U.S. holder generally will not be subject to U.S. federal income or withholding taxes on payments of principal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effectively connected with the conduct of a U.S. trade or business, in which case the interest will be subject to U.S.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United States of earnings and profits attributable to a U.S. trade or business) at a 30% rate. The branch profits tax may not apply (or may apply at a reduced rate) if the non-U.S. holder is a qualified resident of a country with which the United States has an income tax treaty.</w:t>
      </w:r>
    </w:p>
    <w:p>
      <w:pPr>
        <w:spacing w:after="0" w:line="17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Generally, a non-U.S. holder will not be subject to U.S. federal income or withholding taxes on any amount that constitutes capital gain upon the sale, exchange, redemption or retirement of a Note, provided that the gain is not effectively connected with the conduct of a trade or business in the United States by the non-U.S. holder (and, if required by an applicable income tax treaty, is not attributable to a U.S. “permanent establishment” maintained by the non-U.S. holder). Certain other exceptions may be applicable, and a non-U.S. holder should consult its tax advisor in this regard.</w:t>
      </w:r>
    </w:p>
    <w:p>
      <w:pPr>
        <w:spacing w:after="0" w:line="15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Section 871(h)(3) of the Code and the Treasury Regulations thereunder or (ii) such individual’s interest in the Notes is effectively connected with the individual’s conduct of a U.S. trade or business.</w:t>
      </w:r>
    </w:p>
    <w:p>
      <w:pPr>
        <w:spacing w:after="0" w:line="18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Information Reporting and Backup Withholding. A U.S. holder (other than an “exempt recipient,” including a corporation and certain other 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18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FATCA Withholding on Payments to Certain Foreign Entities. Sections 1471 through 1474 of the Code (provisions commonly referred to as “FATCA”)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24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Raymond James &amp; Associates, Inc.,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58"/>
        </w:trPr>
        <w:tc>
          <w:tcPr>
            <w:tcW w:w="6280" w:type="dxa"/>
            <w:vAlign w:val="bottom"/>
            <w:gridSpan w:val="3"/>
            <w:vMerge w:val="continue"/>
          </w:tcPr>
          <w:p>
            <w:pPr>
              <w:spacing w:after="0"/>
              <w:rPr>
                <w:sz w:val="13"/>
                <w:szCs w:val="13"/>
                <w:color w:val="auto"/>
              </w:rPr>
            </w:pPr>
          </w:p>
        </w:tc>
        <w:tc>
          <w:tcPr>
            <w:tcW w:w="12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Amount 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Raymond James &amp; Associates, Inc.</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Compass Point Research &amp; Trading, LLC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the Investment Adviser and the Administrator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Per Note</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99.436%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164,069,400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3,300,000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97.436%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160,769,400</w:t>
            </w:r>
          </w:p>
        </w:tc>
      </w:tr>
    </w:tbl>
    <w:p>
      <w:pPr>
        <w:spacing w:after="0" w:line="202"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0.40% of the aggregate principal amount of the Notes. The underwriters may allow, and the dealers may reallow, a discount not in excess of 0.25% of the aggregate principal amount of the Notes.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After the initial offering of the Notes to the public, the public offering price and other selling terms may be changed. No such change will change the amount of proceeds to be received by us as set forth on the cover page of this prospectus supplement.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the offering, not including the underwriting discount, are estimated at $0.25 million 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8"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have a lending relationship with us, certain of those underwriters or their affiliates routinely hedge, and certain other of those underwriters and their affiliates may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Affiliates of certain of the underwriters serve as lenders under the Truist Credit Facility and may serve as lenders or in other roles under any future credit facilities. Some of the underwriters and/or their affiliates were underwriters in connection with our initial public offerings and follow-on public offerings for which they received customary fees. Affiliates of certain of the underwriters are expected to receive part of the proceeds of the offering if we use proceeds from this offering to repay certain amounts outstanding under the Truist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expect that delivery of the Notes will be made to investors on or about October 21, 2021, which will be the fifth business day following the date of pricing of the Notes (such settlement cycle being herein referred to as “T+5”). Under Rule 15c6-1 under the Exchange Act, trades in the secondary market generally are required to settle in two business days, unless the parties to any such trade expressly agree otherwise. Accordingly, purchasers who wish to trade notes any day prior to the second business day before delivery will be required, by virtue of the fact that the notes initially will settle T+5, to specify an alternate settlement cycle at the time of any such trade to prevent a failed settlement. Purchasers of notes who wish to trade notes on any day prior to the second business day before delivery should consult their own advisor.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principal business address of Raymond James &amp; Associates, Inc. is 880 Carillon Parkway, St. Petersburg, Florida 33716. The principal business address of Keefe, Bruyette &amp; Woods, Inc. is 787 7th Avenue, 4th Floor, New York, NY 10019. The principal business address of Truist Securities, Inc. is 3333 Peachtree Road NE, Atlanta, GA 30326. The principal business address of J.P. Morgan Securities LLC is 383 Madison Avenue, New York, NY 10179.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w:t>
      </w:r>
    </w:p>
    <w:p>
      <w:pPr>
        <w:ind w:left="120"/>
        <w:spacing w:after="0" w:line="252" w:lineRule="auto"/>
        <w:rPr>
          <w:sz w:val="20"/>
          <w:szCs w:val="20"/>
          <w:color w:val="auto"/>
        </w:rPr>
      </w:pPr>
      <w:r>
        <w:rPr>
          <w:rFonts w:ascii="Arial" w:cs="Arial" w:eastAsia="Arial" w:hAnsi="Arial"/>
          <w:sz w:val="18"/>
          <w:szCs w:val="18"/>
          <w:color w:val="auto"/>
        </w:rPr>
        <w:t>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Notes may not be offered, sold or otherwise made available to any retail investor in the European Economic Area, or EEA. For these purposes: (a) a retail investor means a person who is one (or more) of the following: (i) a retail client as defined in point (11) of Article 4(1) of Article 4(1) of Directive 2014/65/EU (as amended or superseded, or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in any form and by any means of sufficient information on the terms of the offer and the Notes to be offered so as to enable an investor to decide to purchase or subscribe the Notes.</w:t>
      </w:r>
    </w:p>
    <w:p>
      <w:pPr>
        <w:spacing w:after="0" w:line="17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expression “retail investor” means a person who is one (or more) of the following: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w:t>
      </w:r>
    </w:p>
    <w:p>
      <w:pPr>
        <w:spacing w:after="0" w:line="17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6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in the United Kingdom, each underwriter has represented and agreed the Notes may not be offered other than by an underwriter that: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has complied and will comply with all applicable provisions of the FSMA with respect to anything done by it in relation to the Notes in, from or otherwise involving the United Kingdom.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or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Proskauer Rose LLP.</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Investment Corporation as of September 30, 2020 and 2019 and for each of the years in the three-year period ended September 30, 2020 and the effectiveness of internal control over financial reporting as of September 30, 2020 incorporated in this prospectus supplement by reference from our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September 30, 2020, filed with the SEC on </w:t>
      </w:r>
      <w:hyperlink r:id="rId60">
        <w:r>
          <w:rPr>
            <w:rFonts w:ascii="Arial" w:cs="Arial" w:eastAsia="Arial" w:hAnsi="Arial"/>
            <w:sz w:val="18"/>
            <w:szCs w:val="18"/>
            <w:u w:val="single" w:color="auto"/>
            <w:color w:val="0000EE"/>
          </w:rPr>
          <w:t>November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amended on </w:t>
      </w:r>
      <w:hyperlink r:id="rId61">
        <w:r>
          <w:rPr>
            <w:rFonts w:ascii="Arial" w:cs="Arial" w:eastAsia="Arial" w:hAnsi="Arial"/>
            <w:sz w:val="18"/>
            <w:szCs w:val="18"/>
            <w:u w:val="single" w:color="auto"/>
            <w:color w:val="0000EE"/>
          </w:rPr>
          <w:t>March 26,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62">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4">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February 9, 2021, May 5, 2021 and August 4, 2021,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5">
        <w:r>
          <w:rPr>
            <w:rFonts w:ascii="Arial" w:cs="Arial" w:eastAsia="Arial" w:hAnsi="Arial"/>
            <w:sz w:val="17"/>
            <w:szCs w:val="17"/>
            <w:u w:val="single" w:color="auto"/>
            <w:color w:val="0000EE"/>
          </w:rPr>
          <w:t>February 12, 2021</w:t>
        </w:r>
      </w:hyperlink>
      <w:r>
        <w:rPr>
          <w:rFonts w:ascii="Arial" w:cs="Arial" w:eastAsia="Arial" w:hAnsi="Arial"/>
          <w:sz w:val="17"/>
          <w:szCs w:val="17"/>
          <w:color w:val="auto"/>
        </w:rPr>
        <w:t xml:space="preserve">, </w:t>
      </w:r>
      <w:hyperlink r:id="rId66">
        <w:r>
          <w:rPr>
            <w:rFonts w:ascii="Arial" w:cs="Arial" w:eastAsia="Arial" w:hAnsi="Arial"/>
            <w:sz w:val="17"/>
            <w:szCs w:val="17"/>
            <w:u w:val="single" w:color="auto"/>
            <w:color w:val="0000EE"/>
          </w:rPr>
          <w:t>April 20, 2021</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April 22,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8">
        <w:r>
          <w:rPr>
            <w:rFonts w:ascii="Arial" w:cs="Arial" w:eastAsia="Arial" w:hAnsi="Arial"/>
            <w:sz w:val="17"/>
            <w:szCs w:val="17"/>
            <w:u w:val="single" w:color="auto"/>
            <w:color w:val="0000EE"/>
          </w:rPr>
          <w:t>June 21, 2021</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our Definitive Proxy Statement on </w:t>
      </w:r>
      <w:hyperlink r:id="rId69">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xml:space="preserve">, filed with the SEC on December 8, 2020 (to the extent incorporated by reference into </w:t>
      </w:r>
      <w:hyperlink r:id="rId70">
        <w:r>
          <w:rPr>
            <w:rFonts w:ascii="Arial" w:cs="Arial" w:eastAsia="Arial" w:hAnsi="Arial"/>
            <w:sz w:val="18"/>
            <w:szCs w:val="18"/>
            <w:u w:val="single" w:color="auto"/>
            <w:color w:val="0000EE"/>
          </w:rPr>
          <w:t>Part III</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fiscal year ended September 30, 2020).</w:t>
      </w:r>
    </w:p>
    <w:p>
      <w:pPr>
        <w:spacing w:after="0" w:line="17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To obtain copies of these filings, see “</w:t>
      </w:r>
      <w:r>
        <w:rPr>
          <w:rFonts w:ascii="Arial" w:cs="Arial" w:eastAsia="Arial" w:hAnsi="Arial"/>
          <w:sz w:val="18"/>
          <w:szCs w:val="18"/>
          <w:i w:val="1"/>
          <w:iCs w:val="1"/>
          <w:color w:val="auto"/>
        </w:rPr>
        <w:t>Available Information</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139700</wp:posOffset>
            </wp:positionV>
            <wp:extent cx="1765935"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left="120" w:right="28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60">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66">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January 28, 2020 was $6.58 per share, and our net asset value on September 30, 2019 was $8.68 per share. Our 5.50% notes due 2024, or the 2024 Notes, are traded on The Nasdaq Global Select Market under the symbol “PNNTG.” The last reported closing price of the 2024 Notes on January 28, 2020 was $25.65 per $25 unit.</w:t>
      </w:r>
    </w:p>
    <w:p>
      <w:pPr>
        <w:spacing w:after="0" w:line="62" w:lineRule="exact"/>
        <w:rPr>
          <w:sz w:val="20"/>
          <w:szCs w:val="20"/>
          <w:color w:val="auto"/>
        </w:rPr>
      </w:pPr>
    </w:p>
    <w:p>
      <w:pPr>
        <w:ind w:left="120" w:right="4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0"/>
          <w:szCs w:val="20"/>
          <w:color w:val="auto"/>
        </w:rPr>
      </w:pPr>
    </w:p>
    <w:p>
      <w:pPr>
        <w:ind w:left="120" w:right="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30, 2020</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5"/>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FEES AND EXPENSES</w:t>
              </w:r>
            </w:hyperlink>
          </w:p>
        </w:tc>
        <w:tc>
          <w:tcPr>
            <w:tcW w:w="86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91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PORTFOLIO COMPANIES</w:t>
              </w:r>
            </w:hyperlink>
          </w:p>
        </w:tc>
        <w:tc>
          <w:tcPr>
            <w:tcW w:w="86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DIVIDEND REINVESTMENT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DESCRIPTION OF OUR UNITS</w:t>
              </w:r>
            </w:hyperlink>
          </w:p>
        </w:tc>
        <w:tc>
          <w:tcPr>
            <w:tcW w:w="83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INDEPENDENT REGISTERED PUBLIC ACCOUNTING FIRM/INDEPENDENT AUDITOR</w:t>
              </w:r>
            </w:hyperlink>
          </w:p>
        </w:tc>
        <w:tc>
          <w:tcPr>
            <w:tcW w:w="3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3"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2"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6"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00" w:right="140" w:firstLine="532"/>
        <w:spacing w:after="0" w:line="275"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33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20" w:type="dxa"/>
            <w:vAlign w:val="bottom"/>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820" w:hanging="424"/>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540" w:right="10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1"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1" w:lineRule="exact"/>
        <w:rPr>
          <w:rFonts w:ascii="Arial" w:cs="Arial" w:eastAsia="Arial" w:hAnsi="Arial"/>
          <w:sz w:val="17"/>
          <w:szCs w:val="17"/>
          <w:color w:val="auto"/>
        </w:rPr>
      </w:pPr>
    </w:p>
    <w:p>
      <w:pPr>
        <w:ind w:left="540" w:right="60" w:hanging="424"/>
        <w:spacing w:after="0" w:line="273"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540" w:right="200" w:hanging="424"/>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6"/>
          <w:szCs w:val="16"/>
          <w:color w:val="auto"/>
        </w:rPr>
      </w:pPr>
    </w:p>
    <w:p>
      <w:pPr>
        <w:ind w:left="540" w:right="20" w:hanging="424"/>
        <w:spacing w:after="0" w:line="270"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5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Assuming a 5% annual return (assumes no return from net realized capital gains or</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8"/>
              </w:rPr>
              <w:t>Assuming a 5% annual return (assumes return from only realized capital gains and</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spacing w:after="0"/>
              <w:rPr>
                <w:sz w:val="20"/>
                <w:szCs w:val="20"/>
                <w:color w:val="auto"/>
              </w:rPr>
            </w:pPr>
            <w:r>
              <w:rPr>
                <w:rFonts w:ascii="Arial" w:cs="Arial" w:eastAsia="Arial" w:hAnsi="Arial"/>
                <w:sz w:val="18"/>
                <w:szCs w:val="18"/>
                <w:color w:val="auto"/>
              </w:rPr>
              <w:t>$ 140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bl>
    <w:p>
      <w:pPr>
        <w:spacing w:after="0" w:line="20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21,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120" w:right="640" w:hanging="4"/>
        <w:spacing w:after="0" w:line="323" w:lineRule="auto"/>
        <w:tabs>
          <w:tab w:leader="none" w:pos="4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Coverage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SunTrust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301,636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80,520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79,393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136,864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55,226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24.87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24.68</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25.13</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24.51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24.79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540" w:right="460" w:hanging="424"/>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right="20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Fiscal 2010 includes SBIC LP’s SBA debentures in the total amount outstanding and our asset coverage per unit computation.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January 28, 2020, the last reported closing price of our common stock was $6.58 per share.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420" w:type="dxa"/>
            <w:vAlign w:val="bottom"/>
            <w:vMerge w:val="restart"/>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8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90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 (As of January 28, 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N/A</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$ 6.68</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6.54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8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(23)</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8.74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6.23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(17)</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6.30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(16)</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(30)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7.04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6.41</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0" w:right="160" w:hanging="424"/>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9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NAV per share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11,250</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4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106,875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6"/>
                <w:szCs w:val="16"/>
                <w:color w:val="auto"/>
              </w:rPr>
              <w:t>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109,863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9.86 %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(2,988)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9.77</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NAV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0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9"/>
              </w:rPr>
              <w:t>Consumer</w:t>
            </w:r>
          </w:p>
        </w:tc>
        <w:tc>
          <w:tcPr>
            <w:tcW w:w="32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Products</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Business Services</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AH Holdings, Inc.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Preferred Equity</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and Childcare</w:t>
            </w: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Warrants</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07/24/2025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American Insulated Glass,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Building Materials</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L+550, 12/21/2023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Education</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Autumn Games,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Broadcasting and</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Street</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Entertainment</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Printing and Publishing</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L+575, 02/01/2024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32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1M L+600, 02/13/2023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27,219</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12/02/2022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16,052</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12.0% fixed (PIK 2.0%), 03/17/2025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36,185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L+625, 12/23/2021</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47,884</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15.0% fixed (PIK 15.0%), 08/20/2021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Buildings and Real Estate</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10,860</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Insurance</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13,594</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10/31/2025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Beverage, Food</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26,279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Consumer</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32,013</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L+825, 07/06/2026</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17,969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L+625, 12/10/2024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8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L+650, 06/27/2023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Infogroup,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22,213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L+925, 04/03/2024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1020 E 1st Street</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Papillion, NE 68046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Personal, Food</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16,470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L+850, 12/22/2021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Kadmon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450 East 29 Street, 5 Floor</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10016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27,259</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Plastics and Rubber</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L+475, 12/20/2023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Kentucky Downs,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Hotels, Motels,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10,332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03/07/2025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5629 Nashville Road</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Franklin, KY 42134</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Environmental Services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Lombart Brothers,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17,539</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L+625, 04/13/2023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35,724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Telecommunications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19,624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01/02/2024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Media</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Ox Two,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Building Materials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24,073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22260 Haggerty Road #365</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02/27/2023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Northville, MI 48167</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Hotels, Motels,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8,495</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3M L+725, 11/13/2024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Beverage, Food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141 Hamilton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and Tobacco</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L+525, 06/01/2023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Hamburg, Ontario, Canada N3A 2H1</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05/08/2026</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Nature of Business</w:t>
            </w:r>
          </w:p>
        </w:tc>
        <w:tc>
          <w:tcPr>
            <w:tcW w:w="3300" w:type="dxa"/>
            <w:vAlign w:val="bottom"/>
            <w:gridSpan w:val="2"/>
            <w:vMerge w:val="continue"/>
          </w:tcPr>
          <w:p>
            <w:pPr>
              <w:spacing w:after="0"/>
              <w:rPr>
                <w:sz w:val="12"/>
                <w:szCs w:val="12"/>
                <w:color w:val="auto"/>
              </w:rPr>
            </w:pPr>
          </w:p>
        </w:tc>
        <w:tc>
          <w:tcPr>
            <w:tcW w:w="1220" w:type="dxa"/>
            <w:vAlign w:val="bottom"/>
            <w:gridSpan w:val="2"/>
          </w:tcPr>
          <w:p>
            <w:pPr>
              <w:jc w:val="center"/>
              <w:ind w:right="33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2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400" w:type="dxa"/>
            <w:vAlign w:val="bottom"/>
            <w:tcBorders>
              <w:top w:val="single" w:sz="8" w:color="CCEEFF"/>
            </w:tcBorders>
            <w:shd w:val="clear" w:color="auto" w:fill="CCEEFF"/>
          </w:tcPr>
          <w:p>
            <w:pPr>
              <w:jc w:val="right"/>
              <w:ind w:right="21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L+700, 08/08/2022</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Electronics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26,422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L+700, 03/11/2024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22,016</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L+575, 03/31/2025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30,416</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L+500, 07/14/2025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Shift4 Payments,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Financial Services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Second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L+850, 11/28/2025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Chemicals, Plastics and</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16,354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Rubber</w:t>
            </w: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P+650, 05/03/2024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Communications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L+575, 01/17/2024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Electronics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Manufacturing / Basic</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21,374</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4321 Semple Avenue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Industries</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L+1,325, 12/28/2020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Transportation</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34,757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L+550, 01/18/2024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Aerospace and Defense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Printing and Publishing</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US Med Acquisition, Inc.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Doral, FL 33122</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(8)</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12,318</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L+700, 08/24/2026</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Walker Edison Furniture Company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Home and Office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27,205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(JWC-WE Holdings, L.P.)</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Furnishings</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L+650, 09/26/2024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Salt Lake City, UT 84120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Aerospace and Defense</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Auto Sector</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49,955</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(Wheel Pros Holdings, L.P.)</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04/06/2026</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Lakewood, CO 80228</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22,717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(ETX Energy Management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Company, LLC)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10441 S. Regal Blvd. Ste. 210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Tulsa, OK 74133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37,059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L+575, 03/13/2024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Braddan, Isle of Man IM4 4LH</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2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26,632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21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tcBorders>
              <w:top w:val="single" w:sz="8" w:color="CCEEFF"/>
            </w:tcBorders>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2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50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L+1,000 PIK, 11/30/2024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Energy and Utilities</w:t>
            </w:r>
          </w:p>
        </w:tc>
        <w:tc>
          <w:tcPr>
            <w:tcW w:w="3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17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123,958</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8.0% fixed, 07/01/2022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1,219,433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25"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540" w:right="36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540" w:hanging="424"/>
        <w:spacing w:after="0" w:line="221"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Portfolio company partially subject to temporary contractual restriction on sales as of September 30, 2019.</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vMerge w:val="restart"/>
          </w:tcPr>
          <w:p>
            <w:pPr>
              <w:jc w:val="right"/>
              <w:ind w:right="611"/>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59" w:right="11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420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0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company</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Joint Venture</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Direct Lending</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28,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88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r>
      <w:tr>
        <w:trPr>
          <w:trHeight w:val="196"/>
        </w:trPr>
        <w:tc>
          <w:tcPr>
            <w:tcW w:w="8820" w:type="dxa"/>
            <w:vAlign w:val="bottom"/>
            <w:shd w:val="clear" w:color="auto" w:fill="CCEEFF"/>
          </w:tcPr>
          <w:p>
            <w:pPr>
              <w:spacing w:after="0" w:line="195"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Jose A. Briones</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882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80" w:hanging="424"/>
        <w:spacing w:after="0" w:line="29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28, 2020 was $6.58 per share. As of December 31, 2019, we had 9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120" w:right="6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9" w:right="5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2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60" w:hanging="4884"/>
        <w:spacing w:after="0" w:line="490" w:lineRule="auto"/>
        <w:tabs>
          <w:tab w:leader="none" w:pos="10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80" w:right="4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120" w:right="20" w:hanging="4"/>
        <w:spacing w:after="0" w:line="252"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540" w:hanging="439"/>
        <w:spacing w:after="0" w:line="286"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21, 2019, including the information specifically incorporated by reference to the Form 10-K from out Definitive Proxy Statement on </w:t>
      </w:r>
      <w:hyperlink r:id="rId15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6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001-33418), as filed with the SEC on April 19, 2007,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1019810</wp:posOffset>
            </wp:positionV>
            <wp:extent cx="1765935" cy="428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$165,000,000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4.00%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791845</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318135</wp:posOffset>
            </wp:positionV>
            <wp:extent cx="1474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14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Raymond James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Truist Securities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w:t>
      </w:r>
    </w:p>
    <w:p>
      <w:pPr>
        <w:spacing w:after="0" w:line="49" w:lineRule="exact"/>
        <w:rPr>
          <w:sz w:val="20"/>
          <w:szCs w:val="20"/>
          <w:color w:val="auto"/>
        </w:rPr>
      </w:pPr>
    </w:p>
    <w:p>
      <w:pPr>
        <w:sectPr>
          <w:pgSz w:w="11900" w:h="16838" w:orient="portrait"/>
          <w:cols w:equalWidth="0" w:num="4">
            <w:col w:w="3120" w:space="720"/>
            <w:col w:w="2960" w:space="720"/>
            <w:col w:w="1660" w:space="720"/>
            <w:col w:w="1240"/>
          </w:cols>
          <w:pgMar w:left="320" w:top="459" w:right="439" w:bottom="1440" w:gutter="0" w:footer="0" w:header="0"/>
          <w:type w:val="continuous"/>
        </w:sectPr>
      </w:pPr>
    </w:p>
    <w:p>
      <w:pPr>
        <w:jc w:val="center"/>
        <w:ind w:right="-439"/>
        <w:spacing w:after="0"/>
        <w:rPr>
          <w:sz w:val="20"/>
          <w:szCs w:val="20"/>
          <w:color w:val="auto"/>
        </w:rPr>
      </w:pPr>
      <w:r>
        <w:rPr>
          <w:rFonts w:ascii="Arial" w:cs="Arial" w:eastAsia="Arial" w:hAnsi="Arial"/>
          <w:sz w:val="16"/>
          <w:szCs w:val="16"/>
          <w:i w:val="1"/>
          <w:iCs w:val="1"/>
          <w:color w:val="auto"/>
        </w:rPr>
        <w:t>A Stifel Company</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Compass Point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JMP Securities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648970</wp:posOffset>
            </wp:positionV>
            <wp:extent cx="1474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Oppenheimer &amp; Co.</w:t>
      </w:r>
    </w:p>
    <w:p>
      <w:pPr>
        <w:spacing w:after="0" w:line="200" w:lineRule="exact"/>
        <w:rPr>
          <w:sz w:val="20"/>
          <w:szCs w:val="20"/>
          <w:color w:val="auto"/>
        </w:rPr>
      </w:pPr>
    </w:p>
    <w:p>
      <w:pPr>
        <w:sectPr>
          <w:pgSz w:w="11900" w:h="16838" w:orient="portrait"/>
          <w:cols w:equalWidth="0" w:num="4">
            <w:col w:w="2420" w:space="720"/>
            <w:col w:w="2200" w:space="720"/>
            <w:col w:w="2800" w:space="720"/>
            <w:col w:w="156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597535</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657860</wp:posOffset>
            </wp:positionV>
            <wp:extent cx="699516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3"/>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5"/>
    </w:lvl>
  </w:abstractNum>
  <w:abstractNum w:abstractNumId="22">
    <w:nsid w:val="32FFF902"/>
    <w:multiLevelType w:val="hybridMultilevel"/>
    <w:lvl w:ilvl="0">
      <w:lvlJc w:val="left"/>
      <w:lvlText w:val="(%1)"/>
      <w:numFmt w:val="lowerRoman"/>
      <w:start w:val="1"/>
    </w:lvl>
  </w:abstractNum>
  <w:abstractNum w:abstractNumId="23">
    <w:nsid w:val="684A481A"/>
    <w:multiLevelType w:val="hybridMultilevel"/>
    <w:lvl w:ilvl="0">
      <w:lvlJc w:val="left"/>
      <w:lvlText w:val="(%1)"/>
      <w:numFmt w:val="lowerRoman"/>
      <w:start w:val="3"/>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7"/>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upperLetter"/>
      <w:start w:val="2"/>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3"/>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lvl w:ilvl="1">
      <w:lvlJc w:val="left"/>
      <w:lvlText w:val="%2)"/>
      <w:numFmt w:val="decimal"/>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jpe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60" Type="http://schemas.openxmlformats.org/officeDocument/2006/relationships/hyperlink" Target="http://www.sec.gov/Archives/edgar/data/1383414/000156459020054639/pnnt-10k_20200930.htm" TargetMode="External"/><Relationship Id="rId61" Type="http://schemas.openxmlformats.org/officeDocument/2006/relationships/hyperlink" Target="http://www.sec.gov/Archives/edgar/data/0001383414/000156459021015819/pnnt-10ka_20200930.htm" TargetMode="External"/><Relationship Id="rId62" Type="http://schemas.openxmlformats.org/officeDocument/2006/relationships/hyperlink" Target="http://www.sec.gov/Archives/edgar/data/1383414/000156459021004994/pnnt-10q_20201231.htm" TargetMode="External"/><Relationship Id="rId63" Type="http://schemas.openxmlformats.org/officeDocument/2006/relationships/hyperlink" Target="http://www.sec.gov/Archives/edgar/data/1383414/000156459021024045/pnnt-10q_20210331.htm" TargetMode="External"/><Relationship Id="rId64" Type="http://schemas.openxmlformats.org/officeDocument/2006/relationships/hyperlink" Target="http://www.sec.gov/Archives/edgar/data/1383414/000156459021040927/pnnt-10q_20210630.htm" TargetMode="External"/><Relationship Id="rId65" Type="http://schemas.openxmlformats.org/officeDocument/2006/relationships/hyperlink" Target="http://www.sec.gov/Archives/edgar/data/1383414/000156459021005778/pnnt-8k_20210209.htm" TargetMode="External"/><Relationship Id="rId66" Type="http://schemas.openxmlformats.org/officeDocument/2006/relationships/hyperlink" Target="http://www.sec.gov/Archives/edgar/data/1383414/000119312521122903/d164757d8k.htm" TargetMode="External"/><Relationship Id="rId67" Type="http://schemas.openxmlformats.org/officeDocument/2006/relationships/hyperlink" Target="http://www.sec.gov/Archives/edgar/data/1383414/000119312521125241/d124015d8k.htm" TargetMode="External"/><Relationship Id="rId68" Type="http://schemas.openxmlformats.org/officeDocument/2006/relationships/hyperlink" Target="http://www.sec.gov/Archives/edgar/data/1383414/000119312521195215/d153436d8k.htm" TargetMode="External"/><Relationship Id="rId69" Type="http://schemas.openxmlformats.org/officeDocument/2006/relationships/hyperlink" Target="http://www.sec.gov/Archives/edgar/data/1383414/000095012320012521/pnnt-def14a_20210930.htm" TargetMode="External"/><Relationship Id="rId70" Type="http://schemas.openxmlformats.org/officeDocument/2006/relationships/hyperlink" Target="http://www.sec.gov/Archives/edgar/data/1383414/000156459020054639/pnnt-10k_20200930.htm#PART_III" TargetMode="External"/><Relationship Id="rId158" Type="http://schemas.openxmlformats.org/officeDocument/2006/relationships/hyperlink" Target="http://www.sec.gov/Archives/edgar/data/1383414/000156459019044110/pnnt-10k_20190930.htm" TargetMode="External"/><Relationship Id="rId159" Type="http://schemas.openxmlformats.org/officeDocument/2006/relationships/hyperlink" Target="http://www.sec.gov/Archives/edgar/data/1383414/000156459019046217/pnnt-def14a_20200930.htm" TargetMode="External"/><Relationship Id="rId160" Type="http://schemas.openxmlformats.org/officeDocument/2006/relationships/hyperlink" Target="http://www.sec.gov/Archives/edgar/data/1383414/00011931250708471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2021-10-15T15:15:04Z</dcterms:created>
  <dcterms:modified xsi:type="dcterms:W3CDTF">2021-10-15T15:15:04Z</dcterms:modified>
</cp:coreProperties>
</file>