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90170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109855</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2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-120650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FISCAL YEAR ENDED SEPTEMBER 30, 2008</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71" w:lineRule="exact"/>
        <w:rPr>
          <w:sz w:val="24"/>
          <w:szCs w:val="24"/>
          <w:color w:val="auto"/>
        </w:rPr>
      </w:pPr>
    </w:p>
    <w:p>
      <w:pPr>
        <w:ind w:left="460" w:right="2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6" w:lineRule="exact"/>
        <w:rPr>
          <w:sz w:val="24"/>
          <w:szCs w:val="24"/>
          <w:color w:val="auto"/>
        </w:rPr>
      </w:pPr>
    </w:p>
    <w:p>
      <w:pPr>
        <w:ind w:left="3040"/>
        <w:spacing w:after="0"/>
        <w:tabs>
          <w:tab w:leader="none" w:pos="70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5"/>
          <w:szCs w:val="15"/>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96520</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4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92710</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0"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780" w:type="dxa"/>
            <w:vAlign w:val="bottom"/>
          </w:tcPr>
          <w:p>
            <w:pPr>
              <w:spacing w:after="0"/>
              <w:rPr>
                <w:sz w:val="18"/>
                <w:szCs w:val="18"/>
                <w:color w:val="auto"/>
              </w:rPr>
            </w:pPr>
          </w:p>
        </w:tc>
        <w:tc>
          <w:tcPr>
            <w:tcW w:w="4900" w:type="dxa"/>
            <w:vAlign w:val="bottom"/>
            <w:gridSpan w:val="4"/>
          </w:tcPr>
          <w:p>
            <w:pPr>
              <w:jc w:val="center"/>
              <w:ind w:right="3740"/>
              <w:spacing w:after="0"/>
              <w:rPr>
                <w:sz w:val="20"/>
                <w:szCs w:val="20"/>
                <w:color w:val="auto"/>
              </w:rPr>
            </w:pPr>
            <w:r>
              <w:rPr>
                <w:rFonts w:ascii="Arial" w:cs="Arial" w:eastAsia="Arial" w:hAnsi="Arial"/>
                <w:sz w:val="18"/>
                <w:szCs w:val="18"/>
                <w:b w:val="1"/>
                <w:bCs w:val="1"/>
                <w:color w:val="auto"/>
              </w:rPr>
              <w:t>MARYLAND</w:t>
            </w:r>
          </w:p>
        </w:tc>
        <w:tc>
          <w:tcPr>
            <w:tcW w:w="238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20-8250744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680" w:type="dxa"/>
            <w:vAlign w:val="bottom"/>
            <w:gridSpan w:val="5"/>
          </w:tcPr>
          <w:p>
            <w:pPr>
              <w:jc w:val="center"/>
              <w:ind w:right="1940"/>
              <w:spacing w:after="0"/>
              <w:rPr>
                <w:sz w:val="20"/>
                <w:szCs w:val="20"/>
                <w:color w:val="auto"/>
              </w:rPr>
            </w:pPr>
            <w:r>
              <w:rPr>
                <w:rFonts w:ascii="Arial" w:cs="Arial" w:eastAsia="Arial" w:hAnsi="Arial"/>
                <w:sz w:val="13"/>
                <w:szCs w:val="13"/>
                <w:b w:val="1"/>
                <w:bCs w:val="1"/>
                <w:color w:val="auto"/>
                <w:w w:val="94"/>
              </w:rPr>
              <w:t>(State or other jurisdiction</w:t>
            </w:r>
          </w:p>
        </w:tc>
        <w:tc>
          <w:tcPr>
            <w:tcW w:w="2380" w:type="dxa"/>
            <w:vAlign w:val="bottom"/>
            <w:gridSpan w:val="2"/>
          </w:tcPr>
          <w:p>
            <w:pPr>
              <w:jc w:val="center"/>
              <w:ind w:left="364"/>
              <w:spacing w:after="0"/>
              <w:rPr>
                <w:sz w:val="20"/>
                <w:szCs w:val="20"/>
                <w:color w:val="auto"/>
              </w:rPr>
            </w:pPr>
            <w:r>
              <w:rPr>
                <w:rFonts w:ascii="Arial" w:cs="Arial" w:eastAsia="Arial" w:hAnsi="Arial"/>
                <w:sz w:val="13"/>
                <w:szCs w:val="13"/>
                <w:b w:val="1"/>
                <w:bCs w:val="1"/>
                <w:color w:val="auto"/>
                <w:w w:val="98"/>
              </w:rPr>
              <w:t>(I.R.S. Employer</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680" w:type="dxa"/>
            <w:vAlign w:val="bottom"/>
            <w:gridSpan w:val="5"/>
          </w:tcPr>
          <w:p>
            <w:pPr>
              <w:jc w:val="center"/>
              <w:ind w:right="1960"/>
              <w:spacing w:after="0"/>
              <w:rPr>
                <w:sz w:val="20"/>
                <w:szCs w:val="20"/>
                <w:color w:val="auto"/>
              </w:rPr>
            </w:pPr>
            <w:r>
              <w:rPr>
                <w:rFonts w:ascii="Arial" w:cs="Arial" w:eastAsia="Arial" w:hAnsi="Arial"/>
                <w:sz w:val="13"/>
                <w:szCs w:val="13"/>
                <w:b w:val="1"/>
                <w:bCs w:val="1"/>
                <w:color w:val="auto"/>
                <w:w w:val="95"/>
              </w:rPr>
              <w:t>of incorporation or organization)</w:t>
            </w:r>
          </w:p>
        </w:tc>
        <w:tc>
          <w:tcPr>
            <w:tcW w:w="2380" w:type="dxa"/>
            <w:vAlign w:val="bottom"/>
            <w:gridSpan w:val="2"/>
          </w:tcPr>
          <w:p>
            <w:pPr>
              <w:jc w:val="center"/>
              <w:ind w:left="364"/>
              <w:spacing w:after="0"/>
              <w:rPr>
                <w:sz w:val="20"/>
                <w:szCs w:val="20"/>
                <w:color w:val="auto"/>
              </w:rPr>
            </w:pPr>
            <w:r>
              <w:rPr>
                <w:rFonts w:ascii="Arial" w:cs="Arial" w:eastAsia="Arial" w:hAnsi="Arial"/>
                <w:sz w:val="13"/>
                <w:szCs w:val="13"/>
                <w:b w:val="1"/>
                <w:bCs w:val="1"/>
                <w:color w:val="auto"/>
                <w:w w:val="96"/>
              </w:rPr>
              <w:t>Identification No.)</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6680" w:type="dxa"/>
            <w:vAlign w:val="bottom"/>
            <w:gridSpan w:val="5"/>
          </w:tcPr>
          <w:p>
            <w:pPr>
              <w:jc w:val="center"/>
              <w:ind w:right="1960"/>
              <w:spacing w:after="0"/>
              <w:rPr>
                <w:sz w:val="20"/>
                <w:szCs w:val="20"/>
                <w:color w:val="auto"/>
              </w:rPr>
            </w:pPr>
            <w:r>
              <w:rPr>
                <w:rFonts w:ascii="Arial" w:cs="Arial" w:eastAsia="Arial" w:hAnsi="Arial"/>
                <w:sz w:val="18"/>
                <w:szCs w:val="18"/>
                <w:b w:val="1"/>
                <w:bCs w:val="1"/>
                <w:color w:val="auto"/>
                <w:w w:val="87"/>
              </w:rPr>
              <w:t>590 Madison Avenue,</w:t>
            </w: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680" w:type="dxa"/>
            <w:vAlign w:val="bottom"/>
            <w:gridSpan w:val="5"/>
          </w:tcPr>
          <w:p>
            <w:pPr>
              <w:jc w:val="center"/>
              <w:ind w:right="1960"/>
              <w:spacing w:after="0" w:line="231" w:lineRule="exact"/>
              <w:rPr>
                <w:sz w:val="20"/>
                <w:szCs w:val="20"/>
                <w:color w:val="auto"/>
              </w:rPr>
            </w:pPr>
            <w:r>
              <w:rPr>
                <w:rFonts w:ascii="Arial" w:cs="Arial" w:eastAsia="Arial" w:hAnsi="Arial"/>
                <w:sz w:val="18"/>
                <w:szCs w:val="18"/>
                <w:b w:val="1"/>
                <w:bCs w:val="1"/>
                <w:color w:val="auto"/>
                <w:w w:val="88"/>
              </w:rPr>
              <w:t>15</w:t>
            </w:r>
            <w:r>
              <w:rPr>
                <w:rFonts w:ascii="Arial" w:cs="Arial" w:eastAsia="Arial" w:hAnsi="Arial"/>
                <w:sz w:val="22"/>
                <w:szCs w:val="22"/>
                <w:b w:val="1"/>
                <w:bCs w:val="1"/>
                <w:color w:val="auto"/>
                <w:w w:val="88"/>
                <w:vertAlign w:val="superscript"/>
              </w:rPr>
              <w:t>th</w:t>
            </w:r>
            <w:r>
              <w:rPr>
                <w:rFonts w:ascii="Arial" w:cs="Arial" w:eastAsia="Arial" w:hAnsi="Arial"/>
                <w:sz w:val="18"/>
                <w:szCs w:val="18"/>
                <w:b w:val="1"/>
                <w:bCs w:val="1"/>
                <w:color w:val="auto"/>
                <w:w w:val="88"/>
              </w:rPr>
              <w:t xml:space="preserve"> Floor New York, N.Y.</w:t>
            </w:r>
          </w:p>
        </w:tc>
        <w:tc>
          <w:tcPr>
            <w:tcW w:w="1720" w:type="dxa"/>
            <w:vAlign w:val="bottom"/>
          </w:tcPr>
          <w:p>
            <w:pPr>
              <w:jc w:val="right"/>
              <w:ind w:right="24"/>
              <w:spacing w:after="0"/>
              <w:rPr>
                <w:sz w:val="20"/>
                <w:szCs w:val="20"/>
                <w:color w:val="auto"/>
              </w:rPr>
            </w:pPr>
            <w:r>
              <w:rPr>
                <w:rFonts w:ascii="Arial" w:cs="Arial" w:eastAsia="Arial" w:hAnsi="Arial"/>
                <w:sz w:val="18"/>
                <w:szCs w:val="18"/>
                <w:b w:val="1"/>
                <w:bCs w:val="1"/>
                <w:color w:val="auto"/>
              </w:rPr>
              <w:t>10022</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680" w:type="dxa"/>
            <w:vAlign w:val="bottom"/>
            <w:gridSpan w:val="5"/>
          </w:tcPr>
          <w:p>
            <w:pPr>
              <w:jc w:val="center"/>
              <w:ind w:right="196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380" w:type="dxa"/>
            <w:vAlign w:val="bottom"/>
            <w:gridSpan w:val="2"/>
          </w:tcPr>
          <w:p>
            <w:pPr>
              <w:jc w:val="center"/>
              <w:ind w:left="364"/>
              <w:spacing w:after="0"/>
              <w:rPr>
                <w:sz w:val="20"/>
                <w:szCs w:val="20"/>
                <w:color w:val="auto"/>
              </w:rPr>
            </w:pPr>
            <w:r>
              <w:rPr>
                <w:rFonts w:ascii="Arial" w:cs="Arial" w:eastAsia="Arial" w:hAnsi="Arial"/>
                <w:sz w:val="13"/>
                <w:szCs w:val="13"/>
                <w:b w:val="1"/>
                <w:bCs w:val="1"/>
                <w:color w:val="auto"/>
                <w:w w:val="96"/>
              </w:rPr>
              <w:t>(Zip Code)</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4"/>
                <w:szCs w:val="24"/>
                <w:color w:val="auto"/>
              </w:rPr>
            </w:pPr>
          </w:p>
        </w:tc>
        <w:tc>
          <w:tcPr>
            <w:tcW w:w="6620" w:type="dxa"/>
            <w:vAlign w:val="bottom"/>
            <w:gridSpan w:val="5"/>
          </w:tcPr>
          <w:p>
            <w:pPr>
              <w:jc w:val="center"/>
              <w:ind w:left="57"/>
              <w:spacing w:after="0"/>
              <w:rPr>
                <w:sz w:val="20"/>
                <w:szCs w:val="20"/>
                <w:color w:val="auto"/>
              </w:rPr>
            </w:pPr>
            <w:r>
              <w:rPr>
                <w:rFonts w:ascii="Arial" w:cs="Arial" w:eastAsia="Arial" w:hAnsi="Arial"/>
                <w:sz w:val="18"/>
                <w:szCs w:val="18"/>
                <w:b w:val="1"/>
                <w:bCs w:val="1"/>
                <w:color w:val="auto"/>
                <w:w w:val="87"/>
              </w:rPr>
              <w:t>Registrant’s telephone number, including area code (212)-905-1000</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60" w:type="dxa"/>
            <w:vAlign w:val="bottom"/>
            <w:gridSpan w:val="4"/>
          </w:tcPr>
          <w:p>
            <w:pPr>
              <w:jc w:val="center"/>
              <w:ind w:right="92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Title of Each Class</w:t>
            </w:r>
          </w:p>
        </w:tc>
        <w:tc>
          <w:tcPr>
            <w:tcW w:w="3740" w:type="dxa"/>
            <w:vAlign w:val="bottom"/>
            <w:gridSpan w:val="3"/>
          </w:tcPr>
          <w:p>
            <w:pPr>
              <w:spacing w:after="0"/>
              <w:rPr>
                <w:sz w:val="20"/>
                <w:szCs w:val="20"/>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Name of Each Exchange on Which Registered</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gridSpan w:val="5"/>
          </w:tcPr>
          <w:p>
            <w:pPr>
              <w:jc w:val="center"/>
              <w:ind w:right="1960"/>
              <w:spacing w:after="0"/>
              <w:rPr>
                <w:sz w:val="20"/>
                <w:szCs w:val="20"/>
                <w:color w:val="auto"/>
              </w:rPr>
            </w:pPr>
            <w:r>
              <w:rPr>
                <w:rFonts w:ascii="Arial" w:cs="Arial" w:eastAsia="Arial" w:hAnsi="Arial"/>
                <w:sz w:val="18"/>
                <w:szCs w:val="18"/>
                <w:color w:val="auto"/>
                <w:w w:val="87"/>
              </w:rPr>
              <w:t>Common Stock, par value $0.001 per share</w:t>
            </w:r>
          </w:p>
        </w:tc>
        <w:tc>
          <w:tcPr>
            <w:tcW w:w="308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289"/>
        </w:trPr>
        <w:tc>
          <w:tcPr>
            <w:tcW w:w="1780" w:type="dxa"/>
            <w:vAlign w:val="bottom"/>
          </w:tcPr>
          <w:p>
            <w:pPr>
              <w:spacing w:after="0"/>
              <w:rPr>
                <w:sz w:val="24"/>
                <w:szCs w:val="24"/>
                <w:color w:val="auto"/>
              </w:rPr>
            </w:pPr>
          </w:p>
        </w:tc>
        <w:tc>
          <w:tcPr>
            <w:tcW w:w="6620" w:type="dxa"/>
            <w:vAlign w:val="bottom"/>
            <w:gridSpan w:val="5"/>
          </w:tcPr>
          <w:p>
            <w:pPr>
              <w:jc w:val="center"/>
              <w:ind w:left="5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980" w:type="dxa"/>
            <w:vAlign w:val="bottom"/>
            <w:gridSpan w:val="3"/>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060" w:type="dxa"/>
            <w:vAlign w:val="bottom"/>
            <w:gridSpan w:val="2"/>
          </w:tcPr>
          <w:p>
            <w:pPr>
              <w:spacing w:after="0"/>
              <w:rPr>
                <w:sz w:val="11"/>
                <w:szCs w:val="11"/>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3"/>
                <w:szCs w:val="23"/>
                <w:color w:val="auto"/>
              </w:rPr>
            </w:pPr>
          </w:p>
        </w:tc>
        <w:tc>
          <w:tcPr>
            <w:tcW w:w="7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70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7"/>
              </w:rPr>
              <w:t xml:space="preserve">No </w:t>
            </w:r>
            <w:r>
              <w:rPr>
                <w:rFonts w:ascii="MS PGothic" w:cs="MS PGothic" w:eastAsia="MS PGothic" w:hAnsi="MS PGothic"/>
                <w:sz w:val="18"/>
                <w:szCs w:val="18"/>
                <w:color w:val="auto"/>
                <w:w w:val="97"/>
              </w:rPr>
              <w:t>☒</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8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6" w:lineRule="exact"/>
        <w:rPr>
          <w:sz w:val="24"/>
          <w:szCs w:val="24"/>
          <w:color w:val="auto"/>
        </w:rPr>
      </w:pPr>
    </w:p>
    <w:p>
      <w:pPr>
        <w:jc w:val="both"/>
        <w:ind w:firstLine="449"/>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6" w:lineRule="exact"/>
        <w:rPr>
          <w:sz w:val="24"/>
          <w:szCs w:val="24"/>
          <w:color w:val="auto"/>
        </w:rPr>
      </w:pPr>
    </w:p>
    <w:p>
      <w:pPr>
        <w:ind w:right="26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00"/>
          </w:cols>
          <w:pgMar w:left="320" w:top="230" w:right="379" w:bottom="1440" w:gutter="0" w:footer="0" w:header="0"/>
        </w:sectPr>
      </w:pPr>
    </w:p>
    <w:p>
      <w:pPr>
        <w:spacing w:after="0" w:line="51" w:lineRule="exact"/>
        <w:rPr>
          <w:sz w:val="24"/>
          <w:szCs w:val="24"/>
          <w:color w:val="auto"/>
        </w:rPr>
      </w:pPr>
    </w:p>
    <w:p>
      <w:pPr>
        <w:ind w:left="25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8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124" w:lineRule="exact"/>
        <w:rPr>
          <w:sz w:val="24"/>
          <w:szCs w:val="24"/>
          <w:color w:val="auto"/>
        </w:rPr>
      </w:pPr>
    </w:p>
    <w:p>
      <w:pPr>
        <w:sectPr>
          <w:pgSz w:w="11900" w:h="16838" w:orient="portrait"/>
          <w:cols w:equalWidth="0" w:num="6">
            <w:col w:w="4120" w:space="80"/>
            <w:col w:w="220" w:space="520"/>
            <w:col w:w="1160" w:space="100"/>
            <w:col w:w="200" w:space="520"/>
            <w:col w:w="1500" w:space="80"/>
            <w:col w:w="2700"/>
          </w:cols>
          <w:pgMar w:left="320" w:top="230" w:right="3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156" w:lineRule="exact"/>
        <w:rPr>
          <w:sz w:val="24"/>
          <w:szCs w:val="24"/>
          <w:color w:val="auto"/>
        </w:rPr>
      </w:pPr>
    </w:p>
    <w:p>
      <w:pPr>
        <w:sectPr>
          <w:pgSz w:w="11900" w:h="16838" w:orient="portrait"/>
          <w:cols w:equalWidth="0" w:num="5">
            <w:col w:w="8420" w:space="160"/>
            <w:col w:w="260" w:space="100"/>
            <w:col w:w="140" w:space="180"/>
            <w:col w:w="220" w:space="100"/>
            <w:col w:w="1620"/>
          </w:cols>
          <w:pgMar w:left="320" w:top="230" w:right="379" w:bottom="1440" w:gutter="0" w:footer="0" w:header="0"/>
          <w:type w:val="continuous"/>
        </w:sectPr>
      </w:pPr>
    </w:p>
    <w:p>
      <w:pPr>
        <w:jc w:val="both"/>
        <w:ind w:right="100" w:firstLine="449"/>
        <w:spacing w:after="0" w:line="335" w:lineRule="auto"/>
        <w:rPr>
          <w:sz w:val="20"/>
          <w:szCs w:val="20"/>
          <w:color w:val="auto"/>
        </w:rPr>
      </w:pPr>
      <w:r>
        <w:rPr>
          <w:rFonts w:ascii="Arial" w:cs="Arial" w:eastAsia="Arial" w:hAnsi="Arial"/>
          <w:sz w:val="15"/>
          <w:szCs w:val="15"/>
          <w:color w:val="auto"/>
        </w:rPr>
        <w:t>The aggregate market value of common stock held by non-affiliates of the Registrant on September 30, 2008 based on the closing price on that date of $7.41 on the NASDAQ Global Select Market was approximately $156.1 million. For the purposes of calculating this amount only, all directors and executive officers of the Registrant have been treated as affiliates. There were 21,068,772 shares of the Registrant’s common stock outstanding as of December 1, 2008.</w:t>
      </w:r>
    </w:p>
    <w:p>
      <w:pPr>
        <w:spacing w:after="0" w:line="7" w:lineRule="exact"/>
        <w:rPr>
          <w:sz w:val="24"/>
          <w:szCs w:val="24"/>
          <w:color w:val="auto"/>
        </w:rPr>
      </w:pPr>
    </w:p>
    <w:p>
      <w:pPr>
        <w:ind w:firstLine="449"/>
        <w:spacing w:after="0" w:line="259" w:lineRule="auto"/>
        <w:rPr>
          <w:sz w:val="20"/>
          <w:szCs w:val="20"/>
          <w:color w:val="auto"/>
        </w:rPr>
      </w:pPr>
      <w:r>
        <w:rPr>
          <w:rFonts w:ascii="Arial" w:cs="Arial" w:eastAsia="Arial" w:hAnsi="Arial"/>
          <w:sz w:val="18"/>
          <w:szCs w:val="18"/>
          <w:color w:val="auto"/>
        </w:rPr>
        <w:t>Documents Incorporated by Reference: Portions of the Registrant’s Proxy Statement relating to the Registrant’s 2009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9460" w:type="dxa"/>
            <w:vAlign w:val="bottom"/>
          </w:tcPr>
          <w:p>
            <w:pPr>
              <w:jc w:val="center"/>
              <w:ind w:left="12"/>
              <w:spacing w:after="0"/>
              <w:rPr>
                <w:sz w:val="20"/>
                <w:szCs w:val="20"/>
                <w:color w:val="auto"/>
              </w:rPr>
            </w:pPr>
            <w:r>
              <w:rPr>
                <w:rFonts w:ascii="Arial" w:cs="Arial" w:eastAsia="Arial" w:hAnsi="Arial"/>
                <w:sz w:val="18"/>
                <w:szCs w:val="18"/>
                <w:b w:val="1"/>
                <w:bCs w:val="1"/>
                <w:color w:val="auto"/>
                <w:w w:val="98"/>
              </w:rPr>
              <w:t>PENNANTPARK INVESTMENT CORPORATION</w:t>
            </w:r>
          </w:p>
        </w:tc>
        <w:tc>
          <w:tcPr>
            <w:tcW w:w="9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460" w:type="dxa"/>
            <w:vAlign w:val="bottom"/>
          </w:tcPr>
          <w:p>
            <w:pPr>
              <w:jc w:val="center"/>
              <w:ind w:left="12"/>
              <w:spacing w:after="0"/>
              <w:rPr>
                <w:sz w:val="20"/>
                <w:szCs w:val="20"/>
                <w:color w:val="auto"/>
              </w:rPr>
            </w:pPr>
            <w:r>
              <w:rPr>
                <w:rFonts w:ascii="Arial" w:cs="Arial" w:eastAsia="Arial" w:hAnsi="Arial"/>
                <w:sz w:val="18"/>
                <w:szCs w:val="18"/>
                <w:b w:val="1"/>
                <w:bCs w:val="1"/>
                <w:color w:val="auto"/>
                <w:w w:val="98"/>
              </w:rPr>
              <w:t>FORM 10-K</w:t>
            </w:r>
          </w:p>
        </w:tc>
        <w:tc>
          <w:tcPr>
            <w:tcW w:w="940" w:type="dxa"/>
            <w:vAlign w:val="bottom"/>
          </w:tcPr>
          <w:p>
            <w:pPr>
              <w:spacing w:after="0"/>
              <w:rPr>
                <w:sz w:val="18"/>
                <w:szCs w:val="18"/>
                <w:color w:val="auto"/>
              </w:rPr>
            </w:pPr>
          </w:p>
        </w:tc>
      </w:tr>
      <w:tr>
        <w:trPr>
          <w:trHeight w:val="228"/>
        </w:trPr>
        <w:tc>
          <w:tcPr>
            <w:tcW w:w="840" w:type="dxa"/>
            <w:vAlign w:val="bottom"/>
          </w:tcPr>
          <w:p>
            <w:pPr>
              <w:spacing w:after="0"/>
              <w:rPr>
                <w:sz w:val="19"/>
                <w:szCs w:val="19"/>
                <w:color w:val="auto"/>
              </w:rPr>
            </w:pPr>
          </w:p>
        </w:tc>
        <w:tc>
          <w:tcPr>
            <w:tcW w:w="9460" w:type="dxa"/>
            <w:vAlign w:val="bottom"/>
          </w:tcPr>
          <w:p>
            <w:pPr>
              <w:jc w:val="center"/>
              <w:ind w:left="32"/>
              <w:spacing w:after="0"/>
              <w:rPr>
                <w:sz w:val="20"/>
                <w:szCs w:val="20"/>
                <w:color w:val="auto"/>
              </w:rPr>
            </w:pPr>
            <w:r>
              <w:rPr>
                <w:rFonts w:ascii="Arial" w:cs="Arial" w:eastAsia="Arial" w:hAnsi="Arial"/>
                <w:sz w:val="18"/>
                <w:szCs w:val="18"/>
                <w:b w:val="1"/>
                <w:bCs w:val="1"/>
                <w:color w:val="auto"/>
                <w:w w:val="96"/>
              </w:rPr>
              <w:t>FOR THE FISCAL YEAR ENDED SEPTEMBER 30, 2008</w:t>
            </w:r>
          </w:p>
        </w:tc>
        <w:tc>
          <w:tcPr>
            <w:tcW w:w="940" w:type="dxa"/>
            <w:vAlign w:val="bottom"/>
          </w:tcPr>
          <w:p>
            <w:pPr>
              <w:spacing w:after="0"/>
              <w:rPr>
                <w:sz w:val="19"/>
                <w:szCs w:val="19"/>
                <w:color w:val="auto"/>
              </w:rPr>
            </w:pPr>
          </w:p>
        </w:tc>
      </w:tr>
      <w:tr>
        <w:trPr>
          <w:trHeight w:val="297"/>
        </w:trPr>
        <w:tc>
          <w:tcPr>
            <w:tcW w:w="840" w:type="dxa"/>
            <w:vAlign w:val="bottom"/>
          </w:tcPr>
          <w:p>
            <w:pPr>
              <w:spacing w:after="0"/>
              <w:rPr>
                <w:sz w:val="24"/>
                <w:szCs w:val="24"/>
                <w:color w:val="auto"/>
              </w:rPr>
            </w:pPr>
          </w:p>
        </w:tc>
        <w:tc>
          <w:tcPr>
            <w:tcW w:w="9460" w:type="dxa"/>
            <w:vAlign w:val="bottom"/>
          </w:tcPr>
          <w:p>
            <w:pPr>
              <w:jc w:val="center"/>
              <w:ind w:left="12"/>
              <w:spacing w:after="0"/>
              <w:rPr>
                <w:sz w:val="20"/>
                <w:szCs w:val="20"/>
                <w:color w:val="auto"/>
              </w:rPr>
            </w:pPr>
            <w:r>
              <w:rPr>
                <w:rFonts w:ascii="Arial" w:cs="Arial" w:eastAsia="Arial" w:hAnsi="Arial"/>
                <w:sz w:val="18"/>
                <w:szCs w:val="18"/>
                <w:b w:val="1"/>
                <w:bCs w:val="1"/>
                <w:color w:val="auto"/>
                <w:w w:val="96"/>
              </w:rPr>
              <w:t>TABLE OF CONTENTS</w:t>
            </w:r>
          </w:p>
        </w:tc>
        <w:tc>
          <w:tcPr>
            <w:tcW w:w="940" w:type="dxa"/>
            <w:vAlign w:val="bottom"/>
          </w:tcPr>
          <w:p>
            <w:pPr>
              <w:spacing w:after="0"/>
              <w:rPr>
                <w:sz w:val="24"/>
                <w:szCs w:val="24"/>
                <w:color w:val="auto"/>
              </w:rPr>
            </w:pPr>
          </w:p>
        </w:tc>
      </w:tr>
      <w:tr>
        <w:trPr>
          <w:trHeight w:val="418"/>
        </w:trPr>
        <w:tc>
          <w:tcPr>
            <w:tcW w:w="840" w:type="dxa"/>
            <w:vAlign w:val="bottom"/>
          </w:tcPr>
          <w:p>
            <w:pPr>
              <w:spacing w:after="0"/>
              <w:rPr>
                <w:sz w:val="24"/>
                <w:szCs w:val="24"/>
                <w:color w:val="auto"/>
              </w:rPr>
            </w:pPr>
          </w:p>
        </w:tc>
        <w:tc>
          <w:tcPr>
            <w:tcW w:w="9460" w:type="dxa"/>
            <w:vAlign w:val="bottom"/>
          </w:tcPr>
          <w:p>
            <w:pPr>
              <w:jc w:val="center"/>
              <w:ind w:left="672"/>
              <w:spacing w:after="0"/>
              <w:rPr>
                <w:sz w:val="20"/>
                <w:szCs w:val="20"/>
                <w:color w:val="auto"/>
              </w:rPr>
            </w:pPr>
            <w:r>
              <w:rPr>
                <w:rFonts w:ascii="Arial" w:cs="Arial" w:eastAsia="Arial" w:hAnsi="Arial"/>
                <w:sz w:val="18"/>
                <w:szCs w:val="18"/>
                <w:b w:val="1"/>
                <w:bCs w:val="1"/>
                <w:color w:val="auto"/>
                <w:w w:val="98"/>
              </w:rPr>
              <w:t>PART I</w:t>
            </w:r>
          </w:p>
        </w:tc>
        <w:tc>
          <w:tcPr>
            <w:tcW w:w="94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Business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Unresolved Staff Comments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Properties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Submission of Matters to a Vote of Security Holders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51"/>
        </w:trPr>
        <w:tc>
          <w:tcPr>
            <w:tcW w:w="840" w:type="dxa"/>
            <w:vAlign w:val="bottom"/>
          </w:tcPr>
          <w:p>
            <w:pPr>
              <w:spacing w:after="0"/>
              <w:rPr>
                <w:sz w:val="24"/>
                <w:szCs w:val="24"/>
                <w:color w:val="auto"/>
              </w:rPr>
            </w:pPr>
          </w:p>
        </w:tc>
        <w:tc>
          <w:tcPr>
            <w:tcW w:w="9460" w:type="dxa"/>
            <w:vAlign w:val="bottom"/>
          </w:tcPr>
          <w:p>
            <w:pPr>
              <w:jc w:val="center"/>
              <w:ind w:left="652"/>
              <w:spacing w:after="0"/>
              <w:rPr>
                <w:sz w:val="20"/>
                <w:szCs w:val="20"/>
                <w:color w:val="auto"/>
              </w:rPr>
            </w:pPr>
            <w:r>
              <w:rPr>
                <w:rFonts w:ascii="Arial" w:cs="Arial" w:eastAsia="Arial" w:hAnsi="Arial"/>
                <w:sz w:val="18"/>
                <w:szCs w:val="18"/>
                <w:b w:val="1"/>
                <w:bCs w:val="1"/>
                <w:color w:val="auto"/>
                <w:w w:val="99"/>
              </w:rPr>
              <w:t>PART II</w:t>
            </w:r>
          </w:p>
        </w:tc>
        <w:tc>
          <w:tcPr>
            <w:tcW w:w="94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460" w:type="dxa"/>
            <w:vAlign w:val="bottom"/>
          </w:tcPr>
          <w:p>
            <w:pPr>
              <w:ind w:left="160"/>
              <w:spacing w:after="0"/>
              <w:rPr>
                <w:rFonts w:ascii="Arial" w:cs="Arial" w:eastAsia="Arial" w:hAnsi="Arial"/>
                <w:sz w:val="18"/>
                <w:szCs w:val="18"/>
                <w:b w:val="1"/>
                <w:bCs w:val="1"/>
                <w:u w:val="single" w:color="auto"/>
                <w:color w:val="0000EE"/>
                <w:w w:val="96"/>
              </w:rPr>
            </w:pPr>
            <w:hyperlink w:anchor="page42">
              <w:r>
                <w:rPr>
                  <w:rFonts w:ascii="Arial" w:cs="Arial" w:eastAsia="Arial" w:hAnsi="Arial"/>
                  <w:sz w:val="18"/>
                  <w:szCs w:val="18"/>
                  <w:b w:val="1"/>
                  <w:bCs w:val="1"/>
                  <w:u w:val="single" w:color="auto"/>
                  <w:color w:val="0000EE"/>
                  <w:w w:val="96"/>
                </w:rPr>
                <w:t>Market For Registrant’s Common Equity, Related Stockholder Matters and Issuer Purchases of Equity Securities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7A.</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Quantitative And Qualitative Disclosures About Market Risk</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Financial Statements and Supplementary Data</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80">
              <w:r>
                <w:rPr>
                  <w:rFonts w:ascii="Arial" w:cs="Arial" w:eastAsia="Arial" w:hAnsi="Arial"/>
                  <w:sz w:val="18"/>
                  <w:szCs w:val="18"/>
                  <w:b w:val="1"/>
                  <w:bCs w:val="1"/>
                  <w:u w:val="single" w:color="auto"/>
                  <w:color w:val="0000EE"/>
                </w:rPr>
                <w:t>Changes in and Disagreements with Accountants on Accounting and Financial Disclosure</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9A.</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80">
              <w:r>
                <w:rPr>
                  <w:rFonts w:ascii="Arial" w:cs="Arial" w:eastAsia="Arial" w:hAnsi="Arial"/>
                  <w:sz w:val="18"/>
                  <w:szCs w:val="18"/>
                  <w:b w:val="1"/>
                  <w:bCs w:val="1"/>
                  <w:u w:val="single" w:color="auto"/>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9B.</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80">
              <w:r>
                <w:rPr>
                  <w:rFonts w:ascii="Arial" w:cs="Arial" w:eastAsia="Arial" w:hAnsi="Arial"/>
                  <w:sz w:val="18"/>
                  <w:szCs w:val="18"/>
                  <w:b w:val="1"/>
                  <w:bCs w:val="1"/>
                  <w:u w:val="single" w:color="auto"/>
                  <w:color w:val="0000EE"/>
                </w:rPr>
                <w:t>Other Information</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351"/>
        </w:trPr>
        <w:tc>
          <w:tcPr>
            <w:tcW w:w="840" w:type="dxa"/>
            <w:vAlign w:val="bottom"/>
          </w:tcPr>
          <w:p>
            <w:pPr>
              <w:spacing w:after="0"/>
              <w:rPr>
                <w:sz w:val="24"/>
                <w:szCs w:val="24"/>
                <w:color w:val="auto"/>
              </w:rPr>
            </w:pPr>
          </w:p>
        </w:tc>
        <w:tc>
          <w:tcPr>
            <w:tcW w:w="9460" w:type="dxa"/>
            <w:vAlign w:val="bottom"/>
          </w:tcPr>
          <w:p>
            <w:pPr>
              <w:jc w:val="center"/>
              <w:ind w:left="672"/>
              <w:spacing w:after="0"/>
              <w:rPr>
                <w:sz w:val="20"/>
                <w:szCs w:val="20"/>
                <w:color w:val="auto"/>
              </w:rPr>
            </w:pPr>
            <w:r>
              <w:rPr>
                <w:rFonts w:ascii="Arial" w:cs="Arial" w:eastAsia="Arial" w:hAnsi="Arial"/>
                <w:sz w:val="18"/>
                <w:szCs w:val="18"/>
                <w:b w:val="1"/>
                <w:bCs w:val="1"/>
                <w:color w:val="auto"/>
              </w:rPr>
              <w:t>PART III</w:t>
            </w:r>
          </w:p>
        </w:tc>
        <w:tc>
          <w:tcPr>
            <w:tcW w:w="94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81">
              <w:r>
                <w:rPr>
                  <w:rFonts w:ascii="Arial" w:cs="Arial" w:eastAsia="Arial" w:hAnsi="Arial"/>
                  <w:sz w:val="18"/>
                  <w:szCs w:val="18"/>
                  <w:b w:val="1"/>
                  <w:bCs w:val="1"/>
                  <w:u w:val="single" w:color="auto"/>
                  <w:color w:val="0000EE"/>
                </w:rPr>
                <w:t>Directors, Executive Officers and Corporate Governance</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11.</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81">
              <w:r>
                <w:rPr>
                  <w:rFonts w:ascii="Arial" w:cs="Arial" w:eastAsia="Arial" w:hAnsi="Arial"/>
                  <w:sz w:val="18"/>
                  <w:szCs w:val="18"/>
                  <w:b w:val="1"/>
                  <w:bCs w:val="1"/>
                  <w:u w:val="single" w:color="auto"/>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81">
              <w:r>
                <w:rPr>
                  <w:rFonts w:ascii="Arial" w:cs="Arial" w:eastAsia="Arial" w:hAnsi="Arial"/>
                  <w:sz w:val="18"/>
                  <w:szCs w:val="18"/>
                  <w:b w:val="1"/>
                  <w:bCs w:val="1"/>
                  <w:u w:val="single" w:color="auto"/>
                  <w:color w:val="0000EE"/>
                </w:rPr>
                <w:t>Security Ownership of Certain Beneficial Owners and Management and Related Stockholder Matters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13.</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81">
              <w:r>
                <w:rPr>
                  <w:rFonts w:ascii="Arial" w:cs="Arial" w:eastAsia="Arial" w:hAnsi="Arial"/>
                  <w:sz w:val="18"/>
                  <w:szCs w:val="18"/>
                  <w:b w:val="1"/>
                  <w:bCs w:val="1"/>
                  <w:u w:val="single" w:color="auto"/>
                  <w:color w:val="0000EE"/>
                </w:rPr>
                <w:t>Certain Relationships and Related Transactions, and Director Independence</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81">
              <w:r>
                <w:rPr>
                  <w:rFonts w:ascii="Arial" w:cs="Arial" w:eastAsia="Arial" w:hAnsi="Arial"/>
                  <w:sz w:val="18"/>
                  <w:szCs w:val="18"/>
                  <w:b w:val="1"/>
                  <w:bCs w:val="1"/>
                  <w:u w:val="single" w:color="auto"/>
                  <w:color w:val="0000EE"/>
                </w:rPr>
                <w:t>Principal Accountant Fees and Services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351"/>
        </w:trPr>
        <w:tc>
          <w:tcPr>
            <w:tcW w:w="840" w:type="dxa"/>
            <w:vAlign w:val="bottom"/>
          </w:tcPr>
          <w:p>
            <w:pPr>
              <w:spacing w:after="0"/>
              <w:rPr>
                <w:sz w:val="24"/>
                <w:szCs w:val="24"/>
                <w:color w:val="auto"/>
              </w:rPr>
            </w:pPr>
          </w:p>
        </w:tc>
        <w:tc>
          <w:tcPr>
            <w:tcW w:w="9460" w:type="dxa"/>
            <w:vAlign w:val="bottom"/>
          </w:tcPr>
          <w:p>
            <w:pPr>
              <w:jc w:val="center"/>
              <w:ind w:left="672"/>
              <w:spacing w:after="0"/>
              <w:rPr>
                <w:sz w:val="20"/>
                <w:szCs w:val="20"/>
                <w:color w:val="auto"/>
              </w:rPr>
            </w:pPr>
            <w:r>
              <w:rPr>
                <w:rFonts w:ascii="Arial" w:cs="Arial" w:eastAsia="Arial" w:hAnsi="Arial"/>
                <w:sz w:val="18"/>
                <w:szCs w:val="18"/>
                <w:b w:val="1"/>
                <w:bCs w:val="1"/>
                <w:color w:val="auto"/>
                <w:w w:val="98"/>
              </w:rPr>
              <w:t>PART IV</w:t>
            </w:r>
          </w:p>
        </w:tc>
        <w:tc>
          <w:tcPr>
            <w:tcW w:w="94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82">
              <w:r>
                <w:rPr>
                  <w:rFonts w:ascii="Arial" w:cs="Arial" w:eastAsia="Arial" w:hAnsi="Arial"/>
                  <w:sz w:val="18"/>
                  <w:szCs w:val="18"/>
                  <w:b w:val="1"/>
                  <w:bCs w:val="1"/>
                  <w:u w:val="single" w:color="auto"/>
                  <w:color w:val="0000EE"/>
                </w:rPr>
                <w:t>Exhibits and Financial Statement Schedules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324"/>
        </w:trPr>
        <w:tc>
          <w:tcPr>
            <w:tcW w:w="840" w:type="dxa"/>
            <w:vAlign w:val="bottom"/>
          </w:tcPr>
          <w:p>
            <w:pPr>
              <w:spacing w:after="0"/>
              <w:rPr>
                <w:sz w:val="24"/>
                <w:szCs w:val="24"/>
                <w:color w:val="auto"/>
              </w:rPr>
            </w:pPr>
          </w:p>
        </w:tc>
        <w:tc>
          <w:tcPr>
            <w:tcW w:w="9460" w:type="dxa"/>
            <w:vAlign w:val="bottom"/>
          </w:tcPr>
          <w:p>
            <w:pPr>
              <w:ind w:left="160"/>
              <w:spacing w:after="0"/>
              <w:rPr>
                <w:rFonts w:ascii="Arial" w:cs="Arial" w:eastAsia="Arial" w:hAnsi="Arial"/>
                <w:sz w:val="18"/>
                <w:szCs w:val="18"/>
                <w:b w:val="1"/>
                <w:bCs w:val="1"/>
                <w:u w:val="single" w:color="auto"/>
                <w:color w:val="0000EE"/>
              </w:rPr>
            </w:pPr>
            <w:hyperlink w:anchor="page83">
              <w:r>
                <w:rPr>
                  <w:rFonts w:ascii="Arial" w:cs="Arial" w:eastAsia="Arial" w:hAnsi="Arial"/>
                  <w:sz w:val="18"/>
                  <w:szCs w:val="18"/>
                  <w:b w:val="1"/>
                  <w:bCs w:val="1"/>
                  <w:u w:val="single" w:color="auto"/>
                  <w:color w:val="0000EE"/>
                </w:rPr>
                <w:t>Signatures</w:t>
              </w:r>
            </w:hyperlink>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b w:val="1"/>
          <w:bCs w:val="1"/>
          <w:i w:val="1"/>
          <w:iCs w:val="1"/>
          <w:color w:val="auto"/>
        </w:rPr>
        <w:t>In this annual report on Form 10-K, “PennantPark Investment,” “we,” “us” and “our” refer to PennantPark Investment Corporation. Some of the statements in this annual report constitute forward-looking statements, which relate to future events or our future performance or financial condition. The forward-looking statements involve risks and uncertainties and our actual results could differ materially from those projected in the forward-looking statements for any reason, including those factors discussed in “Risk Factors” and elsewhere in this report.</w:t>
      </w:r>
    </w:p>
    <w:p>
      <w:pPr>
        <w:spacing w:after="0" w:line="14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under the Investment Company Act of 1940 (the “1940 Act”). In addition, for tax purposes we have elected to be treated as a regulated investment company (“RIC”), under the Internal Revenue Code of 1986, as amended (the “Code”).</w:t>
      </w:r>
    </w:p>
    <w:p>
      <w:pPr>
        <w:spacing w:after="0" w:line="143" w:lineRule="exact"/>
        <w:rPr>
          <w:sz w:val="20"/>
          <w:szCs w:val="20"/>
          <w:color w:val="auto"/>
        </w:rPr>
      </w:pPr>
    </w:p>
    <w:p>
      <w:pPr>
        <w:ind w:right="240" w:firstLine="449"/>
        <w:spacing w:after="0" w:line="254"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 In the current credit environment, we also intend invest selectively in senior secured loans, which we believe offer attractive risk adjusted yields and consider them a part of our core holdings at the present time.</w:t>
      </w:r>
    </w:p>
    <w:p>
      <w:pPr>
        <w:spacing w:after="0" w:line="147"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form 10-K,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20" w:lineRule="exact"/>
        <w:rPr>
          <w:sz w:val="20"/>
          <w:szCs w:val="20"/>
          <w:color w:val="auto"/>
        </w:rPr>
      </w:pPr>
    </w:p>
    <w:p>
      <w:pPr>
        <w:ind w:right="180" w:firstLine="449"/>
        <w:spacing w:after="0" w:line="290" w:lineRule="auto"/>
        <w:rPr>
          <w:sz w:val="20"/>
          <w:szCs w:val="20"/>
          <w:color w:val="auto"/>
        </w:rPr>
      </w:pPr>
      <w:r>
        <w:rPr>
          <w:rFonts w:ascii="Arial" w:cs="Arial" w:eastAsia="Arial" w:hAnsi="Arial"/>
          <w:sz w:val="16"/>
          <w:szCs w:val="16"/>
          <w:color w:val="auto"/>
        </w:rPr>
        <w:t>We are currently operating in a severely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is adversely affecting many of these factors and has resulted in broad-based reduction in the demand for, and valuation of, high-risk debt instruments. These conditions may present us with attractive investment opportunities, as we believe that there are many middle-market companies with strong financial characteristics that need senior secured and mezzanine debt financing. However, these market conditions are also adversely affecting our portfolio valuations and increase the risk of default among our portfolio companies, which could negatively impact our performance.</w:t>
      </w:r>
    </w:p>
    <w:p>
      <w:pPr>
        <w:spacing w:after="0" w:line="118"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For the fiscal year ended September 30, 2008, we purchased $206.8 million of investments issued by fourteen new and two existing portfolio companies with an overall average yield of 13.8% on debt investments. This compares to purchasing $144.4 million of investments, issued by eight new and five existing portfolio companies with an overall average yield of 13.0% on debt investments during the period April 24, 2007 (the date of our initial public offering) to September 30, 2007. For the three months ended September 30, 2008, we purchased $57.4 million of investments issued by three new portfolio companies with an overall average yield of 14.2% on debt investments. This compares to purchasing $41.3 million of investments issued by one new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20"/>
        <w:spacing w:after="0" w:line="331" w:lineRule="auto"/>
        <w:rPr>
          <w:sz w:val="20"/>
          <w:szCs w:val="20"/>
          <w:color w:val="auto"/>
        </w:rPr>
      </w:pPr>
      <w:r>
        <w:rPr>
          <w:rFonts w:ascii="Arial" w:cs="Arial" w:eastAsia="Arial" w:hAnsi="Arial"/>
          <w:sz w:val="16"/>
          <w:szCs w:val="16"/>
          <w:color w:val="auto"/>
        </w:rPr>
        <w:t>five existing portfolio companies with an overall average yield of 15.2% on debt investments during the same period last year. For the fiscal year and quarter ended September 30, 2008, the repayments and sale of senior secured loans generated proceeds of $70.1 million and $55.7 million, respectively.</w:t>
      </w:r>
    </w:p>
    <w:p>
      <w:pPr>
        <w:spacing w:after="0" w:line="87" w:lineRule="exact"/>
        <w:rPr>
          <w:sz w:val="20"/>
          <w:szCs w:val="20"/>
          <w:color w:val="auto"/>
        </w:rPr>
      </w:pPr>
    </w:p>
    <w:p>
      <w:pPr>
        <w:ind w:right="160" w:firstLine="449"/>
        <w:spacing w:after="0" w:line="256" w:lineRule="auto"/>
        <w:rPr>
          <w:sz w:val="20"/>
          <w:szCs w:val="20"/>
          <w:color w:val="auto"/>
        </w:rPr>
      </w:pPr>
      <w:r>
        <w:rPr>
          <w:rFonts w:ascii="Arial" w:cs="Arial" w:eastAsia="Arial" w:hAnsi="Arial"/>
          <w:sz w:val="18"/>
          <w:szCs w:val="18"/>
          <w:color w:val="auto"/>
        </w:rPr>
        <w:t>We did not experience compromised liquidity during the recent turmoil in the global credit markets because of our ability to sell loans from our senior secured portfolio and availability under our credit facility. If the valuations of our portfolio companies continue to decline from their present values, we may suffer reduced availability under our credit facility because such availability depends on our asset coverage, which generally requires that the valuation of our total assets be at least equal to 200% of our total liabilities.</w:t>
      </w:r>
    </w:p>
    <w:p>
      <w:pPr>
        <w:spacing w:after="0" w:line="143"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As of September 30, 2008, our portfolio totaled $372.1 million and consisted of $166.2 million of subordinated debt, $104.2 million of second lien secured debt, $22.9 million of equity investments and $78.8 million of senior secured loans.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45% of our debt portfolio was in fixed-rate and 55% in variable-rate investments. Overall, the portfolio had an unrealized depreciation of $72.0 million. Our overall portfolio consisted of thirty-seven companies with an average investment size of $10.1 million and a weighted average yield on debt investments of 11.1%, and was invested 45% in subordinated debt, 28% in second lien secured debt, 6% in preferred and common equity investments and 21% in senior secured loans.</w:t>
      </w:r>
    </w:p>
    <w:p>
      <w:pPr>
        <w:spacing w:after="0" w:line="124"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As of September 30, 2007, our portfolio totaled $291.0 million and consisted of $57.3 million of subordinated debt, $67.8 million of second lien secured debt, $7.0 million of equity investments and $158.9 million of senior secured loans. Our core assets totaled $132.1 million and consisted of investments in eight different companies with an average investment size of $16.5 million per company and a weighted average yield of 13.0% on debt investments. Our non-core senior secured loan portfolio totaled $158.9 million and consisted of thirty-one different companies (including one company also in our core portfolio) with an average investment size of $5.3 million, and a weighted average yield of 7.5%. 15% of our debt portfolio was in fixed-rate and 85% in variable-rate investments. Overall, the portfolio had an unrealized depreciation of $23.9 million. Our overall portfolio consisted of thirty-eight companies with an average investment size of $7.6 million and a weighted average yield on debt investments of 10.1%, and was invested 20% in subordinated debt, 23% in second lien secured debt, 2% in common equity investments and 55% in senior secured loans.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w:t>
      </w:r>
    </w:p>
    <w:p>
      <w:pPr>
        <w:spacing w:after="0" w:line="96"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 xml:space="preserve">Our address is 590 Madison Avenue, 15th Floor, New York, NY 10022. Our phone number is (212) 905-1000 and our internet address is </w:t>
      </w:r>
      <w:r>
        <w:rPr>
          <w:rFonts w:ascii="Arial" w:cs="Arial" w:eastAsia="Arial" w:hAnsi="Arial"/>
          <w:sz w:val="16"/>
          <w:szCs w:val="16"/>
          <w:b w:val="1"/>
          <w:bCs w:val="1"/>
          <w:i w:val="1"/>
          <w:iCs w:val="1"/>
          <w:u w:val="single" w:color="auto"/>
          <w:color w:val="auto"/>
        </w:rPr>
        <w:t>www.pennantpark.com</w:t>
      </w:r>
      <w:r>
        <w:rPr>
          <w:rFonts w:ascii="Arial" w:cs="Arial" w:eastAsia="Arial" w:hAnsi="Arial"/>
          <w:sz w:val="16"/>
          <w:szCs w:val="16"/>
          <w:color w:val="auto"/>
        </w:rPr>
        <w:t>. We make available free of charge on our website our annual report on Form 10-K, quarterly reports on Form 10-Q, current reports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 8-K and amendments to those reports as soon as reasonably practicable after we electronically file such material with, or furnish it to, the U.S. Securities and Exchange Commission, or SEC.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LLC (the “Investment Adviser” or “PennantPark Investment Advisers”) and supervised by our board of directors, a majority of whom are independent of us and our Investment Adviser. Under our Investment Management Agreement, we have agreed to pay our Investment Adviser an annual base management fee based on our average adjusted gross total assets as well as an incentive fee based on our investment performance. See “Business—Investment Management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have also entered into an Administration Agreement with PennantPark Investment Administration, LLC (the “Administrator” or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“Business—Administration Agreement.”</w:t>
      </w:r>
    </w:p>
    <w:p>
      <w:pPr>
        <w:spacing w:after="0" w:line="147" w:lineRule="exact"/>
        <w:rPr>
          <w:sz w:val="20"/>
          <w:szCs w:val="20"/>
          <w:color w:val="auto"/>
        </w:rPr>
      </w:pPr>
    </w:p>
    <w:p>
      <w:pPr>
        <w:ind w:right="8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utilize the investing experience and contacts of Arthur H. Penn, the founder of PennantPark Investment Corporation and PennantPark Investment Advisers, as well as the other investment professionals of the Investment adviser. Mr. Penn has over 22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w:t>
      </w:r>
    </w:p>
    <w:p>
      <w:pPr>
        <w:spacing w:after="0" w:line="118"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During the period in which Mr. Penn was the Chief Operating Officer, Apollo Investment Corporation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provided for borrowings up to $2.0 billion. During Mr. Penn’s tenure with Apollo Investment Corporation, it invested approximately $2.8 billion in 73 companies in partnership with 54 different financial sponsors.</w:t>
      </w:r>
    </w:p>
    <w:p>
      <w:pPr>
        <w:spacing w:after="0" w:line="147"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44"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During his more than 22-year career in the financial services industry, Mr. Penn has developed a network of financial sponsor relationships as well as relationships with management teams, investment bankers, attorneys and accountants that we believe provides us with access to substantial investment opportunities.</w:t>
      </w:r>
    </w:p>
    <w:p>
      <w:pPr>
        <w:spacing w:after="0" w:line="140"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Our Investment Adviser has three experienced investment professionals, in addition to Mr. Penn who are also partners. These professionals, Geoffrey Chang, Salvatore Giannetti III and Whit Williams, have a combined 47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Groups from March 2000 to November 2001. Mr. Williams was an officer at UBS Investment Bank from 1996 to March 2007, most recently as a Managing Director in its Leveraged Finance and Financial Sponsors Group. They are supported by a team of employees, including three other investment professionals who have experience in middle-market investing, leveraged finance and capital markets.</w:t>
      </w:r>
    </w:p>
    <w:p>
      <w:pPr>
        <w:spacing w:after="0" w:line="140"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who is also a Managing Director of the Administrator, has over 14 years of experience in finance, operations and administration of registered investment companies, having served for a decade as a Director at BlackRock, Inc., a leading investment firm. Guy Talarico, who serves as our Chief Compliance Officer, has over 20 years of regulatory compliance and securities law experience in the financial services industry, having served with various organizations in the areas of equity and fixed-income portfolio management, money market trading and custody.</w:t>
      </w:r>
    </w:p>
    <w:p>
      <w:pPr>
        <w:spacing w:after="0" w:line="115" w:lineRule="exact"/>
        <w:rPr>
          <w:sz w:val="20"/>
          <w:szCs w:val="20"/>
          <w:color w:val="auto"/>
        </w:rPr>
      </w:pPr>
    </w:p>
    <w:p>
      <w:pPr>
        <w:ind w:right="320" w:firstLine="449"/>
        <w:spacing w:after="0" w:line="294" w:lineRule="auto"/>
        <w:rPr>
          <w:sz w:val="20"/>
          <w:szCs w:val="20"/>
          <w:color w:val="auto"/>
        </w:rPr>
      </w:pPr>
      <w:r>
        <w:rPr>
          <w:rFonts w:ascii="Arial" w:cs="Arial" w:eastAsia="Arial" w:hAnsi="Arial"/>
          <w:sz w:val="16"/>
          <w:szCs w:val="16"/>
          <w:color w:val="auto"/>
        </w:rPr>
        <w:t>In addition to furnishing us with office facilities, equipment,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offer and provide assistance. See “Risk Factors—Risk Relating to our Business and Structure.”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middle-market companies for flexible sources of capital, creates an attractive investment environment for PennantPark.</w:t>
      </w:r>
    </w:p>
    <w:p>
      <w:pPr>
        <w:spacing w:after="0" w:line="51" w:lineRule="exact"/>
        <w:rPr>
          <w:sz w:val="20"/>
          <w:szCs w:val="20"/>
          <w:color w:val="auto"/>
        </w:rPr>
      </w:pPr>
    </w:p>
    <w:p>
      <w:pPr>
        <w:ind w:left="880" w:hanging="427"/>
        <w:spacing w:after="0" w:line="29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believe middle-market companies have faced increasing difficulty in raising debt through the capital markets. While many middle-market companies were formerly able to raise funds by issuing high-yield bonds or through bank borrowing, we believe these approaches to financing have become more difficult as Institutional investors have sought to invest in larger, more liquid offerings and banks have sharply curtailed lending in recent months. We believe this has made it harder for middle-market companies to raise funds by issuing high-yield debt securities or borrowing from banks. In addition, many private finance companies that, until recently, financed their lending and investing activities through securitization transactions have lost that source of funding and cut back lending significantly.</w:t>
      </w:r>
    </w:p>
    <w:p>
      <w:pPr>
        <w:spacing w:after="0" w:line="38" w:lineRule="exact"/>
        <w:rPr>
          <w:rFonts w:ascii="Arial" w:cs="Arial" w:eastAsia="Arial" w:hAnsi="Arial"/>
          <w:sz w:val="16"/>
          <w:szCs w:val="16"/>
          <w:color w:val="auto"/>
        </w:rPr>
      </w:pPr>
    </w:p>
    <w:p>
      <w:pPr>
        <w:ind w:left="880" w:right="80" w:hanging="427"/>
        <w:spacing w:after="0" w:line="33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believe that the current credit market dislocation improves the risk/reward of our investments. The downturn in the credit markets has resulted in a less competitive lending market, more conservative capital structures, higher yields and stronger covenants.</w:t>
      </w:r>
    </w:p>
    <w:p>
      <w:pPr>
        <w:spacing w:after="0" w:line="5" w:lineRule="exact"/>
        <w:rPr>
          <w:rFonts w:ascii="Arial" w:cs="Arial" w:eastAsia="Arial" w:hAnsi="Arial"/>
          <w:sz w:val="16"/>
          <w:szCs w:val="16"/>
          <w:color w:val="auto"/>
        </w:rPr>
      </w:pPr>
    </w:p>
    <w:p>
      <w:pPr>
        <w:ind w:left="880" w:right="80" w:hanging="427"/>
        <w:spacing w:after="0" w:line="25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believe there is a large pool of uninvested private equity capital likely to seek mezzanine capital to support private investments. While we expect the rate of investment to be slower than in prior periods, we believe that private equity firms will continue to be active investors in middle-market companies and that these private equity funds will seek to leverage their investments by combining capital with mezzanine loans and/or senior secured loans from other sources.</w:t>
      </w:r>
    </w:p>
    <w:p>
      <w:pPr>
        <w:spacing w:after="0" w:line="61" w:lineRule="exact"/>
        <w:rPr>
          <w:rFonts w:ascii="Arial" w:cs="Arial" w:eastAsia="Arial" w:hAnsi="Arial"/>
          <w:sz w:val="18"/>
          <w:szCs w:val="18"/>
          <w:color w:val="auto"/>
        </w:rPr>
      </w:pPr>
    </w:p>
    <w:p>
      <w:pPr>
        <w:ind w:left="880" w:hanging="427"/>
        <w:spacing w:after="0" w:line="298"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believe that opportunities to invest mezzanine, senior secured and other debt capital will remain strong. 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do not pursue short-term origination targets. We believe our approach enables us to build an attractive investment portfolio that meets our return and value criteria over the long-term.</w:t>
      </w:r>
    </w:p>
    <w:p>
      <w:pPr>
        <w:spacing w:after="0" w:line="112" w:lineRule="exact"/>
        <w:rPr>
          <w:sz w:val="20"/>
          <w:szCs w:val="20"/>
          <w:color w:val="auto"/>
        </w:rPr>
      </w:pPr>
    </w:p>
    <w:p>
      <w:pPr>
        <w:ind w:right="300" w:firstLine="449"/>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 Investment Selection” and “Business—Due Diligence.”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expect that the in-depth coverage and experience of Mr. Penn, as well as that of the other investment professionals of our Investment Adviser, will continue to enable us to invest throughout various stages of the economic cycle and to provide us with ongoing market insights in addition to a significant investment sourcing engine.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because competition for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investment opportunities generally has increased among alternative investment vehicles, such as hedge funds, those entities have begun to invest in areas they have not traditionally invested in, including investments in middle-market companies. As a result of these entrants, competition for investment opportunities at middle-market companies has intensified. However, we believe that there has been a reduction in the amount of debt capital available for lending in leveraged buyout transactions since the downturn in the credit markets, which began in mid-2007. This has resulted in a less competitive lending environment.</w:t>
      </w:r>
    </w:p>
    <w:p>
      <w:pPr>
        <w:spacing w:after="0" w:line="97"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use the industry information available to our Investment Adviser to assess investment risks and determine appropriate pricing for our investments in portfolio companies. We benefit from the relationships of our senior investment professionals retained by our Investment Adviser, who enable us to learn about, and compete effectively for, financing opportunities with attractive middle-market companies in the industries in which we invest. For additional information concerning the competitive risks we face, see “Risk Factors—Risks Relating to our Business and Structure—We operate in a highly competitive market for investment opportunities.”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PennantPark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5"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Over time, we expect that our portfolio will continue to consist primarily of mezzanine debt, senior secured loans and, to a lesser extent, equity investments in qualifying assets such as private or thinly traded or low-market-cap, public middle-market U.S. companies. In addition, we may invest up to 30% of our portfolio in non-qualifying assets. See “Regulation—Qualifying Assets.” These investments may include investments in public companies whose securities are not thinly traded or do not have a market cap of less than $250 million, securities of middle-market companies located outside of the United States and investment companies as defined in the 1940. We expect that these companies will generally issue debt securities that are not investment grade. Moreover, we may acquire investments in the secondary market. In analyzing such investments, we will continue to employ the same analytical process as we use for our primary investments.</w:t>
      </w:r>
    </w:p>
    <w:p>
      <w:pPr>
        <w:spacing w:after="0" w:line="118"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“Business—Investment Selection.”</w:t>
      </w:r>
    </w:p>
    <w:p>
      <w:pPr>
        <w:spacing w:after="0" w:line="143"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Structurally, mezzanine debt (which includes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Structurally, senior secured debt (which includes first lien debt) ranks senior in priority of payment to mezzanine debt and equity, and usually benefits from a senior collateral interest in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investment of borrowers and from time to time may also receive warrants to purchase equity investments. We evaluate these investment opportunities on a case-by-case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principal investment focus is to provide mezzanine debt and senior secured loans to U.S. middle-market companies in a variety of industries. We generally seek to target companies that generate positive cash flows from the broad variety of industries in which our Investment Adviser has direct expertise. The following is a representative list of the industries in which we have invested:</w:t>
      </w:r>
    </w:p>
    <w:p>
      <w:pPr>
        <w:spacing w:after="0" w:line="5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60"/>
              <w:spacing w:after="0"/>
              <w:rPr>
                <w:sz w:val="20"/>
                <w:szCs w:val="20"/>
                <w:color w:val="auto"/>
              </w:rPr>
            </w:pPr>
            <w:r>
              <w:rPr>
                <w:rFonts w:ascii="Arial" w:cs="Arial" w:eastAsia="Arial" w:hAnsi="Arial"/>
                <w:sz w:val="18"/>
                <w:szCs w:val="18"/>
                <w:color w:val="auto"/>
              </w:rPr>
              <w:t>Aerospace and Defense</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80"/>
              <w:spacing w:after="0"/>
              <w:rPr>
                <w:sz w:val="20"/>
                <w:szCs w:val="20"/>
                <w:color w:val="auto"/>
              </w:rPr>
            </w:pPr>
            <w:r>
              <w:rPr>
                <w:rFonts w:ascii="Arial" w:cs="Arial" w:eastAsia="Arial" w:hAnsi="Arial"/>
                <w:sz w:val="18"/>
                <w:szCs w:val="18"/>
                <w:color w:val="auto"/>
                <w:w w:val="87"/>
              </w:rPr>
              <w:t>Home and Office Furnishings, Housewares and Durable</w:t>
            </w:r>
          </w:p>
        </w:tc>
      </w:tr>
      <w:tr>
        <w:trPr>
          <w:trHeight w:val="222"/>
        </w:trPr>
        <w:tc>
          <w:tcPr>
            <w:tcW w:w="2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Consumer Products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60"/>
              <w:spacing w:after="0"/>
              <w:rPr>
                <w:sz w:val="20"/>
                <w:szCs w:val="20"/>
                <w:color w:val="auto"/>
              </w:rPr>
            </w:pPr>
            <w:r>
              <w:rPr>
                <w:rFonts w:ascii="Arial" w:cs="Arial" w:eastAsia="Arial" w:hAnsi="Arial"/>
                <w:sz w:val="18"/>
                <w:szCs w:val="18"/>
                <w:color w:val="auto"/>
              </w:rPr>
              <w:t>Auto Sector</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80"/>
              <w:spacing w:after="0"/>
              <w:rPr>
                <w:sz w:val="20"/>
                <w:szCs w:val="20"/>
                <w:color w:val="auto"/>
              </w:rPr>
            </w:pPr>
            <w:r>
              <w:rPr>
                <w:rFonts w:ascii="Arial" w:cs="Arial" w:eastAsia="Arial" w:hAnsi="Arial"/>
                <w:sz w:val="18"/>
                <w:szCs w:val="18"/>
                <w:color w:val="auto"/>
              </w:rPr>
              <w:t>Insurance</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80"/>
              <w:spacing w:after="0"/>
              <w:rPr>
                <w:sz w:val="20"/>
                <w:szCs w:val="20"/>
                <w:color w:val="auto"/>
              </w:rPr>
            </w:pPr>
            <w:r>
              <w:rPr>
                <w:rFonts w:ascii="Arial" w:cs="Arial" w:eastAsia="Arial" w:hAnsi="Arial"/>
                <w:sz w:val="18"/>
                <w:szCs w:val="18"/>
                <w:color w:val="auto"/>
              </w:rPr>
              <w:t>Broadcasting and Entertainment</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80"/>
              <w:spacing w:after="0"/>
              <w:rPr>
                <w:sz w:val="20"/>
                <w:szCs w:val="20"/>
                <w:color w:val="auto"/>
              </w:rPr>
            </w:pPr>
            <w:r>
              <w:rPr>
                <w:rFonts w:ascii="Arial" w:cs="Arial" w:eastAsia="Arial" w:hAnsi="Arial"/>
                <w:sz w:val="18"/>
                <w:szCs w:val="18"/>
                <w:color w:val="auto"/>
                <w:w w:val="92"/>
              </w:rPr>
              <w:t>Leisure, Amusement, Motion Pictures, Entertainment</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80"/>
              <w:spacing w:after="0"/>
              <w:rPr>
                <w:sz w:val="20"/>
                <w:szCs w:val="20"/>
                <w:color w:val="auto"/>
              </w:rPr>
            </w:pPr>
            <w:r>
              <w:rPr>
                <w:rFonts w:ascii="Arial" w:cs="Arial" w:eastAsia="Arial" w:hAnsi="Arial"/>
                <w:sz w:val="18"/>
                <w:szCs w:val="18"/>
                <w:color w:val="auto"/>
              </w:rPr>
              <w:t>Buildings and Real Estate</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80"/>
              <w:spacing w:after="0"/>
              <w:rPr>
                <w:sz w:val="20"/>
                <w:szCs w:val="20"/>
                <w:color w:val="auto"/>
              </w:rPr>
            </w:pPr>
            <w:r>
              <w:rPr>
                <w:rFonts w:ascii="Arial" w:cs="Arial" w:eastAsia="Arial" w:hAnsi="Arial"/>
                <w:sz w:val="18"/>
                <w:szCs w:val="18"/>
                <w:color w:val="auto"/>
              </w:rPr>
              <w:t>Manufacturing/Basic Industry</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80"/>
              <w:spacing w:after="0"/>
              <w:rPr>
                <w:sz w:val="20"/>
                <w:szCs w:val="20"/>
                <w:color w:val="auto"/>
              </w:rPr>
            </w:pPr>
            <w:r>
              <w:rPr>
                <w:rFonts w:ascii="Arial" w:cs="Arial" w:eastAsia="Arial" w:hAnsi="Arial"/>
                <w:sz w:val="18"/>
                <w:szCs w:val="18"/>
                <w:color w:val="auto"/>
              </w:rPr>
              <w:t>Business Services</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80"/>
              <w:spacing w:after="0"/>
              <w:rPr>
                <w:sz w:val="20"/>
                <w:szCs w:val="20"/>
                <w:color w:val="auto"/>
              </w:rPr>
            </w:pPr>
            <w:r>
              <w:rPr>
                <w:rFonts w:ascii="Arial" w:cs="Arial" w:eastAsia="Arial" w:hAnsi="Arial"/>
                <w:sz w:val="18"/>
                <w:szCs w:val="18"/>
                <w:color w:val="auto"/>
              </w:rPr>
              <w:t>Media</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80"/>
              <w:spacing w:after="0"/>
              <w:rPr>
                <w:sz w:val="20"/>
                <w:szCs w:val="20"/>
                <w:color w:val="auto"/>
              </w:rPr>
            </w:pPr>
            <w:r>
              <w:rPr>
                <w:rFonts w:ascii="Arial" w:cs="Arial" w:eastAsia="Arial" w:hAnsi="Arial"/>
                <w:sz w:val="18"/>
                <w:szCs w:val="18"/>
                <w:color w:val="auto"/>
              </w:rPr>
              <w:t>Cable Television</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80"/>
              <w:spacing w:after="0"/>
              <w:rPr>
                <w:sz w:val="20"/>
                <w:szCs w:val="20"/>
                <w:color w:val="auto"/>
              </w:rPr>
            </w:pPr>
            <w:r>
              <w:rPr>
                <w:rFonts w:ascii="Arial" w:cs="Arial" w:eastAsia="Arial" w:hAnsi="Arial"/>
                <w:sz w:val="18"/>
                <w:szCs w:val="18"/>
                <w:color w:val="auto"/>
              </w:rPr>
              <w:t>Oil and Gas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80"/>
              <w:spacing w:after="0"/>
              <w:rPr>
                <w:sz w:val="20"/>
                <w:szCs w:val="20"/>
                <w:color w:val="auto"/>
              </w:rPr>
            </w:pPr>
            <w:r>
              <w:rPr>
                <w:rFonts w:ascii="Arial" w:cs="Arial" w:eastAsia="Arial" w:hAnsi="Arial"/>
                <w:sz w:val="18"/>
                <w:szCs w:val="18"/>
                <w:color w:val="auto"/>
              </w:rPr>
              <w:t>Cargo Transport</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80"/>
              <w:spacing w:after="0"/>
              <w:rPr>
                <w:sz w:val="20"/>
                <w:szCs w:val="20"/>
                <w:color w:val="auto"/>
              </w:rPr>
            </w:pPr>
            <w:r>
              <w:rPr>
                <w:rFonts w:ascii="Arial" w:cs="Arial" w:eastAsia="Arial" w:hAnsi="Arial"/>
                <w:sz w:val="18"/>
                <w:szCs w:val="18"/>
                <w:color w:val="auto"/>
              </w:rPr>
              <w:t>Other Media</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80"/>
              <w:spacing w:after="0"/>
              <w:rPr>
                <w:sz w:val="20"/>
                <w:szCs w:val="20"/>
                <w:color w:val="auto"/>
              </w:rPr>
            </w:pPr>
            <w:r>
              <w:rPr>
                <w:rFonts w:ascii="Arial" w:cs="Arial" w:eastAsia="Arial" w:hAnsi="Arial"/>
                <w:sz w:val="18"/>
                <w:szCs w:val="18"/>
                <w:color w:val="auto"/>
              </w:rPr>
              <w:t>Chemicals, Plastics and Rubber</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80"/>
              <w:spacing w:after="0"/>
              <w:rPr>
                <w:sz w:val="20"/>
                <w:szCs w:val="20"/>
                <w:color w:val="auto"/>
              </w:rPr>
            </w:pPr>
            <w:r>
              <w:rPr>
                <w:rFonts w:ascii="Arial" w:cs="Arial" w:eastAsia="Arial" w:hAnsi="Arial"/>
                <w:sz w:val="18"/>
                <w:szCs w:val="18"/>
                <w:color w:val="auto"/>
              </w:rPr>
              <w:t>Printing and Publishing</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80"/>
              <w:spacing w:after="0"/>
              <w:rPr>
                <w:sz w:val="20"/>
                <w:szCs w:val="20"/>
                <w:color w:val="auto"/>
              </w:rPr>
            </w:pPr>
            <w:r>
              <w:rPr>
                <w:rFonts w:ascii="Arial" w:cs="Arial" w:eastAsia="Arial" w:hAnsi="Arial"/>
                <w:sz w:val="18"/>
                <w:szCs w:val="18"/>
                <w:color w:val="auto"/>
              </w:rPr>
              <w:t>Consumer Products</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60"/>
              <w:spacing w:after="0"/>
              <w:rPr>
                <w:sz w:val="20"/>
                <w:szCs w:val="20"/>
                <w:color w:val="auto"/>
              </w:rPr>
            </w:pPr>
            <w:r>
              <w:rPr>
                <w:rFonts w:ascii="Arial" w:cs="Arial" w:eastAsia="Arial" w:hAnsi="Arial"/>
                <w:sz w:val="18"/>
                <w:szCs w:val="18"/>
                <w:color w:val="auto"/>
              </w:rPr>
              <w:t>Telecommunications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80"/>
              <w:spacing w:after="0"/>
              <w:rPr>
                <w:sz w:val="20"/>
                <w:szCs w:val="20"/>
                <w:color w:val="auto"/>
              </w:rPr>
            </w:pPr>
            <w:r>
              <w:rPr>
                <w:rFonts w:ascii="Arial" w:cs="Arial" w:eastAsia="Arial" w:hAnsi="Arial"/>
                <w:sz w:val="18"/>
                <w:szCs w:val="18"/>
                <w:color w:val="auto"/>
              </w:rPr>
              <w:t>Containers, Packaging and Glass</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80"/>
              <w:spacing w:after="0"/>
              <w:rPr>
                <w:sz w:val="20"/>
                <w:szCs w:val="20"/>
                <w:color w:val="auto"/>
              </w:rPr>
            </w:pPr>
            <w:r>
              <w:rPr>
                <w:rFonts w:ascii="Arial" w:cs="Arial" w:eastAsia="Arial" w:hAnsi="Arial"/>
                <w:sz w:val="18"/>
                <w:szCs w:val="18"/>
                <w:color w:val="auto"/>
              </w:rPr>
              <w:t>Retail Store</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80"/>
              <w:spacing w:after="0"/>
              <w:rPr>
                <w:sz w:val="20"/>
                <w:szCs w:val="20"/>
                <w:color w:val="auto"/>
              </w:rPr>
            </w:pPr>
            <w:r>
              <w:rPr>
                <w:rFonts w:ascii="Arial" w:cs="Arial" w:eastAsia="Arial" w:hAnsi="Arial"/>
                <w:sz w:val="18"/>
                <w:szCs w:val="18"/>
                <w:color w:val="auto"/>
              </w:rPr>
              <w:t>Education</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60"/>
              <w:spacing w:after="0"/>
              <w:rPr>
                <w:sz w:val="20"/>
                <w:szCs w:val="20"/>
                <w:color w:val="auto"/>
              </w:rPr>
            </w:pPr>
            <w:r>
              <w:rPr>
                <w:rFonts w:ascii="Arial" w:cs="Arial" w:eastAsia="Arial" w:hAnsi="Arial"/>
                <w:sz w:val="18"/>
                <w:szCs w:val="18"/>
                <w:color w:val="auto"/>
              </w:rPr>
              <w:t>Transportation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80"/>
              <w:spacing w:after="0"/>
              <w:rPr>
                <w:sz w:val="20"/>
                <w:szCs w:val="20"/>
                <w:color w:val="auto"/>
              </w:rPr>
            </w:pPr>
            <w:r>
              <w:rPr>
                <w:rFonts w:ascii="Arial" w:cs="Arial" w:eastAsia="Arial" w:hAnsi="Arial"/>
                <w:sz w:val="18"/>
                <w:szCs w:val="18"/>
                <w:color w:val="auto"/>
              </w:rPr>
              <w:t>Energy/Utilities</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4100" w:type="dxa"/>
            <w:vAlign w:val="bottom"/>
          </w:tcPr>
          <w:p>
            <w:pPr>
              <w:ind w:left="180"/>
              <w:spacing w:after="0"/>
              <w:rPr>
                <w:sz w:val="20"/>
                <w:szCs w:val="20"/>
                <w:color w:val="auto"/>
              </w:rPr>
            </w:pPr>
            <w:r>
              <w:rPr>
                <w:rFonts w:ascii="Arial" w:cs="Arial" w:eastAsia="Arial" w:hAnsi="Arial"/>
                <w:sz w:val="18"/>
                <w:szCs w:val="18"/>
                <w:color w:val="auto"/>
              </w:rPr>
              <w:t>Utilities</w:t>
            </w:r>
          </w:p>
        </w:tc>
      </w:tr>
    </w:tbl>
    <w:p>
      <w:pPr>
        <w:spacing w:after="0" w:line="102" w:lineRule="exact"/>
        <w:rPr>
          <w:sz w:val="20"/>
          <w:szCs w:val="20"/>
          <w:color w:val="auto"/>
        </w:rPr>
      </w:pPr>
    </w:p>
    <w:p>
      <w:pPr>
        <w:ind w:left="860" w:hanging="420"/>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September 30,</w:t>
            </w:r>
          </w:p>
        </w:tc>
        <w:tc>
          <w:tcPr>
            <w:tcW w:w="1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September 30,</w:t>
            </w:r>
          </w:p>
        </w:tc>
      </w:tr>
      <w:tr>
        <w:trPr>
          <w:trHeight w:val="161"/>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9"/>
              </w:rPr>
              <w:t>Portfolio Company</w:t>
            </w:r>
          </w:p>
        </w:tc>
        <w:tc>
          <w:tcPr>
            <w:tcW w:w="33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2008</w:t>
            </w: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6"/>
              </w:rPr>
              <w:t>Portfolio Company</w:t>
            </w:r>
          </w:p>
        </w:tc>
        <w:tc>
          <w:tcPr>
            <w:tcW w:w="18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140" w:type="dxa"/>
            <w:vAlign w:val="bottom"/>
          </w:tcPr>
          <w:p>
            <w:pPr>
              <w:spacing w:after="0"/>
              <w:rPr>
                <w:sz w:val="14"/>
                <w:szCs w:val="14"/>
                <w:color w:val="auto"/>
              </w:rPr>
            </w:pPr>
          </w:p>
        </w:tc>
      </w:tr>
      <w:tr>
        <w:trPr>
          <w:trHeight w:val="210"/>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45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Realogy Corp.</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UP Acquisition Sub Inc.</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4580" w:type="dxa"/>
            <w:vAlign w:val="bottom"/>
            <w:gridSpan w:val="5"/>
          </w:tcPr>
          <w:p>
            <w:pPr>
              <w:ind w:left="220"/>
              <w:spacing w:after="0"/>
              <w:rPr>
                <w:sz w:val="20"/>
                <w:szCs w:val="20"/>
                <w:color w:val="auto"/>
              </w:rPr>
            </w:pPr>
            <w:r>
              <w:rPr>
                <w:rFonts w:ascii="Arial" w:cs="Arial" w:eastAsia="Arial" w:hAnsi="Arial"/>
                <w:sz w:val="18"/>
                <w:szCs w:val="18"/>
                <w:color w:val="auto"/>
              </w:rPr>
              <w:t>Saint Acquisition Corp.</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45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Advanstar, Inc.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CT Technologies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4580" w:type="dxa"/>
            <w:vAlign w:val="bottom"/>
            <w:gridSpan w:val="5"/>
          </w:tcPr>
          <w:p>
            <w:pPr>
              <w:ind w:left="220"/>
              <w:spacing w:after="0"/>
              <w:rPr>
                <w:sz w:val="20"/>
                <w:szCs w:val="20"/>
                <w:color w:val="auto"/>
              </w:rPr>
            </w:pPr>
            <w:r>
              <w:rPr>
                <w:rFonts w:ascii="Arial" w:cs="Arial" w:eastAsia="Arial" w:hAnsi="Arial"/>
                <w:sz w:val="18"/>
                <w:szCs w:val="18"/>
                <w:color w:val="auto"/>
              </w:rPr>
              <w:t>Affinion Group Holding, Inc.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TZ Merger Sub, Inc.</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45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Performance Holdings, Inc.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Affinion Group Holding, Inc.</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4580" w:type="dxa"/>
            <w:vAlign w:val="bottom"/>
            <w:gridSpan w:val="5"/>
          </w:tcPr>
          <w:p>
            <w:pPr>
              <w:ind w:left="220"/>
              <w:spacing w:after="0"/>
              <w:rPr>
                <w:sz w:val="20"/>
                <w:szCs w:val="20"/>
                <w:color w:val="auto"/>
              </w:rPr>
            </w:pPr>
            <w:r>
              <w:rPr>
                <w:rFonts w:ascii="Arial" w:cs="Arial" w:eastAsia="Arial" w:hAnsi="Arial"/>
                <w:sz w:val="18"/>
                <w:szCs w:val="18"/>
                <w:color w:val="auto"/>
              </w:rPr>
              <w:t>Specialized Technology Resources, Inc.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45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Charter Communications Operating, LLC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Performance Holdings, Inc.</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4580" w:type="dxa"/>
            <w:vAlign w:val="bottom"/>
            <w:gridSpan w:val="5"/>
          </w:tcPr>
          <w:p>
            <w:pPr>
              <w:ind w:left="220"/>
              <w:spacing w:after="0"/>
              <w:rPr>
                <w:sz w:val="20"/>
                <w:szCs w:val="20"/>
                <w:color w:val="auto"/>
              </w:rPr>
            </w:pPr>
            <w:r>
              <w:rPr>
                <w:rFonts w:ascii="Arial" w:cs="Arial" w:eastAsia="Arial" w:hAnsi="Arial"/>
                <w:sz w:val="18"/>
                <w:szCs w:val="18"/>
                <w:color w:val="auto"/>
              </w:rPr>
              <w:t>Questex Media Group, Inc.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45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Univision Communications, Inc.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480" w:type="dxa"/>
            <w:vAlign w:val="bottom"/>
            <w:gridSpan w:val="3"/>
          </w:tcPr>
          <w:p>
            <w:pPr>
              <w:spacing w:after="0"/>
              <w:rPr>
                <w:sz w:val="20"/>
                <w:szCs w:val="20"/>
                <w:color w:val="auto"/>
              </w:rPr>
            </w:pPr>
            <w:r>
              <w:rPr>
                <w:rFonts w:ascii="Arial" w:cs="Arial" w:eastAsia="Arial" w:hAnsi="Arial"/>
                <w:sz w:val="18"/>
                <w:szCs w:val="18"/>
                <w:color w:val="auto"/>
              </w:rPr>
              <w:t>TransFirst Holdings, Inc.</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4580" w:type="dxa"/>
            <w:vAlign w:val="bottom"/>
            <w:gridSpan w:val="5"/>
          </w:tcPr>
          <w:p>
            <w:pPr>
              <w:ind w:left="220"/>
              <w:spacing w:after="0"/>
              <w:rPr>
                <w:sz w:val="20"/>
                <w:szCs w:val="20"/>
                <w:color w:val="auto"/>
              </w:rPr>
            </w:pPr>
            <w:r>
              <w:rPr>
                <w:rFonts w:ascii="Arial" w:cs="Arial" w:eastAsia="Arial" w:hAnsi="Arial"/>
                <w:sz w:val="18"/>
                <w:szCs w:val="18"/>
                <w:color w:val="auto"/>
              </w:rPr>
              <w:t>TransFirst Holdings, Inc.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September 30,</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September 30,</w:t>
            </w: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w:t>
            </w:r>
          </w:p>
        </w:tc>
        <w:tc>
          <w:tcPr>
            <w:tcW w:w="3940" w:type="dxa"/>
            <w:vAlign w:val="bottom"/>
            <w:gridSpan w:val="2"/>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2008</w:t>
            </w: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Industry</w:t>
            </w:r>
          </w:p>
        </w:tc>
        <w:tc>
          <w:tcPr>
            <w:tcW w:w="2140" w:type="dxa"/>
            <w:vAlign w:val="bottom"/>
            <w:gridSpan w:val="2"/>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140" w:type="dxa"/>
            <w:vAlign w:val="bottom"/>
          </w:tcPr>
          <w:p>
            <w:pPr>
              <w:spacing w:after="0"/>
              <w:rPr>
                <w:sz w:val="14"/>
                <w:szCs w:val="14"/>
                <w:color w:val="auto"/>
              </w:rPr>
            </w:pPr>
          </w:p>
        </w:tc>
      </w:tr>
      <w:tr>
        <w:trPr>
          <w:trHeight w:val="209"/>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45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Other Media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Other Media</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4580" w:type="dxa"/>
            <w:vAlign w:val="bottom"/>
            <w:gridSpan w:val="5"/>
          </w:tcPr>
          <w:p>
            <w:pPr>
              <w:ind w:left="220"/>
              <w:spacing w:after="0"/>
              <w:rPr>
                <w:sz w:val="20"/>
                <w:szCs w:val="20"/>
                <w:color w:val="auto"/>
              </w:rPr>
            </w:pPr>
            <w:r>
              <w:rPr>
                <w:rFonts w:ascii="Arial" w:cs="Arial" w:eastAsia="Arial" w:hAnsi="Arial"/>
                <w:sz w:val="18"/>
                <w:szCs w:val="18"/>
                <w:color w:val="auto"/>
              </w:rPr>
              <w:t>Consumer Products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45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Buildings and Real Estate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4580" w:type="dxa"/>
            <w:vAlign w:val="bottom"/>
            <w:gridSpan w:val="5"/>
          </w:tcPr>
          <w:p>
            <w:pPr>
              <w:ind w:left="220"/>
              <w:spacing w:after="0"/>
              <w:rPr>
                <w:sz w:val="20"/>
                <w:szCs w:val="20"/>
                <w:color w:val="auto"/>
              </w:rPr>
            </w:pPr>
            <w:r>
              <w:rPr>
                <w:rFonts w:ascii="Arial" w:cs="Arial" w:eastAsia="Arial" w:hAnsi="Arial"/>
                <w:sz w:val="18"/>
                <w:szCs w:val="18"/>
                <w:color w:val="auto"/>
              </w:rPr>
              <w:t>Business Services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8"/>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45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Home and Office Furnishings, Housewares and</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580" w:type="dxa"/>
            <w:vAlign w:val="bottom"/>
            <w:gridSpan w:val="5"/>
            <w:shd w:val="clear" w:color="auto" w:fill="CCEEFF"/>
          </w:tcPr>
          <w:p>
            <w:pPr>
              <w:jc w:val="right"/>
              <w:ind w:right="2140"/>
              <w:spacing w:after="0"/>
              <w:rPr>
                <w:sz w:val="20"/>
                <w:szCs w:val="20"/>
                <w:color w:val="auto"/>
              </w:rPr>
            </w:pPr>
            <w:r>
              <w:rPr>
                <w:rFonts w:ascii="Arial" w:cs="Arial" w:eastAsia="Arial" w:hAnsi="Arial"/>
                <w:sz w:val="18"/>
                <w:szCs w:val="18"/>
                <w:color w:val="auto"/>
              </w:rPr>
              <w:t>Durable Consumer Products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Energy / Utilities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4580" w:type="dxa"/>
            <w:vAlign w:val="bottom"/>
            <w:gridSpan w:val="5"/>
          </w:tcPr>
          <w:p>
            <w:pPr>
              <w:ind w:left="220"/>
              <w:spacing w:after="0"/>
              <w:rPr>
                <w:sz w:val="20"/>
                <w:szCs w:val="20"/>
                <w:color w:val="auto"/>
              </w:rPr>
            </w:pPr>
            <w:r>
              <w:rPr>
                <w:rFonts w:ascii="Arial" w:cs="Arial" w:eastAsia="Arial" w:hAnsi="Arial"/>
                <w:sz w:val="18"/>
                <w:szCs w:val="18"/>
                <w:color w:val="auto"/>
              </w:rPr>
              <w:t>Transportation</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45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Chemicals, Plastics and Rubber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Insurance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4580" w:type="dxa"/>
            <w:vAlign w:val="bottom"/>
            <w:gridSpan w:val="5"/>
          </w:tcPr>
          <w:p>
            <w:pPr>
              <w:ind w:left="220"/>
              <w:spacing w:after="0"/>
              <w:rPr>
                <w:sz w:val="20"/>
                <w:szCs w:val="20"/>
                <w:color w:val="auto"/>
              </w:rPr>
            </w:pPr>
            <w:r>
              <w:rPr>
                <w:rFonts w:ascii="Arial" w:cs="Arial" w:eastAsia="Arial" w:hAnsi="Arial"/>
                <w:sz w:val="18"/>
                <w:szCs w:val="18"/>
                <w:color w:val="auto"/>
              </w:rPr>
              <w:t>Leisure, Amusement, Motion Pictures, Entertainment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 Sector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45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Broadcasting and Entertainment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48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4580" w:type="dxa"/>
            <w:vAlign w:val="bottom"/>
            <w:gridSpan w:val="5"/>
          </w:tcPr>
          <w:p>
            <w:pPr>
              <w:ind w:left="220"/>
              <w:spacing w:after="0"/>
              <w:rPr>
                <w:sz w:val="20"/>
                <w:szCs w:val="20"/>
                <w:color w:val="auto"/>
              </w:rPr>
            </w:pPr>
            <w:r>
              <w:rPr>
                <w:rFonts w:ascii="Arial" w:cs="Arial" w:eastAsia="Arial" w:hAnsi="Arial"/>
                <w:sz w:val="18"/>
                <w:szCs w:val="18"/>
                <w:color w:val="auto"/>
              </w:rPr>
              <w:t>Cable Television</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r>
    </w:tbl>
    <w:p>
      <w:pPr>
        <w:spacing w:after="0" w:line="147" w:lineRule="exact"/>
        <w:rPr>
          <w:sz w:val="20"/>
          <w:szCs w:val="20"/>
          <w:color w:val="auto"/>
        </w:rPr>
      </w:pPr>
    </w:p>
    <w:p>
      <w:pPr>
        <w:ind w:right="100" w:firstLine="449"/>
        <w:spacing w:after="0" w:line="323" w:lineRule="auto"/>
        <w:rPr>
          <w:sz w:val="20"/>
          <w:szCs w:val="20"/>
          <w:color w:val="auto"/>
        </w:rPr>
      </w:pPr>
      <w:r>
        <w:rPr>
          <w:rFonts w:ascii="Arial" w:cs="Arial" w:eastAsia="Arial" w:hAnsi="Arial"/>
          <w:sz w:val="15"/>
          <w:szCs w:val="15"/>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We may also co-invest in the future on a concurrent basis with affiliates of PennantPark,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97"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On September 30, 2008, our portfolio consisted of thirty-seven companies and was invested 45% in subordinated debt, 28% in second lien secured debt, 6% in preferred and common equity investments and 21% in senior secured loans.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w:t>
      </w:r>
    </w:p>
    <w:p>
      <w:pPr>
        <w:spacing w:after="0" w:line="96"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180" w:firstLine="449"/>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orientation and positive cash flow</w:t>
      </w:r>
    </w:p>
    <w:p>
      <w:pPr>
        <w:spacing w:after="0" w:line="90"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and established financial sponsor relationship</w:t>
      </w:r>
    </w:p>
    <w:p>
      <w:pPr>
        <w:spacing w:after="0" w:line="90" w:lineRule="exact"/>
        <w:rPr>
          <w:sz w:val="20"/>
          <w:szCs w:val="20"/>
          <w:color w:val="auto"/>
        </w:rPr>
      </w:pPr>
    </w:p>
    <w:p>
      <w:pPr>
        <w:ind w:right="300" w:firstLine="449"/>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defensible competitive market position in industry</w:t>
      </w:r>
    </w:p>
    <w:p>
      <w:pPr>
        <w:spacing w:after="0" w:line="9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100" w:firstLine="449"/>
        <w:spacing w:after="0" w:line="317" w:lineRule="auto"/>
        <w:rPr>
          <w:sz w:val="20"/>
          <w:szCs w:val="20"/>
          <w:color w:val="auto"/>
        </w:rPr>
      </w:pPr>
      <w:r>
        <w:rPr>
          <w:rFonts w:ascii="Arial" w:cs="Arial" w:eastAsia="Arial" w:hAnsi="Arial"/>
          <w:sz w:val="15"/>
          <w:szCs w:val="15"/>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60" w:firstLine="449"/>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We, through our Investment Adviser, conduct a rigorous due diligence process that is applied to 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880" w:hanging="427"/>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Chang, Giannetti and Williams, subject to final approval by Mr. Penn. As our Investment Adviser adds senior investment professionals, our Investment Adviser may add them to its investment committee. The members of the investment committee receive no compensation from us. These members are employees of our Investment Adviser and receive compensation from our Investment Adviser.</w:t>
      </w:r>
    </w:p>
    <w:p>
      <w:pPr>
        <w:spacing w:after="0" w:line="12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In the case of our mezzanine debt and senior secured loan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880" w:hanging="427"/>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880" w:right="160" w:hanging="427"/>
        <w:spacing w:after="0" w:line="306"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60" w:firstLine="449"/>
        <w:spacing w:after="0" w:line="254"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44"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We expect to hold most of our core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160" w:firstLine="449"/>
        <w:spacing w:after="0" w:line="331"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7"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880" w:right="560" w:hanging="427"/>
        <w:spacing w:after="0" w:line="268"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Comparisons to other PennantPark portfolio companies in the industry, if any;</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w:t>
      </w:r>
    </w:p>
    <w:p>
      <w:pPr>
        <w:spacing w:after="0" w:line="90"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The following is a description of the steps we take each quarter to determine the value of our portfolio.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With respect to investments for which market quotations are not readily available or are readily available but believed to not reflect the value of an investment, our board of directors undertakes a multi-step valuation process each quarter, as described below:</w:t>
      </w:r>
    </w:p>
    <w:p>
      <w:pPr>
        <w:spacing w:after="0" w:line="43" w:lineRule="exact"/>
        <w:rPr>
          <w:sz w:val="20"/>
          <w:szCs w:val="20"/>
          <w:color w:val="auto"/>
        </w:rPr>
      </w:pPr>
    </w:p>
    <w:p>
      <w:pPr>
        <w:ind w:left="880" w:right="260" w:hanging="427"/>
        <w:spacing w:after="0" w:line="268"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460" w:hanging="427"/>
        <w:spacing w:after="0" w:line="306"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to not reflect the value of an investment. The independent valuation firm reviews management’s preliminary valuations in light of its own independent assessment;</w:t>
      </w:r>
    </w:p>
    <w:p>
      <w:pPr>
        <w:spacing w:after="0" w:line="25" w:lineRule="exact"/>
        <w:rPr>
          <w:rFonts w:ascii="Arial" w:cs="Arial" w:eastAsia="Arial" w:hAnsi="Arial"/>
          <w:sz w:val="16"/>
          <w:szCs w:val="16"/>
          <w:color w:val="auto"/>
        </w:rPr>
      </w:pPr>
    </w:p>
    <w:p>
      <w:pPr>
        <w:ind w:left="880" w:right="120" w:hanging="427"/>
        <w:spacing w:after="0" w:line="331"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880" w:right="40" w:hanging="427"/>
        <w:spacing w:after="0" w:line="268"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280" w:firstLine="449"/>
        <w:spacing w:after="0" w:line="331" w:lineRule="auto"/>
        <w:rPr>
          <w:sz w:val="20"/>
          <w:szCs w:val="20"/>
          <w:color w:val="auto"/>
        </w:rPr>
      </w:pPr>
      <w:r>
        <w:rPr>
          <w:rFonts w:ascii="Arial" w:cs="Arial" w:eastAsia="Arial" w:hAnsi="Arial"/>
          <w:sz w:val="16"/>
          <w:szCs w:val="16"/>
          <w:color w:val="auto"/>
        </w:rPr>
        <w:t>When we make investments that involve deferrals of interest payable to us, any increase in the value of the investment due to the accrual or receipt of payment of interest is allocated to the increase in the cost basis of the investment, rather than to capital appreciation or gain.</w:t>
      </w:r>
    </w:p>
    <w:p>
      <w:pPr>
        <w:spacing w:after="0" w:line="87" w:lineRule="exact"/>
        <w:rPr>
          <w:sz w:val="20"/>
          <w:szCs w:val="20"/>
          <w:color w:val="auto"/>
        </w:rPr>
      </w:pPr>
    </w:p>
    <w:p>
      <w:pPr>
        <w:ind w:right="20" w:firstLine="449"/>
        <w:spacing w:after="0" w:line="307" w:lineRule="auto"/>
        <w:rPr>
          <w:sz w:val="20"/>
          <w:szCs w:val="20"/>
          <w:color w:val="auto"/>
        </w:rPr>
      </w:pPr>
      <w:r>
        <w:rPr>
          <w:rFonts w:ascii="Arial" w:cs="Arial" w:eastAsia="Arial" w:hAnsi="Arial"/>
          <w:sz w:val="15"/>
          <w:szCs w:val="15"/>
          <w:color w:val="auto"/>
        </w:rPr>
        <w:t>Unforeseen developments in the global credit markets have negatively impacted the market for leveraged finance instruments, resulting in a broad-based deterioration of asset values and a potential increase in defaults. A sharp or prolonged economic downturn or other general market disturbance, such as the high volatility in the value of the U.S. dollar or continued stress in the credit markets, may affect us and result in lower earnings and net asset values. If the market for our investments is substantially eroded, we may not find purchasers for our portfolio investments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 For a discussion of our portfolio’s performance, see Management Discussion and Analysis of Financial Condition and Results of Operations. For more information on the economic risks that may affect our performance, see Risk Factors—Risks Related to our Business and Structure.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49"/>
        <w:spacing w:after="0" w:line="323" w:lineRule="auto"/>
        <w:rPr>
          <w:sz w:val="20"/>
          <w:szCs w:val="20"/>
          <w:color w:val="auto"/>
        </w:rPr>
      </w:pPr>
      <w:r>
        <w:rPr>
          <w:rFonts w:ascii="Arial" w:cs="Arial" w:eastAsia="Arial" w:hAnsi="Arial"/>
          <w:sz w:val="15"/>
          <w:szCs w:val="15"/>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provides such managerial assistance on our behalf to portfolio companies that request this assistance. We have not received any fees for such services since inception, but may receive compensation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220" w:firstLine="449"/>
        <w:spacing w:after="0" w:line="254" w:lineRule="auto"/>
        <w:rPr>
          <w:sz w:val="20"/>
          <w:szCs w:val="20"/>
          <w:color w:val="auto"/>
        </w:rPr>
      </w:pPr>
      <w:r>
        <w:rPr>
          <w:rFonts w:ascii="Arial" w:cs="Arial" w:eastAsia="Arial" w:hAnsi="Arial"/>
          <w:sz w:val="18"/>
          <w:szCs w:val="18"/>
          <w:color w:val="auto"/>
        </w:rPr>
        <w:t>We do not currently have any employees. Mr. Penn, our Chief Executive Officer, is the Managing Member of our Investment Adviser. Our Investment Adviser currently has four senior investment professionals, Messrs. Chang, Giannetti, Penn and Williams. In addition, Mr. Efrat, our Chief Financial Officer and Treasurer, is a Managing Director of our Administrator, and Mr. Guy Talarico is our Chief Compliance Officer. Our Administrator and our Investment Adviser have hired and expect to continue to hire professionals with skills applicable to our business plan, including experience in middle-market investing, leveraged finance and capital markets.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220" w:firstLine="449"/>
        <w:spacing w:after="0" w:line="306" w:lineRule="auto"/>
        <w:rPr>
          <w:sz w:val="20"/>
          <w:szCs w:val="20"/>
          <w:color w:val="auto"/>
        </w:rPr>
      </w:pPr>
      <w:r>
        <w:rPr>
          <w:rFonts w:ascii="Arial" w:cs="Arial" w:eastAsia="Arial" w:hAnsi="Arial"/>
          <w:sz w:val="16"/>
          <w:szCs w:val="16"/>
          <w:color w:val="auto"/>
        </w:rPr>
        <w:t>PennantPark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Under the terms of our Investment Management Agreement, PennantPark Investment Advisers:</w:t>
      </w:r>
    </w:p>
    <w:p>
      <w:pPr>
        <w:spacing w:after="0" w:line="25" w:lineRule="exact"/>
        <w:rPr>
          <w:sz w:val="20"/>
          <w:szCs w:val="20"/>
          <w:color w:val="auto"/>
        </w:rPr>
      </w:pPr>
    </w:p>
    <w:p>
      <w:pPr>
        <w:ind w:left="880" w:hanging="427"/>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880" w:right="400" w:hanging="427"/>
        <w:spacing w:after="0" w:line="268"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consisting of two components—a base management fee and an incentive fee (collectively, “Management Fees”).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9 to our financial statements).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after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 ended September 30, 2008 and for the period from April 24, 2007 (initial public offering) through September 30, 2007, the Investment Adviser earned a base management fee, after fee waiver, of $6.7 million and $1.9 million,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hurdle rate of 1.75% per quarter (7.00% annualized). PennantPark Investment pays the Investment Adviser an incentive fee with respect to PennantPark Investment’s Pre-Incentive Fee Net Investment Income in each calendar quarter as follows:</w:t>
      </w:r>
    </w:p>
    <w:p>
      <w:pPr>
        <w:spacing w:after="0" w:line="51" w:lineRule="exact"/>
        <w:rPr>
          <w:sz w:val="20"/>
          <w:szCs w:val="20"/>
          <w:color w:val="auto"/>
        </w:rPr>
      </w:pPr>
    </w:p>
    <w:p>
      <w:pPr>
        <w:ind w:firstLine="457"/>
        <w:spacing w:after="0" w:line="294" w:lineRule="auto"/>
        <w:tabs>
          <w:tab w:leader="none" w:pos="6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Graphical Representation of Calculation of Quarterly Incentive Fee Based on Net Investment Income</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109855</wp:posOffset>
            </wp:positionV>
            <wp:extent cx="3206115" cy="52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Percentage of pre-incentive fee net investment income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allocated to income-related portion of incentive fee</w:t>
      </w:r>
    </w:p>
    <w:p>
      <w:pPr>
        <w:spacing w:after="0" w:line="165"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The second part of the incentive fee, which commenced on December 31, 2007, is determined and payable in arrears as of the end of each calendar year (or upon termination of the Investment Management Agreement, as of the termination date) and equals 20.0% of PennantPark Investment’s realized capital gains, if any, on a cumulative basis from inception through the end of each calendar year. This amount is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 ended September 30, 2008, the Investment Adviser earned $3.8 million in incentive fees. For the period from April 24, 2007 (initial public offering) through September 30, 2007, the Adviser did not receive an Incentive Fee.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900" w:right="3540"/>
        <w:spacing w:after="0" w:line="431" w:lineRule="auto"/>
        <w:rPr>
          <w:sz w:val="20"/>
          <w:szCs w:val="20"/>
          <w:color w:val="auto"/>
        </w:rPr>
      </w:pPr>
      <w:r>
        <w:rPr>
          <w:rFonts w:ascii="Arial" w:cs="Arial" w:eastAsia="Arial" w:hAnsi="Arial"/>
          <w:sz w:val="16"/>
          <w:szCs w:val="16"/>
          <w:color w:val="auto"/>
        </w:rPr>
        <w:t>(investment income—(base management fee + other expenses)) = 0.55% Pre-incentive net investment income does not exceed Hurdle; therefore there is no incentive fee.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right="4360"/>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90" w:lineRule="exact"/>
        <w:rPr>
          <w:sz w:val="20"/>
          <w:szCs w:val="20"/>
          <w:color w:val="auto"/>
        </w:rPr>
      </w:pPr>
    </w:p>
    <w:p>
      <w:pPr>
        <w:ind w:left="900"/>
        <w:spacing w:after="0"/>
        <w:tabs>
          <w:tab w:leader="none" w:pos="230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460" w:hanging="137"/>
        <w:spacing w:after="0"/>
        <w:tabs>
          <w:tab w:leader="none" w:pos="2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460" w:hanging="137"/>
        <w:spacing w:after="0"/>
        <w:tabs>
          <w:tab w:leader="none" w:pos="2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460" w:hanging="137"/>
        <w:spacing w:after="0"/>
        <w:tabs>
          <w:tab w:leader="none" w:pos="2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460" w:hanging="137"/>
        <w:spacing w:after="0"/>
        <w:tabs>
          <w:tab w:leader="none" w:pos="2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right="4360"/>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900"/>
        <w:spacing w:after="0" w:line="331" w:lineRule="auto"/>
        <w:rPr>
          <w:sz w:val="20"/>
          <w:szCs w:val="20"/>
          <w:color w:val="auto"/>
        </w:rPr>
      </w:pPr>
      <w:r>
        <w:rPr>
          <w:rFonts w:ascii="Arial" w:cs="Arial" w:eastAsia="Arial" w:hAnsi="Arial"/>
          <w:sz w:val="16"/>
          <w:szCs w:val="16"/>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7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00"/>
          </w:cols>
          <w:pgMar w:left="320" w:top="459" w:right="8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4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660" w:type="dxa"/>
            <w:vAlign w:val="bottom"/>
          </w:tcPr>
          <w:p>
            <w:pPr>
              <w:spacing w:after="0"/>
              <w:rPr>
                <w:sz w:val="19"/>
                <w:szCs w:val="19"/>
                <w:color w:val="auto"/>
              </w:rPr>
            </w:pPr>
          </w:p>
        </w:tc>
      </w:tr>
      <w:tr>
        <w:trPr>
          <w:trHeight w:val="291"/>
        </w:trPr>
        <w:tc>
          <w:tcPr>
            <w:tcW w:w="224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660" w:type="dxa"/>
            <w:vAlign w:val="bottom"/>
          </w:tcPr>
          <w:p>
            <w:pPr>
              <w:ind w:left="400"/>
              <w:spacing w:after="0"/>
              <w:rPr>
                <w:sz w:val="20"/>
                <w:szCs w:val="20"/>
                <w:color w:val="auto"/>
              </w:rPr>
            </w:pPr>
            <w:r>
              <w:rPr>
                <w:rFonts w:ascii="Arial" w:cs="Arial" w:eastAsia="Arial" w:hAnsi="Arial"/>
                <w:sz w:val="18"/>
                <w:szCs w:val="18"/>
                <w:color w:val="auto"/>
              </w:rPr>
              <w:t>= 20% x (0)</w:t>
            </w:r>
          </w:p>
        </w:tc>
      </w:tr>
      <w:tr>
        <w:trPr>
          <w:trHeight w:val="216"/>
        </w:trPr>
        <w:tc>
          <w:tcPr>
            <w:tcW w:w="224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8"/>
                <w:szCs w:val="18"/>
                <w:color w:val="auto"/>
              </w:rPr>
              <w:t>= 0</w:t>
            </w:r>
          </w:p>
        </w:tc>
      </w:tr>
      <w:tr>
        <w:trPr>
          <w:trHeight w:val="222"/>
        </w:trPr>
        <w:tc>
          <w:tcPr>
            <w:tcW w:w="224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8"/>
                <w:szCs w:val="18"/>
                <w:color w:val="auto"/>
                <w:w w:val="87"/>
              </w:rPr>
              <w:t>= no incentive fee</w:t>
            </w:r>
          </w:p>
        </w:tc>
      </w:tr>
    </w:tbl>
    <w:p>
      <w:pPr>
        <w:spacing w:after="0" w:line="102" w:lineRule="exact"/>
        <w:rPr>
          <w:sz w:val="20"/>
          <w:szCs w:val="20"/>
          <w:color w:val="auto"/>
        </w:rPr>
      </w:pPr>
    </w:p>
    <w:p>
      <w:pPr>
        <w:ind w:left="460"/>
        <w:spacing w:after="0"/>
        <w:tabs>
          <w:tab w:leader="none" w:pos="262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2780" w:hanging="146"/>
        <w:spacing w:after="0"/>
        <w:tabs>
          <w:tab w:leader="none" w:pos="27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2780" w:hanging="146"/>
        <w:spacing w:after="0"/>
        <w:tabs>
          <w:tab w:leader="none" w:pos="27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12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will be 2.00% of our average adjusted gross total assets, the Investment Adviser agreed to waive a portion of the base management fee such that the base management fee will equal 1.50% from the consummation of the initial public offering through September 30, 2007, 1.75% from October 1, 2007 through March 31, 2008, and 2.00% thereafter.</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PennantPark, on February 13, 2007. Unless terminated earlier as described below, our Investment Management Agreement will continue in effect for a period of two years from its execution date through April 17, 2009.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20" w:firstLine="449"/>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offices of PennantPark Investment Advisers are located at 590 Madison Avenue, 15th Floor, New York, NY 10022.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90"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will pay the fees associated with such functions on a direct basis without profit to the Administrator. For the fiscal year ended September 30, 2008 and for the period from April 24, 2007 (initial public offering) to September 30, 2007, the Investment Adviser was reimbursed $2.0 million and approximately $490,000, respectively, from PennantPark Investments, including expenses it incurred on behalf of the Administrator for the services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360" w:firstLine="449"/>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90"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We are a business development company under the 1940 Act and have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15"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We may invest up to 100% of our assets in securities acquired directly from issuers in privately negotiated transactions. With respect to such investments,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may be changed without stockholder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1460" w:right="140" w:hanging="561"/>
        <w:spacing w:after="0" w:line="298" w:lineRule="auto"/>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31" w:lineRule="exact"/>
        <w:rPr>
          <w:rFonts w:ascii="Arial" w:cs="Arial" w:eastAsia="Arial" w:hAnsi="Arial"/>
          <w:sz w:val="16"/>
          <w:szCs w:val="16"/>
          <w:color w:val="auto"/>
        </w:rPr>
      </w:pPr>
    </w:p>
    <w:p>
      <w:pPr>
        <w:ind w:left="1920" w:hanging="454"/>
        <w:spacing w:after="0"/>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920" w:right="320" w:hanging="454"/>
        <w:spacing w:after="0" w:line="259"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58" w:lineRule="exact"/>
        <w:rPr>
          <w:rFonts w:ascii="Arial" w:cs="Arial" w:eastAsia="Arial" w:hAnsi="Arial"/>
          <w:sz w:val="18"/>
          <w:szCs w:val="18"/>
          <w:color w:val="auto"/>
        </w:rPr>
      </w:pPr>
    </w:p>
    <w:p>
      <w:pPr>
        <w:ind w:left="1920" w:hanging="454"/>
        <w:spacing w:after="0" w:line="259"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and has one of our affiliates as a director.</w:t>
      </w:r>
    </w:p>
    <w:p>
      <w:pPr>
        <w:spacing w:after="0" w:line="58" w:lineRule="exact"/>
        <w:rPr>
          <w:rFonts w:ascii="Arial" w:cs="Arial" w:eastAsia="Arial" w:hAnsi="Arial"/>
          <w:sz w:val="18"/>
          <w:szCs w:val="18"/>
          <w:color w:val="auto"/>
        </w:rPr>
      </w:pPr>
    </w:p>
    <w:p>
      <w:pPr>
        <w:ind w:left="1460" w:hanging="561"/>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1460" w:right="280" w:hanging="561"/>
        <w:spacing w:after="0" w:line="256"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61" w:lineRule="exact"/>
        <w:rPr>
          <w:rFonts w:ascii="Arial" w:cs="Arial" w:eastAsia="Arial" w:hAnsi="Arial"/>
          <w:sz w:val="18"/>
          <w:szCs w:val="18"/>
          <w:color w:val="auto"/>
        </w:rPr>
      </w:pPr>
    </w:p>
    <w:p>
      <w:pPr>
        <w:ind w:left="1460" w:right="680" w:hanging="561"/>
        <w:spacing w:after="0" w:line="268"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1460" w:right="380" w:hanging="561"/>
        <w:spacing w:after="0" w:line="268"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460" w:right="840" w:hanging="561"/>
        <w:spacing w:after="0" w:line="268"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132"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Effective July 2008, the definition of eligible portfolio company expanded to include any domestic operating company that has a class of securities listed on a national securities exchange provided it has a market capitalization of less than $250 million. Market capitalization will be calculated using the price at which the portfolio company’s common equity is last sold, or the average of the bid and ask prices of the portfolio company’s common equity, in the principal market for such common equity on any day in the 60-day period immediately before the acquisition of its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jc w:val="both"/>
        <w:ind w:right="20" w:firstLine="449"/>
        <w:spacing w:after="0" w:line="298"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You may read a copy of our code of ethics on our website at </w:t>
      </w:r>
      <w:r>
        <w:rPr>
          <w:rFonts w:ascii="Arial" w:cs="Arial" w:eastAsia="Arial" w:hAnsi="Arial"/>
          <w:sz w:val="16"/>
          <w:szCs w:val="16"/>
          <w:b w:val="1"/>
          <w:bCs w:val="1"/>
          <w:i w:val="1"/>
          <w:iCs w:val="1"/>
          <w:u w:val="single" w:color="auto"/>
          <w:color w:val="auto"/>
        </w:rPr>
        <w:t>http://www.pennantpark.com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140" w:firstLine="449"/>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6"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96"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firstLine="449"/>
        <w:spacing w:after="0" w:line="335" w:lineRule="auto"/>
        <w:rPr>
          <w:sz w:val="20"/>
          <w:szCs w:val="20"/>
          <w:color w:val="auto"/>
        </w:rPr>
      </w:pPr>
      <w:r>
        <w:rPr>
          <w:rFonts w:ascii="Arial" w:cs="Arial" w:eastAsia="Arial" w:hAnsi="Arial"/>
          <w:sz w:val="15"/>
          <w:szCs w:val="15"/>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or our stockholders arising from willful misfeasance, bad faith, gross negligence or reckless disregard of the duties involved in the conduct of such person’s office.</w:t>
      </w:r>
    </w:p>
    <w:p>
      <w:pPr>
        <w:spacing w:after="0" w:line="88"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 held companies and their insiders. Many of these requirements affect us. For example:</w:t>
      </w:r>
    </w:p>
    <w:p>
      <w:pPr>
        <w:spacing w:after="0" w:line="51" w:lineRule="exact"/>
        <w:rPr>
          <w:sz w:val="20"/>
          <w:szCs w:val="20"/>
          <w:color w:val="auto"/>
        </w:rPr>
      </w:pPr>
    </w:p>
    <w:p>
      <w:pPr>
        <w:ind w:left="880" w:right="200" w:hanging="427"/>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160" w:hanging="427"/>
        <w:spacing w:after="0" w:line="268"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880" w:hanging="427"/>
        <w:spacing w:after="0" w:line="268"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880" w:right="220" w:hanging="427"/>
        <w:spacing w:after="0" w:line="306"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continue to monitor our compliance with all regulations that are adopted under the Sarbanes-Oxley Act and continue to take actions necessary to ensure that we are in compliance with that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120" w:firstLine="449"/>
        <w:spacing w:after="0" w:line="283" w:lineRule="auto"/>
        <w:rPr>
          <w:sz w:val="20"/>
          <w:szCs w:val="20"/>
          <w:color w:val="auto"/>
        </w:rPr>
      </w:pPr>
      <w:r>
        <w:rPr>
          <w:rFonts w:ascii="Arial" w:cs="Arial" w:eastAsia="Arial" w:hAnsi="Arial"/>
          <w:sz w:val="16"/>
          <w:szCs w:val="16"/>
          <w:color w:val="auto"/>
        </w:rPr>
        <w:t>We have elected to be treated, and intend to qualify annually, as a RIC under Subchapter M of the Code. To maintain RIC tax benefits, we must, among other requirements, meet certain source-of-income and asset diversification requirements (as described below). We also must distribute at least 90% of our ordinary income and realized net short-term capital gains in excess of realized net long-term capital losses, if any, out of the assets legally available for distribution. In order to avoid certain excise taxes imposed on RICs, we may distribute during each calendar year an amount at least equal to the sum of</w:t>
      </w:r>
    </w:p>
    <w:p>
      <w:pPr>
        <w:spacing w:after="0" w:line="3" w:lineRule="exact"/>
        <w:rPr>
          <w:sz w:val="20"/>
          <w:szCs w:val="20"/>
          <w:color w:val="auto"/>
        </w:rPr>
      </w:pPr>
    </w:p>
    <w:p>
      <w:pPr>
        <w:ind w:firstLine="8"/>
        <w:spacing w:after="0" w:line="320" w:lineRule="auto"/>
        <w:tabs>
          <w:tab w:leader="none" w:pos="249" w:val="left"/>
        </w:tabs>
        <w:numPr>
          <w:ilvl w:val="0"/>
          <w:numId w:val="20"/>
        </w:numPr>
        <w:rPr>
          <w:rFonts w:ascii="Arial" w:cs="Arial" w:eastAsia="Arial" w:hAnsi="Arial"/>
          <w:sz w:val="15"/>
          <w:szCs w:val="15"/>
          <w:color w:val="auto"/>
        </w:rPr>
      </w:pPr>
      <w:r>
        <w:rPr>
          <w:rFonts w:ascii="Arial" w:cs="Arial" w:eastAsia="Arial" w:hAnsi="Arial"/>
          <w:sz w:val="15"/>
          <w:szCs w:val="15"/>
          <w:color w:val="auto"/>
        </w:rPr>
        <w:t>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 or to provide us with additional liquidity.</w:t>
      </w:r>
    </w:p>
    <w:p>
      <w:pPr>
        <w:spacing w:after="0" w:line="175" w:lineRule="exact"/>
        <w:rPr>
          <w:sz w:val="20"/>
          <w:szCs w:val="20"/>
          <w:color w:val="auto"/>
        </w:rPr>
      </w:pPr>
    </w:p>
    <w:p>
      <w:pPr>
        <w:jc w:val="center"/>
        <w:ind w:right="9860"/>
        <w:spacing w:after="0"/>
        <w:rPr>
          <w:sz w:val="20"/>
          <w:szCs w:val="20"/>
          <w:color w:val="auto"/>
        </w:rPr>
      </w:pPr>
      <w:r>
        <w:rPr>
          <w:rFonts w:ascii="Arial" w:cs="Arial" w:eastAsia="Arial" w:hAnsi="Arial"/>
          <w:sz w:val="16"/>
          <w:szCs w:val="16"/>
          <w:b w:val="1"/>
          <w:bCs w:val="1"/>
          <w:color w:val="auto"/>
        </w:rPr>
        <w:t>Taxation as a RIC</w:t>
      </w:r>
    </w:p>
    <w:p>
      <w:pPr>
        <w:spacing w:after="0" w:line="119" w:lineRule="exact"/>
        <w:rPr>
          <w:sz w:val="20"/>
          <w:szCs w:val="20"/>
          <w:color w:val="auto"/>
        </w:rPr>
      </w:pPr>
    </w:p>
    <w:p>
      <w:pPr>
        <w:jc w:val="center"/>
        <w:ind w:right="990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9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06" w:lineRule="exact"/>
        <w:rPr>
          <w:sz w:val="20"/>
          <w:szCs w:val="20"/>
          <w:color w:val="auto"/>
        </w:rPr>
      </w:pPr>
    </w:p>
    <w:p>
      <w:pPr>
        <w:ind w:right="120" w:firstLine="449"/>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may elect to retain such income, and pay such tax, for investment purposes or to provide us with additional liquidity.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5540" w:right="2320" w:hanging="5087"/>
        <w:spacing w:after="0" w:line="440" w:lineRule="auto"/>
        <w:tabs>
          <w:tab w:leader="none" w:pos="8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 20</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line="259"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8"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60" w:right="200" w:hanging="561"/>
        <w:spacing w:after="0" w:line="259"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8" w:lineRule="exact"/>
        <w:rPr>
          <w:rFonts w:ascii="Arial" w:cs="Arial" w:eastAsia="Arial" w:hAnsi="Arial"/>
          <w:sz w:val="18"/>
          <w:szCs w:val="18"/>
          <w:color w:val="auto"/>
        </w:rPr>
      </w:pPr>
    </w:p>
    <w:p>
      <w:pPr>
        <w:jc w:val="both"/>
        <w:ind w:left="1460" w:right="20" w:hanging="561"/>
        <w:spacing w:after="0" w:line="306" w:lineRule="auto"/>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06"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120" w:firstLine="449"/>
        <w:spacing w:after="0" w:line="331"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22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An investment in our shares involves substantial risks relating to our structure and investment objectives, including those described below.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20"/>
        <w:spacing w:after="0" w:line="361" w:lineRule="auto"/>
        <w:rPr>
          <w:sz w:val="20"/>
          <w:szCs w:val="20"/>
          <w:color w:val="auto"/>
        </w:rPr>
      </w:pPr>
      <w:r>
        <w:rPr>
          <w:rFonts w:ascii="Arial" w:cs="Arial" w:eastAsia="Arial" w:hAnsi="Arial"/>
          <w:sz w:val="15"/>
          <w:szCs w:val="15"/>
          <w:b w:val="1"/>
          <w:bCs w:val="1"/>
          <w:color w:val="auto"/>
        </w:rPr>
        <w:t>The capital markets are currently experiencing a period of dislocation and instability. These market conditions have materially and adversely affected debt and equity capital markets in the United States, which has had and could continue to have a negative impact our business and operations.</w:t>
      </w:r>
    </w:p>
    <w:p>
      <w:pPr>
        <w:ind w:firstLine="449"/>
        <w:spacing w:after="0" w:line="288" w:lineRule="auto"/>
        <w:rPr>
          <w:sz w:val="20"/>
          <w:szCs w:val="20"/>
          <w:color w:val="auto"/>
        </w:rPr>
      </w:pPr>
      <w:r>
        <w:rPr>
          <w:rFonts w:ascii="Arial" w:cs="Arial" w:eastAsia="Arial" w:hAnsi="Arial"/>
          <w:sz w:val="16"/>
          <w:szCs w:val="16"/>
          <w:color w:val="auto"/>
        </w:rPr>
        <w:t>We believe that the dramatic deflation of asset valuations due in large part to the collapse of the subprime lending market has caused a general disruption in the U.S. capital markets. This collapse is evidenced by a lack of liquidity in the debt capital markets, significant write-offs in the financial services sector, the re-pricing of credit risk in the broadly syndicated credit market and the failure of certain major financial institutions. Despite actions of the U.S. federal government, these events have contributed to worsening general economic conditions that are materially and adversely impacting the broader financial and credit markets and reducing the availability of debt and equity capital for the market as a whole and for financial services firms in particular. These conditions could persist for a prolonged period of time or worsen in the future. Meanwhile, equity capital may be difficult to raise because, subject to some limited exceptions, we are not generally able to issue and sell our common stock at a price below net asset value per share. In addition, the debt capital that will be available, if at all, may be at a higher cost, and on less favorable terms and conditions in the future.</w:t>
      </w:r>
    </w:p>
    <w:p>
      <w:pPr>
        <w:spacing w:after="0" w:line="124"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Reflecting the concern about the stability of the financial markets generally and the strength of counterparties, many lenders and institutional investors have reduced, and in some cases ceased to provide, funding to borrowers, including other financial institutions. The resulting lack of available credit, lack of confidence in the financial sector, increased volatility in the financial markets and reduced business activity could materially and adversely affect our business, financial condition, results of operations and our ability to obtain and manage our liquidity. Price declines and illiquidity in the corporate debt markets have adversely affected, and may continue to adversely affect, the fair value of our portfolio investments, reducing our Net Asset Value through increased net unrealized depreciation. Subsequent to September 30, 2008 through the date of this report, conditions in the public debt and equity markets have continued to deteriorate and pricing levels have continued to decline. As a result, depending on market conditions, we could incur substantial realized losses and may continue to suffer additional unrealized losses in future periods. Any such developments could have a material adverse impact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developments may adversely affect our business and results of operations by reducing availability under our credit facility.</w:t>
      </w:r>
    </w:p>
    <w:p>
      <w:pPr>
        <w:spacing w:after="0" w:line="119" w:lineRule="exact"/>
        <w:rPr>
          <w:sz w:val="20"/>
          <w:szCs w:val="20"/>
          <w:color w:val="auto"/>
        </w:rPr>
      </w:pPr>
    </w:p>
    <w:p>
      <w:pPr>
        <w:ind w:right="480" w:firstLine="449"/>
        <w:spacing w:after="0" w:line="268" w:lineRule="auto"/>
        <w:rPr>
          <w:sz w:val="20"/>
          <w:szCs w:val="20"/>
          <w:color w:val="auto"/>
        </w:rPr>
      </w:pPr>
      <w:r>
        <w:rPr>
          <w:rFonts w:ascii="Arial" w:cs="Arial" w:eastAsia="Arial" w:hAnsi="Arial"/>
          <w:sz w:val="18"/>
          <w:szCs w:val="18"/>
          <w:color w:val="auto"/>
        </w:rPr>
        <w:t>In addition to the applicable asset coverage test that restricts our ability to borrow under our credit facility. This facility contains various covenants which, if not complied with, could accelerate repayment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59" w:lineRule="exact"/>
        <w:rPr>
          <w:sz w:val="20"/>
          <w:szCs w:val="20"/>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As of September 30, 2008, we were in compliance with these covenants. However, our continued compliance with these covenants depends on many factors, some of which are beyond our control. For example, during the fiscal year ended September 30, 2008, net unrealized depreciation in our portfolio increased and, given the further deterioration in public debt and equity markets and pricing levels subsequent to this period, net unrealized depreciation in our portfolio may continue to increase in the future. Further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disruption of the credit markets could materially damage our business</w:t>
      </w:r>
    </w:p>
    <w:p>
      <w:pPr>
        <w:spacing w:after="0" w:line="9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 protracted disruption in the credit markets could decreased demand for our investments. In addition, with respect to over-the-counter traded securities, the continued viability of any over-the-counter secondary market depends on the continued willingness of dealers and other participants to purchase securities. 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 protracted disruption in the credit markets, a severe decline in the value of the United States dollar, a sharp economic downturn or an operational problem that affects third parties or us, and could materially damage our business.</w:t>
      </w:r>
    </w:p>
    <w:p>
      <w:pPr>
        <w:spacing w:after="0" w:line="19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right="260" w:firstLine="449"/>
        <w:spacing w:after="0" w:line="256" w:lineRule="auto"/>
        <w:rPr>
          <w:sz w:val="20"/>
          <w:szCs w:val="20"/>
          <w:color w:val="auto"/>
        </w:rPr>
      </w:pPr>
      <w:r>
        <w:rPr>
          <w:rFonts w:ascii="Arial" w:cs="Arial" w:eastAsia="Arial" w:hAnsi="Arial"/>
          <w:sz w:val="18"/>
          <w:szCs w:val="18"/>
          <w:color w:val="auto"/>
        </w:rPr>
        <w:t>At September 30, 2008, about one–half of our portfolio assets were recorded using broker/dealers quotes and the balance of our portfolio assets were recorded using the services of one or more nationally recognized independent valuation firms. As a result, there may be uncertainty as to the value of our portfolio investments. As we invest our capital we expect that a larger percentage of our portfolio investments will be in the form of securities that have no broker/dealers quotes.</w:t>
      </w:r>
    </w:p>
    <w:p>
      <w:pPr>
        <w:spacing w:after="0" w:line="143"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32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changes in fair value are recorded in our statement of operations as net change in unrealized appreciation or depreciation.</w:t>
      </w:r>
    </w:p>
    <w:p>
      <w:pPr>
        <w:spacing w:after="0" w:line="240"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As a business development company, we are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 our Board of Directors. Decreases in the market values or fair values of our investments will be recorded as unrealized depreciation. The fair value of our portfolio companies on the whole has decreased substantially over the past two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jc w:val="both"/>
        <w:ind w:right="60" w:firstLine="449"/>
        <w:spacing w:after="0" w:line="331"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7"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In addition, current market developments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We primarily make private, long-term subordinated and senior loans and invest in equity investments, which may involve a high degree of repayment risk. We invest in companies that may have limited financial resources, may be highly leveraged and may be unable to obtain financing from traditional sources. Accordingly, if the severe challenges facing the general economy and the tightening in the credit markets persists and/or deteriorates further, such conditions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which could trigger cross defaults under other agreements and jeopardize our portfolio company’s ability to meet its obligations under the loans or debt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investments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7" w:lineRule="exact"/>
        <w:rPr>
          <w:sz w:val="20"/>
          <w:szCs w:val="20"/>
          <w:color w:val="auto"/>
        </w:rPr>
      </w:pPr>
    </w:p>
    <w:p>
      <w:pPr>
        <w:ind w:right="120" w:firstLine="449"/>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rely in part on our senior secured investments to provide us with adequate liquidity, but even these investments face liquidity constraints under current market conditions.</w:t>
      </w:r>
    </w:p>
    <w:p>
      <w:pPr>
        <w:spacing w:after="0" w:line="45" w:lineRule="exact"/>
        <w:rPr>
          <w:sz w:val="20"/>
          <w:szCs w:val="20"/>
          <w:color w:val="auto"/>
        </w:rPr>
      </w:pPr>
    </w:p>
    <w:p>
      <w:pPr>
        <w:jc w:val="both"/>
        <w:ind w:right="480" w:firstLine="449"/>
        <w:spacing w:after="0" w:line="259" w:lineRule="auto"/>
        <w:rPr>
          <w:sz w:val="20"/>
          <w:szCs w:val="20"/>
          <w:color w:val="auto"/>
        </w:rPr>
      </w:pPr>
      <w:r>
        <w:rPr>
          <w:rFonts w:ascii="Arial" w:cs="Arial" w:eastAsia="Arial" w:hAnsi="Arial"/>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value of our common stock than it would if we did not use debt. Our ability to pay distributions is restricted when our asset coverage ratio is not at least 200%. If this ratio declines below 200%, we may not be able to pay dividends to our stockholders or incur additional debt and may need to sell a portion of our investments to repay some debt when it is disadvantageous to do so, and we may not be able to make distributions.</w:t>
      </w:r>
    </w:p>
    <w:p>
      <w:pPr>
        <w:spacing w:after="0" w:line="147" w:lineRule="exact"/>
        <w:rPr>
          <w:sz w:val="20"/>
          <w:szCs w:val="20"/>
          <w:color w:val="auto"/>
        </w:rPr>
      </w:pPr>
    </w:p>
    <w:p>
      <w:pPr>
        <w:ind w:right="120" w:firstLine="449"/>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We have indebtedness outstanding pursuant to our $300 million revolving credit facility and intend in the future to borrow additional amounts under our credit facility and to increase the size of our credit facility, subject to the availability of such financing and our ability to incur additional debt.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interest rates may affect our cost of capital and net investment income.</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recent months, the tightening in the credit markets has resulted in unprecedented spreads between commercial borrowing rates and “risk-free” borrowing rates. The London Interbank Offered Rate (“LIBOR”), for example, experienced extreme volatility as banks refused to lend to each other on historically reasonable terms. Our borrowing rate is set at 100 basis points over LIBOR, and if volatility were to continue at recent levels or if LIBOR were to spike to levels significantly higher than the risk-free lending rate, our net income could be affected. However, because approximately one-half of our portfolio consists of variable-rate securities, changes in interest rates tend to have a muted impact on our portfolio. Nevertheless, in periods of rising interest rates, our cost of funds will increase, which could reduce our net investment income.</w:t>
      </w:r>
    </w:p>
    <w:p>
      <w:pPr>
        <w:spacing w:after="0" w:line="124"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“Quantitative and Qualitative Disclosures about Market Risk.”</w:t>
      </w:r>
    </w:p>
    <w:p>
      <w:pPr>
        <w:spacing w:after="0" w:line="115"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“Business—Investment Management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right="140" w:firstLine="449"/>
        <w:spacing w:after="0" w:line="331"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new business, including the risk that we will not achieve our investment objectives and that the value of our common stock could decline substantially.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spacing w:after="0" w:line="57"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Mr. Penn and other managers of our Investment Adviser evaluate, negotiate, structure, close and monitor our investments. Our future success depends on the continued service of Mr. Penn and other management personnel of our Investment Adviser. The departure of Mr. Penn or any other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will have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Investment Adviser may also be called upon to provide managerial assistance to portfolio companies as the principals of our Administrator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making investments in middle-market companies. As a result of these new entrants, competition for investment opportunities at middle-market companies has intensified.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2" w:lineRule="exact"/>
        <w:rPr>
          <w:sz w:val="20"/>
          <w:szCs w:val="20"/>
          <w:color w:val="auto"/>
        </w:rPr>
      </w:pPr>
    </w:p>
    <w:p>
      <w:pPr>
        <w:ind w:right="980"/>
        <w:spacing w:after="0" w:line="275" w:lineRule="auto"/>
        <w:rPr>
          <w:sz w:val="20"/>
          <w:szCs w:val="20"/>
          <w:color w:val="auto"/>
        </w:rPr>
      </w:pPr>
      <w:r>
        <w:rPr>
          <w:rFonts w:ascii="Arial" w:cs="Arial" w:eastAsia="Arial" w:hAnsi="Arial"/>
          <w:sz w:val="18"/>
          <w:szCs w:val="18"/>
          <w:b w:val="1"/>
          <w:bCs w:val="1"/>
          <w:color w:val="auto"/>
        </w:rPr>
        <w:t>PennantPark may not replicate the historical performance of other investment companies with which Mr. Penn and our other investment professionals have been affiliated.</w:t>
      </w:r>
    </w:p>
    <w:p>
      <w:pPr>
        <w:spacing w:after="0" w:line="45"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The 1940 Act imposes numerous constraints on the investment activities of business development companies. For example, business development companies are required to invest at least 70% of their total assets primarily in securities of U.S. private or thinly traded public companies, cash, cash equivalents, U.S. government securities and other high quality debt investments that mature in one year or less. These constraints may hinder our Investment Adviser’s ability to take advantage of attractive investment opportunities and to achieve our investment objectives. Mr. Penn, our Chief Executive Officer and the Managing Member of our Investment Adviser, has had more than one year of experience managing the investments of PennantPark and approximately three years of experience managing another business development company. However, current market conditions and the current stage of the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will replicate the historical performance of other investment companies with which Mr. Penn and our other investment professionals have been affiliated, and we caution that our investment returns could be substantially lower than the returns achieved by such other companies.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340" w:firstLine="449"/>
        <w:spacing w:after="0" w:line="331"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RIC.</w:t>
      </w:r>
    </w:p>
    <w:p>
      <w:pPr>
        <w:spacing w:after="0" w:line="96"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To qualify as a RIC under the Code, we must meet certain source-of-income,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 To the extent we use debt financing, we are subject to certain asset coverage ratio requirements under the 1940 Act and financial covenants under loan and credit agreements that could, under certain circumstances, restrict us from making distributions necessary to qualify as a RIC. If we are unable to obtain cash from other sources, we may fail to qualify as a RIC and, thus, may be subject to corporate-level income tax. To qualify as a RIC, we must also meet certain asset diversification requirements at the end of each calendar quarter. Failure to meet these tests may result in having to dispose of certain investments quickly in order to prevent the loss of RIC status. Because most of our investments are in private companies, any such dispositions could be made at disadvantageous prices and may result in substantial losses. If we fail to qualify as a RIC for any reason and become subject to corporate income tax, the resulting corporate taxes could substantially reduce our net assets, the amount of income available for distribution and the amount of our distributions. Such a failure would have a material adverse effect on us and our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400" w:firstLine="449"/>
        <w:spacing w:after="0" w:line="268"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06"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19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Regulations governing our operation as a business development company will affect our ability to and the way in which we raise additional capital, which could negatively impact the value of your investment in us.</w:t>
      </w:r>
    </w:p>
    <w:p>
      <w:pPr>
        <w:spacing w:after="0" w:line="45"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to purchase certain of our securities, the issuance of subscription rights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8" w:lineRule="exact"/>
        <w:rPr>
          <w:sz w:val="20"/>
          <w:szCs w:val="20"/>
          <w:color w:val="auto"/>
        </w:rPr>
      </w:pPr>
    </w:p>
    <w:p>
      <w:pPr>
        <w:ind w:left="880" w:hanging="427"/>
        <w:spacing w:after="0" w:line="294"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Senior Securities</w:t>
      </w:r>
      <w:r>
        <w:rPr>
          <w:rFonts w:ascii="Arial" w:cs="Arial" w:eastAsia="Arial" w:hAnsi="Arial"/>
          <w:sz w:val="16"/>
          <w:szCs w:val="16"/>
          <w:color w:val="auto"/>
        </w:rPr>
        <w:t>. As a result of issuing senior securities, we would also be exposed to typical risks associated with leverage, including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risk of loss. If we issue preferred securities they would rank “senior” to common stock in our capital structure. Preferred stockholders would have separate voting rights and may have rights, preferences or privileges more favorable than those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880" w:right="180" w:hanging="427"/>
        <w:spacing w:after="0" w:line="288"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spacing w:after="0" w:line="294" w:lineRule="auto"/>
        <w:rPr>
          <w:sz w:val="20"/>
          <w:szCs w:val="20"/>
          <w:color w:val="auto"/>
        </w:rPr>
      </w:pPr>
      <w:r>
        <w:rPr>
          <w:rFonts w:ascii="Arial" w:cs="Arial" w:eastAsia="Arial" w:hAnsi="Arial"/>
          <w:sz w:val="16"/>
          <w:szCs w:val="16"/>
          <w:color w:val="auto"/>
        </w:rPr>
        <w:t>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8" w:lineRule="exact"/>
        <w:rPr>
          <w:sz w:val="20"/>
          <w:szCs w:val="20"/>
          <w:color w:val="auto"/>
        </w:rPr>
      </w:pPr>
    </w:p>
    <w:p>
      <w:pPr>
        <w:ind w:left="880" w:hanging="427"/>
        <w:spacing w:after="0" w:line="286"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our loan portfolio might expose us to losses as the residual loans in which we do not sell interests will tend to be those that are riskier and more apt to generate losses.</w:t>
      </w:r>
    </w:p>
    <w:p>
      <w:pPr>
        <w:spacing w:after="0" w:line="20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7"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investments we acquire, the conditions in the credit markets and the economy generally, the default rate on such investments,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In the past 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The partners of our Investment Adviser may serve as officers, directors or principals of entities that operate in the same or a related line of business as we do or of investment funds managed by affiliates of PennantPark that may be formed in the future. The Investment Adviser has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15"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2"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will have no legal right to the “PennantPark” name. In addition, we pay PennantPark Investment Administration, an affiliate of the Investment Adviser, our allocable portion of overhead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240" w:firstLine="449"/>
        <w:spacing w:after="0" w:line="369"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Many financial experts believe that we are in a recession. 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firstLine="449"/>
        <w:spacing w:after="0" w:line="314" w:lineRule="auto"/>
        <w:rPr>
          <w:sz w:val="20"/>
          <w:szCs w:val="20"/>
          <w:color w:val="auto"/>
        </w:rPr>
      </w:pPr>
      <w:r>
        <w:rPr>
          <w:rFonts w:ascii="Arial" w:cs="Arial" w:eastAsia="Arial" w:hAnsi="Arial"/>
          <w:sz w:val="15"/>
          <w:szCs w:val="15"/>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investments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invest primarily in mezzanine debt, senior secured loans and selected equity investments issued by U.S. middle-market companies.</w:t>
      </w:r>
    </w:p>
    <w:p>
      <w:pPr>
        <w:spacing w:after="0" w:line="171" w:lineRule="exact"/>
        <w:rPr>
          <w:sz w:val="20"/>
          <w:szCs w:val="20"/>
          <w:color w:val="auto"/>
        </w:rPr>
      </w:pPr>
    </w:p>
    <w:p>
      <w:pPr>
        <w:ind w:right="400" w:firstLine="449"/>
        <w:spacing w:after="0" w:line="268" w:lineRule="auto"/>
        <w:rPr>
          <w:sz w:val="20"/>
          <w:szCs w:val="20"/>
          <w:color w:val="auto"/>
        </w:rPr>
      </w:pPr>
      <w:r>
        <w:rPr>
          <w:rFonts w:ascii="Arial" w:cs="Arial" w:eastAsia="Arial" w:hAnsi="Arial"/>
          <w:sz w:val="18"/>
          <w:szCs w:val="18"/>
          <w:i w:val="1"/>
          <w:iCs w:val="1"/>
          <w:color w:val="auto"/>
        </w:rPr>
        <w:t xml:space="preserve">Mezzanine Debt: </w:t>
      </w:r>
      <w:r>
        <w:rPr>
          <w:rFonts w:ascii="Arial" w:cs="Arial" w:eastAsia="Arial" w:hAnsi="Arial"/>
          <w:sz w:val="18"/>
          <w:szCs w:val="18"/>
          <w:color w:val="auto"/>
        </w:rPr>
        <w:t>Our mezzanine debt investments will generally be subordinated to senior secured loans and will generally be unsecured. This may</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 above average amount of risk and volatility or a loss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43"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24"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i w:val="1"/>
          <w:iCs w:val="1"/>
          <w:color w:val="auto"/>
        </w:rPr>
        <w:t>Equity Investments</w:t>
      </w:r>
      <w:r>
        <w:rPr>
          <w:rFonts w:ascii="Arial" w:cs="Arial" w:eastAsia="Arial" w:hAnsi="Arial"/>
          <w:sz w:val="18"/>
          <w:szCs w:val="18"/>
          <w:color w:val="auto"/>
        </w:rPr>
        <w:t>: We have made and expect to continue to make selected equity investments. In addition, when we invest in senior secured loans or</w:t>
      </w:r>
      <w:r>
        <w:rPr>
          <w:rFonts w:ascii="Arial" w:cs="Arial" w:eastAsia="Arial" w:hAnsi="Arial"/>
          <w:sz w:val="18"/>
          <w:szCs w:val="18"/>
          <w:i w:val="1"/>
          <w:iCs w:val="1"/>
          <w:color w:val="auto"/>
        </w:rPr>
        <w:t xml:space="preserve"> </w:t>
      </w:r>
      <w:r>
        <w:rPr>
          <w:rFonts w:ascii="Arial" w:cs="Arial" w:eastAsia="Arial" w:hAnsi="Arial"/>
          <w:sz w:val="18"/>
          <w:szCs w:val="18"/>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880" w:right="120" w:hanging="427"/>
        <w:spacing w:after="0" w:line="259"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8" w:lineRule="exact"/>
        <w:rPr>
          <w:rFonts w:ascii="Arial" w:cs="Arial" w:eastAsia="Arial" w:hAnsi="Arial"/>
          <w:sz w:val="18"/>
          <w:szCs w:val="18"/>
          <w:color w:val="auto"/>
        </w:rPr>
      </w:pPr>
    </w:p>
    <w:p>
      <w:pPr>
        <w:ind w:left="880" w:right="80" w:hanging="427"/>
        <w:spacing w:after="0" w:line="331"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5" w:lineRule="exact"/>
        <w:rPr>
          <w:rFonts w:ascii="Arial" w:cs="Arial" w:eastAsia="Arial" w:hAnsi="Arial"/>
          <w:sz w:val="16"/>
          <w:szCs w:val="16"/>
          <w:color w:val="auto"/>
        </w:rPr>
      </w:pPr>
    </w:p>
    <w:p>
      <w:pPr>
        <w:ind w:left="880" w:right="300" w:hanging="427"/>
        <w:spacing w:after="0" w:line="331"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 w:lineRule="exact"/>
        <w:rPr>
          <w:rFonts w:ascii="Arial" w:cs="Arial" w:eastAsia="Arial" w:hAnsi="Arial"/>
          <w:sz w:val="16"/>
          <w:szCs w:val="16"/>
          <w:color w:val="auto"/>
        </w:rPr>
      </w:pPr>
    </w:p>
    <w:p>
      <w:pPr>
        <w:ind w:left="880" w:right="280" w:hanging="427"/>
        <w:spacing w:after="0" w:line="298"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880" w:right="720" w:hanging="427"/>
        <w:spacing w:after="0" w:line="268"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right="20" w:firstLine="449"/>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for a complete list of the qualifying assets in which we may invest.</w:t>
      </w:r>
    </w:p>
    <w:p>
      <w:pPr>
        <w:spacing w:after="0" w:line="11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880" w:right="120" w:hanging="427"/>
        <w:spacing w:after="0" w:line="268"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215" w:lineRule="exact"/>
        <w:rPr>
          <w:sz w:val="20"/>
          <w:szCs w:val="20"/>
          <w:color w:val="auto"/>
        </w:rPr>
      </w:pPr>
    </w:p>
    <w:p>
      <w:pPr>
        <w:ind w:right="44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will typically hold in our portfolio companies, we may not be able to dispose of our investments in the event we disagree with the actions of a portfolio company, and may therefore suffer a decrease in the value of our investments.</w:t>
      </w:r>
    </w:p>
    <w:p>
      <w:pPr>
        <w:spacing w:after="0" w:line="22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have invested and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right="60" w:firstLine="449"/>
        <w:spacing w:after="0" w:line="306"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200" w:firstLine="449"/>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5"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24"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19"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320" w:top="459"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and as included in the covenants to our credit facility,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jc w:val="both"/>
        <w:ind w:right="180" w:firstLine="449"/>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trade at discounts from net asset value and may trade at premiums that are unsustainable over the long term.</w:t>
      </w:r>
    </w:p>
    <w:p>
      <w:pPr>
        <w:spacing w:after="0" w:line="96"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Net Asset Value. Our shares traded on NASDAQ at $7.41 and $13.40 as of September 30, 2008 and September 30, 2007, respectively. Our Net Asset Value was $10.00 and $12.83, as of September 30, 2008 and September 30, 2007,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60" w:firstLine="449"/>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880" w:right="340" w:hanging="427"/>
        <w:spacing w:after="0" w:line="268"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440" w:hanging="427"/>
        <w:spacing w:after="0" w:line="268"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20" w:firstLine="449"/>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be unable to invest the net proceeds raised from offerings on acceptable terms, which would harm our financial condition and operating results.</w:t>
      </w:r>
    </w:p>
    <w:p>
      <w:pPr>
        <w:spacing w:after="0" w:line="45"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As of September 30, 2008, we do not own any real estate or other physical properties materially important to our operation. We believe that our office facilities are suitable and adequate for our business as it is contemplated to be conducted.</w:t>
      </w:r>
    </w:p>
    <w:p>
      <w:pPr>
        <w:spacing w:after="0" w:line="24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Neither our Investment Adviser, our Administrator or us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our fourth fiscal quarter ended September 30, 2008.</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4"/>
              </w:rPr>
              <w:t>Premium/</w:t>
            </w: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Premium/</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3"/>
              </w:rPr>
              <w:t>Discount</w:t>
            </w: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Discount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right"/>
              <w:ind w:right="235"/>
              <w:spacing w:after="0"/>
              <w:rPr>
                <w:sz w:val="20"/>
                <w:szCs w:val="20"/>
                <w:color w:val="auto"/>
              </w:rPr>
            </w:pPr>
            <w:r>
              <w:rPr>
                <w:rFonts w:ascii="Arial" w:cs="Arial" w:eastAsia="Arial" w:hAnsi="Arial"/>
                <w:sz w:val="13"/>
                <w:szCs w:val="13"/>
                <w:b w:val="1"/>
                <w:bCs w:val="1"/>
                <w:color w:val="auto"/>
              </w:rPr>
              <w:t>Closing Sales</w:t>
            </w:r>
          </w:p>
        </w:tc>
        <w:tc>
          <w:tcPr>
            <w:tcW w:w="420" w:type="dxa"/>
            <w:vAlign w:val="bottom"/>
          </w:tcPr>
          <w:p>
            <w:pPr>
              <w:spacing w:after="0"/>
              <w:rPr>
                <w:sz w:val="12"/>
                <w:szCs w:val="12"/>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8"/>
              </w:rPr>
              <w:t>of High</w:t>
            </w: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of Low</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Price</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2"/>
              </w:rPr>
              <w:t>Sales</w:t>
            </w: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Sales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NAV</w:t>
            </w:r>
            <w:r>
              <w:rPr>
                <w:rFonts w:ascii="Arial" w:cs="Arial" w:eastAsia="Arial" w:hAnsi="Arial"/>
                <w:sz w:val="22"/>
                <w:szCs w:val="22"/>
                <w:b w:val="1"/>
                <w:bCs w:val="1"/>
                <w:color w:val="auto"/>
                <w:w w:val="92"/>
                <w:vertAlign w:val="superscript"/>
              </w:rPr>
              <w:t>(1)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jc w:val="center"/>
              <w:ind w:right="560"/>
              <w:spacing w:after="0" w:line="129" w:lineRule="exact"/>
              <w:rPr>
                <w:sz w:val="20"/>
                <w:szCs w:val="20"/>
                <w:color w:val="auto"/>
              </w:rPr>
            </w:pPr>
            <w:r>
              <w:rPr>
                <w:rFonts w:ascii="Arial" w:cs="Arial" w:eastAsia="Arial" w:hAnsi="Arial"/>
                <w:sz w:val="13"/>
                <w:szCs w:val="13"/>
                <w:b w:val="1"/>
                <w:bCs w:val="1"/>
                <w:color w:val="auto"/>
                <w:w w:val="92"/>
              </w:rPr>
              <w:t>Price to</w:t>
            </w:r>
          </w:p>
        </w:tc>
        <w:tc>
          <w:tcPr>
            <w:tcW w:w="940" w:type="dxa"/>
            <w:vAlign w:val="bottom"/>
            <w:gridSpan w:val="2"/>
          </w:tcPr>
          <w:p>
            <w:pPr>
              <w:jc w:val="center"/>
              <w:ind w:right="340"/>
              <w:spacing w:after="0" w:line="129" w:lineRule="exact"/>
              <w:rPr>
                <w:sz w:val="20"/>
                <w:szCs w:val="20"/>
                <w:color w:val="auto"/>
              </w:rPr>
            </w:pPr>
            <w:r>
              <w:rPr>
                <w:rFonts w:ascii="Arial" w:cs="Arial" w:eastAsia="Arial" w:hAnsi="Arial"/>
                <w:sz w:val="13"/>
                <w:szCs w:val="13"/>
                <w:b w:val="1"/>
                <w:bCs w:val="1"/>
                <w:color w:val="auto"/>
                <w:w w:val="92"/>
              </w:rPr>
              <w:t>Price to</w:t>
            </w:r>
          </w:p>
        </w:tc>
        <w:tc>
          <w:tcPr>
            <w:tcW w:w="20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4"/>
              </w:rPr>
              <w:t>Declared</w:t>
            </w:r>
          </w:p>
        </w:tc>
        <w:tc>
          <w:tcPr>
            <w:tcW w:w="0" w:type="dxa"/>
            <w:vAlign w:val="bottom"/>
          </w:tcPr>
          <w:p>
            <w:pPr>
              <w:spacing w:after="0"/>
              <w:rPr>
                <w:sz w:val="1"/>
                <w:szCs w:val="1"/>
                <w:color w:val="auto"/>
              </w:rPr>
            </w:pPr>
          </w:p>
        </w:tc>
      </w:tr>
      <w:tr>
        <w:trPr>
          <w:trHeight w:val="176"/>
        </w:trPr>
        <w:tc>
          <w:tcPr>
            <w:tcW w:w="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Period</w:t>
            </w:r>
          </w:p>
        </w:tc>
        <w:tc>
          <w:tcPr>
            <w:tcW w:w="528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High</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w w:val="99"/>
              </w:rPr>
              <w:t>Low</w:t>
            </w:r>
          </w:p>
        </w:tc>
        <w:tc>
          <w:tcPr>
            <w:tcW w:w="42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5"/>
              </w:rPr>
              <w:t>NAV</w:t>
            </w:r>
            <w:r>
              <w:rPr>
                <w:rFonts w:ascii="Arial" w:cs="Arial" w:eastAsia="Arial" w:hAnsi="Arial"/>
                <w:sz w:val="20"/>
                <w:szCs w:val="20"/>
                <w:b w:val="1"/>
                <w:bCs w:val="1"/>
                <w:color w:val="auto"/>
                <w:w w:val="95"/>
                <w:vertAlign w:val="superscript"/>
              </w:rPr>
              <w:t>(2)</w:t>
            </w:r>
          </w:p>
        </w:tc>
        <w:tc>
          <w:tcPr>
            <w:tcW w:w="54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5"/>
              </w:rPr>
              <w:t>NAV</w:t>
            </w:r>
            <w:r>
              <w:rPr>
                <w:rFonts w:ascii="Arial" w:cs="Arial" w:eastAsia="Arial" w:hAnsi="Arial"/>
                <w:sz w:val="20"/>
                <w:szCs w:val="20"/>
                <w:b w:val="1"/>
                <w:bCs w:val="1"/>
                <w:color w:val="auto"/>
                <w:w w:val="95"/>
                <w:vertAlign w:val="superscript"/>
              </w:rPr>
              <w:t>(2)</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0"/>
              </w:rPr>
              <w:t>Dividends</w:t>
            </w:r>
          </w:p>
        </w:tc>
        <w:tc>
          <w:tcPr>
            <w:tcW w:w="0" w:type="dxa"/>
            <w:vAlign w:val="bottom"/>
          </w:tcPr>
          <w:p>
            <w:pPr>
              <w:spacing w:after="0"/>
              <w:rPr>
                <w:sz w:val="1"/>
                <w:szCs w:val="1"/>
                <w:color w:val="auto"/>
              </w:rPr>
            </w:pPr>
          </w:p>
        </w:tc>
      </w:tr>
      <w:tr>
        <w:trPr>
          <w:trHeight w:val="209"/>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September 30, 2008</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5.92</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85%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$10.77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$10.26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11.31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8.38</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110%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14.49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Fiscal year ended September 30, 2007</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$12.83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14.76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12.61</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$13.74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15.03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14.04</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109%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1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4" w:lineRule="exact"/>
        <w:rPr>
          <w:sz w:val="20"/>
          <w:szCs w:val="20"/>
          <w:color w:val="auto"/>
        </w:rPr>
      </w:pPr>
    </w:p>
    <w:p>
      <w:pPr>
        <w:ind w:left="460" w:right="30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08"/>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April 24, 2007 (initial public offering) to September 30, 2007.</w:t>
      </w:r>
    </w:p>
    <w:p>
      <w:pPr>
        <w:spacing w:after="0" w:line="165"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While our common stock has from time to time traded in excess of our net asset value, there can be no assurance, however, that it will trade at such a premium (to net asset value) in the future. The reported closing market value of our common stock on November 11, 2008 was $3.33 per share, and we had 15 stockholders of record.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 (See Note 8):</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gridSpan w:val="3"/>
          </w:tcPr>
          <w:p>
            <w:pPr>
              <w:spacing w:after="0"/>
              <w:rPr>
                <w:sz w:val="20"/>
                <w:szCs w:val="20"/>
                <w:color w:val="auto"/>
              </w:rPr>
            </w:pPr>
            <w:r>
              <w:rPr>
                <w:rFonts w:ascii="Arial" w:cs="Arial" w:eastAsia="Arial" w:hAnsi="Arial"/>
                <w:sz w:val="13"/>
                <w:szCs w:val="13"/>
                <w:b w:val="1"/>
                <w:bCs w:val="1"/>
                <w:color w:val="auto"/>
              </w:rPr>
              <w:t>Record Date</w:t>
            </w:r>
          </w:p>
        </w:tc>
        <w:tc>
          <w:tcPr>
            <w:tcW w:w="3980" w:type="dxa"/>
            <w:vAlign w:val="bottom"/>
            <w:gridSpan w:val="3"/>
          </w:tcPr>
          <w:p>
            <w:pPr>
              <w:ind w:left="1960"/>
              <w:spacing w:after="0"/>
              <w:rPr>
                <w:sz w:val="20"/>
                <w:szCs w:val="20"/>
                <w:color w:val="auto"/>
              </w:rPr>
            </w:pPr>
            <w:r>
              <w:rPr>
                <w:rFonts w:ascii="Arial" w:cs="Arial" w:eastAsia="Arial" w:hAnsi="Arial"/>
                <w:sz w:val="13"/>
                <w:szCs w:val="13"/>
                <w:b w:val="1"/>
                <w:bCs w:val="1"/>
                <w:color w:val="auto"/>
              </w:rPr>
              <w:t>Payment Date</w:t>
            </w:r>
          </w:p>
        </w:tc>
        <w:tc>
          <w:tcPr>
            <w:tcW w:w="6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September 30, 2008</w:t>
            </w: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September 24, 2008</w:t>
            </w:r>
          </w:p>
        </w:tc>
        <w:tc>
          <w:tcPr>
            <w:tcW w:w="3980" w:type="dxa"/>
            <w:vAlign w:val="bottom"/>
            <w:gridSpan w:val="3"/>
          </w:tcPr>
          <w:p>
            <w:pPr>
              <w:ind w:left="1960"/>
              <w:spacing w:after="0"/>
              <w:rPr>
                <w:sz w:val="20"/>
                <w:szCs w:val="20"/>
                <w:color w:val="auto"/>
              </w:rPr>
            </w:pPr>
            <w:r>
              <w:rPr>
                <w:rFonts w:ascii="Arial" w:cs="Arial" w:eastAsia="Arial" w:hAnsi="Arial"/>
                <w:sz w:val="18"/>
                <w:szCs w:val="18"/>
                <w:color w:val="auto"/>
              </w:rPr>
              <w:t>October 1, 2008</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23, 2008</w:t>
            </w:r>
          </w:p>
        </w:tc>
        <w:tc>
          <w:tcPr>
            <w:tcW w:w="3980" w:type="dxa"/>
            <w:vAlign w:val="bottom"/>
            <w:gridSpan w:val="3"/>
            <w:shd w:val="clear" w:color="auto" w:fill="CCEEFF"/>
          </w:tcPr>
          <w:p>
            <w:pPr>
              <w:ind w:left="1960"/>
              <w:spacing w:after="0"/>
              <w:rPr>
                <w:sz w:val="20"/>
                <w:szCs w:val="20"/>
                <w:color w:val="auto"/>
              </w:rPr>
            </w:pPr>
            <w:r>
              <w:rPr>
                <w:rFonts w:ascii="Arial" w:cs="Arial" w:eastAsia="Arial" w:hAnsi="Arial"/>
                <w:sz w:val="18"/>
                <w:szCs w:val="18"/>
                <w:color w:val="auto"/>
              </w:rPr>
              <w:t>June 30, 2008</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March 24, 2008</w:t>
            </w:r>
          </w:p>
        </w:tc>
        <w:tc>
          <w:tcPr>
            <w:tcW w:w="3980" w:type="dxa"/>
            <w:vAlign w:val="bottom"/>
            <w:gridSpan w:val="3"/>
          </w:tcPr>
          <w:p>
            <w:pPr>
              <w:ind w:left="1960"/>
              <w:spacing w:after="0"/>
              <w:rPr>
                <w:sz w:val="20"/>
                <w:szCs w:val="20"/>
                <w:color w:val="auto"/>
              </w:rPr>
            </w:pPr>
            <w:r>
              <w:rPr>
                <w:rFonts w:ascii="Arial" w:cs="Arial" w:eastAsia="Arial" w:hAnsi="Arial"/>
                <w:sz w:val="18"/>
                <w:szCs w:val="18"/>
                <w:color w:val="auto"/>
              </w:rPr>
              <w:t>March 31, 2008</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24, 2007</w:t>
            </w:r>
          </w:p>
        </w:tc>
        <w:tc>
          <w:tcPr>
            <w:tcW w:w="3980" w:type="dxa"/>
            <w:vAlign w:val="bottom"/>
            <w:gridSpan w:val="3"/>
            <w:shd w:val="clear" w:color="auto" w:fill="CCEEFF"/>
          </w:tcPr>
          <w:p>
            <w:pPr>
              <w:ind w:left="1960"/>
              <w:spacing w:after="0"/>
              <w:rPr>
                <w:sz w:val="20"/>
                <w:szCs w:val="20"/>
                <w:color w:val="auto"/>
              </w:rPr>
            </w:pPr>
            <w:r>
              <w:rPr>
                <w:rFonts w:ascii="Arial" w:cs="Arial" w:eastAsia="Arial" w:hAnsi="Arial"/>
                <w:sz w:val="18"/>
                <w:szCs w:val="18"/>
                <w:color w:val="auto"/>
              </w:rPr>
              <w:t>December 31, 2007</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spacing w:after="0"/>
              <w:rPr>
                <w:sz w:val="20"/>
                <w:szCs w:val="20"/>
                <w:color w:val="auto"/>
              </w:rPr>
            </w:pPr>
            <w:r>
              <w:rPr>
                <w:rFonts w:ascii="Arial" w:cs="Arial" w:eastAsia="Arial" w:hAnsi="Arial"/>
                <w:sz w:val="18"/>
                <w:szCs w:val="18"/>
                <w:color w:val="auto"/>
              </w:rPr>
              <w:t>Total Fiscal Year Ending September 30, 2008</w:t>
            </w:r>
          </w:p>
        </w:tc>
        <w:tc>
          <w:tcPr>
            <w:tcW w:w="1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40" w:type="dxa"/>
            <w:vAlign w:val="bottom"/>
            <w:gridSpan w:val="3"/>
            <w:vMerge w:val="continue"/>
          </w:tcPr>
          <w:p>
            <w:pPr>
              <w:spacing w:after="0"/>
              <w:rPr>
                <w:sz w:val="19"/>
                <w:szCs w:val="19"/>
                <w:color w:val="auto"/>
              </w:rPr>
            </w:pPr>
          </w:p>
        </w:tc>
        <w:tc>
          <w:tcPr>
            <w:tcW w:w="1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43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Inception to September 30, 2007</w:t>
            </w: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September 25, 2007</w:t>
            </w:r>
          </w:p>
        </w:tc>
        <w:tc>
          <w:tcPr>
            <w:tcW w:w="3980" w:type="dxa"/>
            <w:vAlign w:val="bottom"/>
            <w:gridSpan w:val="3"/>
          </w:tcPr>
          <w:p>
            <w:pPr>
              <w:ind w:left="1960"/>
              <w:spacing w:after="0"/>
              <w:rPr>
                <w:sz w:val="20"/>
                <w:szCs w:val="20"/>
                <w:color w:val="auto"/>
              </w:rPr>
            </w:pPr>
            <w:r>
              <w:rPr>
                <w:rFonts w:ascii="Arial" w:cs="Arial" w:eastAsia="Arial" w:hAnsi="Arial"/>
                <w:sz w:val="18"/>
                <w:szCs w:val="18"/>
                <w:color w:val="auto"/>
              </w:rPr>
              <w:t>September 28, 2007</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22, 2007</w:t>
            </w:r>
          </w:p>
        </w:tc>
        <w:tc>
          <w:tcPr>
            <w:tcW w:w="3980" w:type="dxa"/>
            <w:vAlign w:val="bottom"/>
            <w:gridSpan w:val="3"/>
            <w:shd w:val="clear" w:color="auto" w:fill="CCEEFF"/>
          </w:tcPr>
          <w:p>
            <w:pPr>
              <w:ind w:left="1960"/>
              <w:spacing w:after="0"/>
              <w:rPr>
                <w:sz w:val="20"/>
                <w:szCs w:val="20"/>
                <w:color w:val="auto"/>
              </w:rPr>
            </w:pPr>
            <w:r>
              <w:rPr>
                <w:rFonts w:ascii="Arial" w:cs="Arial" w:eastAsia="Arial" w:hAnsi="Arial"/>
                <w:sz w:val="18"/>
                <w:szCs w:val="18"/>
                <w:color w:val="auto"/>
              </w:rPr>
              <w:t>June 29, 2007</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spacing w:after="0"/>
              <w:rPr>
                <w:sz w:val="20"/>
                <w:szCs w:val="20"/>
                <w:color w:val="auto"/>
              </w:rPr>
            </w:pPr>
            <w:r>
              <w:rPr>
                <w:rFonts w:ascii="Arial" w:cs="Arial" w:eastAsia="Arial" w:hAnsi="Arial"/>
                <w:sz w:val="18"/>
                <w:szCs w:val="18"/>
                <w:color w:val="auto"/>
              </w:rPr>
              <w:t>Total inception to September 30, 2007</w:t>
            </w:r>
          </w:p>
        </w:tc>
        <w:tc>
          <w:tcPr>
            <w:tcW w:w="1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40" w:type="dxa"/>
            <w:vAlign w:val="bottom"/>
            <w:gridSpan w:val="3"/>
            <w:vMerge w:val="continue"/>
          </w:tcPr>
          <w:p>
            <w:pPr>
              <w:spacing w:after="0"/>
              <w:rPr>
                <w:sz w:val="19"/>
                <w:szCs w:val="19"/>
                <w:color w:val="auto"/>
              </w:rPr>
            </w:pPr>
          </w:p>
        </w:tc>
        <w:tc>
          <w:tcPr>
            <w:tcW w:w="1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w w:val="95"/>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1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$0.001354 per share is a tax return of capital.</w:t>
      </w:r>
    </w:p>
    <w:p>
      <w:pPr>
        <w:spacing w:after="0" w:line="171"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In January 2009, a Form 1099-Div will be sent to stockholders which, will state the amount and composition of distributions and provide information with respect to appropriate tax treatment.</w:t>
      </w:r>
    </w:p>
    <w:p>
      <w:pPr>
        <w:spacing w:after="0" w:line="132"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2008.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This graph compares the return on our common stock with that of the Standard &amp; Poor’s 500 Stock Index and the Russell 2000 Financial Services Index, for the period April 24, 2007 (public offering) through September 30, 2008. The graph assumes that, on April 24, 2007, a person invested $100 in each of our common stock, the S&amp;P 500 Index, and the Russell 2000 Financial Services Index. The graph measures total stockholder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76835</wp:posOffset>
            </wp:positionV>
            <wp:extent cx="4517390" cy="2717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1739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graph and other information furnished under this Part II Item 5 of this Form 10-K shall not be deemed to be “soliciting material” or to be “filed” with the SEC or subject to Regulation 14A or 14C, or to the liabilities of Section 18 of the 1934 Act. The stock price performance included in the above graph is not necessarily indicative of future stock price performance.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The Statement of Operations, Per Share and Balance Sheet data as of and for the fiscal year ended September 30, 2008 and as of and for the period from January 11, 2007 (inception) through September 30, 2007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included elsewhere in this report.</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January 11, 2007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(inception)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2"/>
          </w:tcPr>
          <w:p>
            <w:pPr>
              <w:jc w:val="right"/>
              <w:ind w:right="1080"/>
              <w:spacing w:after="0"/>
              <w:rPr>
                <w:sz w:val="20"/>
                <w:szCs w:val="20"/>
                <w:color w:val="auto"/>
              </w:rPr>
            </w:pPr>
            <w:r>
              <w:rPr>
                <w:rFonts w:ascii="Arial" w:cs="Arial" w:eastAsia="Arial" w:hAnsi="Arial"/>
                <w:sz w:val="13"/>
                <w:szCs w:val="13"/>
                <w:b w:val="1"/>
                <w:bCs w:val="1"/>
                <w:color w:val="auto"/>
                <w:w w:val="93"/>
              </w:rPr>
              <w:t>For the Year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w w:val="92"/>
              </w:rPr>
              <w:t>September 30, 2008</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9"/>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60" w:type="dxa"/>
            <w:vAlign w:val="bottom"/>
            <w:gridSpan w:val="6"/>
          </w:tcPr>
          <w:p>
            <w:pPr>
              <w:jc w:val="right"/>
              <w:ind w:right="900"/>
              <w:spacing w:after="0" w:line="142" w:lineRule="exact"/>
              <w:rPr>
                <w:sz w:val="20"/>
                <w:szCs w:val="20"/>
                <w:color w:val="auto"/>
              </w:rPr>
            </w:pPr>
            <w:r>
              <w:rPr>
                <w:rFonts w:ascii="Arial" w:cs="Arial" w:eastAsia="Arial" w:hAnsi="Arial"/>
                <w:sz w:val="13"/>
                <w:szCs w:val="13"/>
                <w:b w:val="1"/>
                <w:bCs w:val="1"/>
                <w:color w:val="auto"/>
              </w:rPr>
              <w:t>(dollar amounts 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39,811</w:t>
            </w:r>
          </w:p>
        </w:tc>
        <w:tc>
          <w:tcPr>
            <w:tcW w:w="9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expenses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21,255</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investment income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18,556</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(59,259)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jc w:val="right"/>
              <w:ind w:right="860"/>
              <w:spacing w:after="0"/>
              <w:rPr>
                <w:sz w:val="20"/>
                <w:szCs w:val="20"/>
                <w:color w:val="auto"/>
              </w:rPr>
            </w:pPr>
            <w:r>
              <w:rPr>
                <w:rFonts w:ascii="Arial" w:cs="Arial" w:eastAsia="Arial" w:hAnsi="Arial"/>
                <w:sz w:val="18"/>
                <w:szCs w:val="18"/>
                <w:color w:val="auto"/>
              </w:rPr>
              <w:t>(40,703)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asset value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22"/>
                <w:szCs w:val="22"/>
                <w:color w:val="auto"/>
                <w:vertAlign w:val="superscript"/>
              </w:rPr>
              <w:t>(1)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0.90</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assets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419,811</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net assets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210,728</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rPr>
              <w:t>(38.58)%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Investments purchased during the period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209,226</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414,640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Investment sales and prepayments during the period</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70,121</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Weighted average yield on debt portfolio at period end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(unaudited)</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jc w:val="right"/>
              <w:ind w:right="780"/>
              <w:spacing w:after="0"/>
              <w:rPr>
                <w:sz w:val="20"/>
                <w:szCs w:val="20"/>
                <w:color w:val="auto"/>
              </w:rPr>
            </w:pPr>
            <w:r>
              <w:rPr>
                <w:rFonts w:ascii="Arial" w:cs="Arial" w:eastAsia="Arial" w:hAnsi="Arial"/>
                <w:sz w:val="18"/>
                <w:szCs w:val="18"/>
                <w:color w:val="auto"/>
              </w:rPr>
              <w:t>11.1%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12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2" w:lineRule="exact"/>
        <w:rPr>
          <w:sz w:val="20"/>
          <w:szCs w:val="20"/>
          <w:color w:val="auto"/>
        </w:rPr>
      </w:pPr>
    </w:p>
    <w:p>
      <w:pPr>
        <w:ind w:left="460" w:right="50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140" w:hanging="452"/>
        <w:spacing w:after="0" w:line="26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respective reporting periods, and distributions, if any, reinvested in accordance with our dividend reinvestment plan.</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32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report.</w:t>
      </w:r>
    </w:p>
    <w:p>
      <w:pPr>
        <w:spacing w:after="0" w:line="14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annual reports on Form 10-K, Reports on Form 10-Q and current reports on Form 8-K.</w:t>
      </w:r>
    </w:p>
    <w:p>
      <w:pPr>
        <w:spacing w:after="0" w:line="147"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PennantPark was organized under the Maryland General Corporation Law in January 2007. We are an externally managed, closed-end, non-diversified investment company that has elected to be treated as a business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20" w:top="459" w:right="3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development company under the 1940 Act. As such, we are required to comply with certain regulatory requirements. For instance, we generally have to invest at least 70% of our total assets in “qualifying assets,” including securities of U.S. private or thinly traded public companies with a market capitalization of less than $250 million, cash, cash equivalents, U.S. government securities and high-quality debt investments that mature in one year or less.</w:t>
      </w:r>
    </w:p>
    <w:p>
      <w:pPr>
        <w:spacing w:after="0" w:line="106" w:lineRule="exact"/>
        <w:rPr>
          <w:sz w:val="20"/>
          <w:szCs w:val="20"/>
          <w:color w:val="auto"/>
        </w:rPr>
      </w:pPr>
    </w:p>
    <w:p>
      <w:pPr>
        <w:ind w:right="160" w:firstLine="449"/>
        <w:spacing w:after="0" w:line="290"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8" w:lineRule="exact"/>
        <w:rPr>
          <w:sz w:val="20"/>
          <w:szCs w:val="20"/>
          <w:color w:val="auto"/>
        </w:rPr>
      </w:pPr>
    </w:p>
    <w:p>
      <w:pPr>
        <w:ind w:right="220" w:firstLine="449"/>
        <w:spacing w:after="0" w:line="254"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 In the current credit environment, we also intend invest selectively in senior secured loans, which we believe offer attractive risk adjusted yields and consider them a part of our core holdings at the present time.</w:t>
      </w:r>
    </w:p>
    <w:p>
      <w:pPr>
        <w:spacing w:after="0" w:line="147" w:lineRule="exact"/>
        <w:rPr>
          <w:sz w:val="20"/>
          <w:szCs w:val="20"/>
          <w:color w:val="auto"/>
        </w:rPr>
      </w:pPr>
    </w:p>
    <w:p>
      <w:pPr>
        <w:ind w:right="240" w:firstLine="449"/>
        <w:spacing w:after="0" w:line="306" w:lineRule="auto"/>
        <w:rPr>
          <w:sz w:val="20"/>
          <w:szCs w:val="20"/>
          <w:color w:val="auto"/>
        </w:rPr>
      </w:pPr>
      <w:r>
        <w:rPr>
          <w:rFonts w:ascii="Arial" w:cs="Arial" w:eastAsia="Arial" w:hAnsi="Arial"/>
          <w:sz w:val="16"/>
          <w:szCs w:val="16"/>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06"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160" w:firstLine="449"/>
        <w:spacing w:after="0" w:line="290" w:lineRule="auto"/>
        <w:rPr>
          <w:sz w:val="20"/>
          <w:szCs w:val="20"/>
          <w:color w:val="auto"/>
        </w:rPr>
      </w:pPr>
      <w:r>
        <w:rPr>
          <w:rFonts w:ascii="Arial" w:cs="Arial" w:eastAsia="Arial" w:hAnsi="Arial"/>
          <w:sz w:val="16"/>
          <w:szCs w:val="16"/>
          <w:color w:val="auto"/>
        </w:rPr>
        <w:t>We are currently operating in a severely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is adversely affecting each of these factors and has resulted in broad-based reduction in the demand for, and valuation of, high-risk debt instruments. These conditions may present us with attractive investment opportunities, as we believe that there are many middle-market companies with strong balance sheets that need senior secured and mezzanine debt financing. However, these market conditions are also adversely affecting our portfolio valuations and increase the risk of default among our portfolio companies, which could negatively impact our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generate revenue in the form of interest income on the debt investments,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investments, is generally payable quarterly or semiannually. In some cases, some of our investments provide for deferred interest payments or payment-in-kind (PIK). The principal amount of the debt investments, and any accrued but unpaid interest generally becomes due at the maturity date. In addition, we may generate revenue in the form of commitment, origination, structuring or diligence fees, fees for providing managerial assistance and possibly consulting fees. Loan origination fees,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original issue discount and market discount or premium are capitalized, and we accrete or amortize such amounts as interest income. We record prepayment premiums on loans and debt investments as interest income. Dividend income, if any, is recognized on an accrual basis to the extent that we expect to collect such amounts.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80" w:firstLine="449"/>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31" w:lineRule="exact"/>
        <w:rPr>
          <w:sz w:val="20"/>
          <w:szCs w:val="20"/>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500" w:hanging="427"/>
        <w:spacing w:after="0" w:line="268"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880" w:right="140" w:hanging="427"/>
        <w:spacing w:after="0" w:line="25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of September 30, 2008, our portfolio totaled $372.1 million and consisted of $166.2 million of subordinated debt, $104.2 million of second lien secured debt, $22.9 million of equity investments and $78.8 million of senior secured loans.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 $3.5 million, and a weighted average yield of 5.2%. 45% of our debt portfolio was in fixed-rate and 55% in variable-rate investments. Overall, the portfolio had an unrealized depreciation of $72.0 million. Our overall portfolio consisted of thirty-seven companies with an average investment size of $10.1 million and a weighted average yield on debt investments of 11.1%, and was invested 45% in subordinated debt, 28% in second lien secured debt, 6% in preferred and common equity investments and 21% in senior secured loans.</w:t>
      </w:r>
    </w:p>
    <w:p>
      <w:pPr>
        <w:spacing w:after="0" w:line="143"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For the fiscal year ended September 30, 2008, we purchased $206.8 million, in fourteen new and two existing portfolio companies with an overall average yield of 13.8% on debt investments. For the three months ended September 30, 2008, we purchased $57.4 million, in three new portfolio companies with an overall average yield of 14.2% on debt investments.</w:t>
      </w:r>
    </w:p>
    <w:p>
      <w:pPr>
        <w:spacing w:after="0" w:line="140"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As of September 30, 2007, our portfolio totaled $291.0 million and consisted of $57.3 million of subordinated debt, $67.8 million of second lien secured debt, $7.0 million of equity investments and $158.9 million of non-core senior secured loans. Our core assets totaled $132.1 million and consisted of investments in eight different companies with an average investment size of $16.5 million per company and a weighted average yield of 13.0% on debt investments. Our senior secured loan portfolio totaled $158.9 million and consisted of thirty-one different companies (including one company also in our core portfolio) with an average investment size of $5.3 million, and a weighted average yield of 7.5%. 15% of our debt portfolio was in fixed-rate and 85% in variable-rate investments. Overall, the portfolio had an unrealized depreciation of $23.9 million. Our overall portfolio consisted of thirty-eight companies with an average investment size of $7.6 million and a weighted average yield on debt investments of 10.1%, and was invested 20% in subordinated debt, 23% in second lien secured debt, 2% in common equity investments and 55% in senior secured loans.</w:t>
      </w:r>
    </w:p>
    <w:p>
      <w:pPr>
        <w:spacing w:after="0" w:line="124" w:lineRule="exact"/>
        <w:rPr>
          <w:sz w:val="20"/>
          <w:szCs w:val="20"/>
          <w:color w:val="auto"/>
        </w:rPr>
      </w:pPr>
    </w:p>
    <w:p>
      <w:pPr>
        <w:ind w:right="240" w:firstLine="449"/>
        <w:spacing w:after="0" w:line="306" w:lineRule="auto"/>
        <w:rPr>
          <w:sz w:val="20"/>
          <w:szCs w:val="20"/>
          <w:color w:val="auto"/>
        </w:rPr>
      </w:pPr>
      <w:r>
        <w:rPr>
          <w:rFonts w:ascii="Arial" w:cs="Arial" w:eastAsia="Arial" w:hAnsi="Arial"/>
          <w:sz w:val="16"/>
          <w:szCs w:val="16"/>
          <w:color w:val="auto"/>
        </w:rPr>
        <w:t>For the period April 24, 2007 (initial public offering) to September 30, 2007, we purchased $144.4 million, in eight new and five existing portfolio companies with an overall average yield of 13.0% on debt investments. For the three months ended September 30, 2007, we purchased $41.3 million, in one new and five existing portfolio companies with an overall average yield of 15.2% on debt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Our discussion of our financial condition and results of operation is based upon our financial statements, which have been prepared in accordance with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amortized premium, which approximates value. With respect to unquoted investments,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40"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47"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880" w:right="320" w:hanging="427"/>
        <w:spacing w:after="0" w:line="268"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880" w:right="400" w:hanging="427"/>
        <w:spacing w:after="0" w:line="306"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25" w:lineRule="exact"/>
        <w:rPr>
          <w:rFonts w:ascii="Arial" w:cs="Arial" w:eastAsia="Arial" w:hAnsi="Arial"/>
          <w:sz w:val="16"/>
          <w:szCs w:val="16"/>
          <w:color w:val="auto"/>
        </w:rPr>
      </w:pPr>
    </w:p>
    <w:p>
      <w:pPr>
        <w:ind w:left="880" w:right="140" w:hanging="427"/>
        <w:spacing w:after="0" w:line="331"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880" w:hanging="427"/>
        <w:spacing w:after="0" w:line="268"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assists in clarifying the definition of fair value and requires companies to expand their disclosure about the use of fair value to measure assets and liabilities in interim and annual periods subsequent to initial recognition. Adoption of SFAS 157 generally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have adopted SFAS 157 on October 1, 2008. This adoption does not affect the PennantPark Investment’s financial position or its results of operations.</w:t>
      </w:r>
    </w:p>
    <w:p>
      <w:pPr>
        <w:spacing w:after="0" w:line="120"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SFAS 159 on October 1, 2008 and have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made an irrevocable election to apply the fair value option to our credit facility liability. Upon our adoption our Net Asset Value increased by $41.8 million, or $1.98 per share, due to the fair value adjustment related to our credit facility. After adoption, subsequent changes in the fair value of our credit facility will be recorded in the Statement of Operations. We have not elected to apply the fair value option to any other financial assets or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We record prepayment premiums on loans and debt investments as interest income. Dividend income, if any, is recognized on an accrual basis to the extent that we expect to collect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26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96"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PennantPark Investment to maintain its status as a RIC, this income must be paid out to stockholders in the form of dividends, even though PennantPark Investment has not collected any cash with respect to PIK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100" w:firstLine="449"/>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overall leveraged finance market has continued to experience pressure which has resulted in depreciation on some of our existing assets and improved risk/reward environment for new investments. We did not experience compromised liquidity during the turmoil in the global credit markets because of our ability to sell our senior secured loans and availability under our credit facility.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180" w:firstLine="449"/>
        <w:spacing w:after="0" w:line="268" w:lineRule="auto"/>
        <w:rPr>
          <w:sz w:val="20"/>
          <w:szCs w:val="20"/>
          <w:color w:val="auto"/>
        </w:rPr>
      </w:pPr>
      <w:r>
        <w:rPr>
          <w:rFonts w:ascii="Arial" w:cs="Arial" w:eastAsia="Arial" w:hAnsi="Arial"/>
          <w:sz w:val="18"/>
          <w:szCs w:val="18"/>
          <w:color w:val="auto"/>
        </w:rPr>
        <w:t>Set forth below are the results of operations for the fiscal year ended September 30, 2008 and for the period from January 11, 2007 (inception) through September 30, 2007.</w:t>
      </w:r>
    </w:p>
    <w:p>
      <w:pPr>
        <w:spacing w:after="0" w:line="132" w:lineRule="exact"/>
        <w:rPr>
          <w:sz w:val="20"/>
          <w:szCs w:val="20"/>
          <w:color w:val="auto"/>
        </w:rPr>
      </w:pPr>
    </w:p>
    <w:p>
      <w:pPr>
        <w:jc w:val="both"/>
        <w:ind w:right="180" w:firstLine="449"/>
        <w:spacing w:after="0" w:line="294" w:lineRule="auto"/>
        <w:rPr>
          <w:sz w:val="20"/>
          <w:szCs w:val="20"/>
          <w:color w:val="auto"/>
        </w:rPr>
      </w:pPr>
      <w:r>
        <w:rPr>
          <w:rFonts w:ascii="Arial" w:cs="Arial" w:eastAsia="Arial" w:hAnsi="Arial"/>
          <w:sz w:val="16"/>
          <w:szCs w:val="16"/>
          <w:color w:val="auto"/>
        </w:rPr>
        <w:t>We did not experience compromised liquidity during the recent turmoil in the global credit markets because of our ability to sell loans from our senior secured portfolio and availability under our credit facility. If the valuations of our portfolio companies continue to fall significantly from their present values, we may suffer reduced liquidity under our credit facility because of the asset coverage ratio applicable to business development companies, which generally requires our total assets to be at least 200% of our total liabilities, and because of a requirement that our outstanding borrowings under the credit facility not exceed a certain percentage of the values of our portfolio companies.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Investment income for the fiscal year ended September 30, 2008, was $39.8 million. Interest income from senior secured loan investments totaled $16.2 million; $14.7 million from second lien secured debt investments; and $7.2 million from subordinated debt investments for the same period. The remaining investment income was primarily attributed to interest income from short-term investments and to net accretion of discount and amortization of premium. The increase in investment income from fiscal year 2007 to 2008 is due to the growth of our portfolio and the transition of the portfolio from temporary to long-term investments.</w:t>
      </w:r>
    </w:p>
    <w:p>
      <w:pPr>
        <w:spacing w:after="0" w:line="147" w:lineRule="exact"/>
        <w:rPr>
          <w:sz w:val="20"/>
          <w:szCs w:val="20"/>
          <w:color w:val="auto"/>
        </w:rPr>
      </w:pPr>
    </w:p>
    <w:p>
      <w:pPr>
        <w:ind w:right="420" w:firstLine="449"/>
        <w:spacing w:after="0" w:line="268" w:lineRule="auto"/>
        <w:rPr>
          <w:sz w:val="20"/>
          <w:szCs w:val="20"/>
          <w:color w:val="auto"/>
        </w:rPr>
      </w:pPr>
      <w:r>
        <w:rPr>
          <w:rFonts w:ascii="Arial" w:cs="Arial" w:eastAsia="Arial" w:hAnsi="Arial"/>
          <w:sz w:val="18"/>
          <w:szCs w:val="18"/>
          <w:color w:val="auto"/>
        </w:rPr>
        <w:t>Investment income for the period from January 11, 2007 (inception) through September 30, 2007 was $13.1 million and was primarily attributed to senior secured loan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increases in expenses from fiscal year 2007 to 2008 were due to the growth of our portfolio and the incurrence of additional borrowing costs under our credit facility.</w:t>
      </w:r>
    </w:p>
    <w:p>
      <w:pPr>
        <w:spacing w:after="0" w:line="143"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Net expenses for the period from January 11, 2007 (inception) through September 30, 2007 were $5.8 million. Of these totals, $1.8 million was attributable to credit facility related expenses, and $2.1 million to general and administrative expenses (including approximately $313,000 non-recurring, primarily legal and corporate tax expenses). Net base management fee for both periods totaled $1.9 million. PennantPark Investment Advisers did not receive a management or incentive fee for its service performed on our behalf prior to completion of our initial public offering on April 24,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Net investment income totaled $18.6 million or $0.88 per share, for the fiscal year ended September 30, 2008, and $7.3 million or $0.35 per share for the period from January 11, 2007 (inception) through September 30,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w:t>
      </w:r>
    </w:p>
    <w:p>
      <w:pPr>
        <w:spacing w:after="0" w:line="96"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Sales and repayments of long-term investments for the fiscal year ended September 30, 2008 totaled $70.1 million and net realized losses totaled $11.2 million due to sale of senior secured loans. Sales and repayments of long-term investments for the period from January 11, 2007 (inception) through September 30, 2007 totaled $99.6 million and net realized losses totaled approximately $82,000.</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on Investments and cash equivalents</w:t>
      </w:r>
    </w:p>
    <w:p>
      <w:pPr>
        <w:spacing w:after="0" w:line="96" w:lineRule="exact"/>
        <w:rPr>
          <w:sz w:val="20"/>
          <w:szCs w:val="20"/>
          <w:color w:val="auto"/>
        </w:rPr>
      </w:pPr>
    </w:p>
    <w:p>
      <w:pPr>
        <w:ind w:right="460" w:firstLine="449"/>
        <w:spacing w:after="0" w:line="268" w:lineRule="auto"/>
        <w:rPr>
          <w:sz w:val="20"/>
          <w:szCs w:val="20"/>
          <w:color w:val="auto"/>
        </w:rPr>
      </w:pPr>
      <w:r>
        <w:rPr>
          <w:rFonts w:ascii="Arial" w:cs="Arial" w:eastAsia="Arial" w:hAnsi="Arial"/>
          <w:sz w:val="18"/>
          <w:szCs w:val="18"/>
          <w:color w:val="auto"/>
        </w:rPr>
        <w:t>Net unrealized depreciation on investments totaled $48.1 million and $23.9 million for the fiscal year ended September 30, 2008 and for the period January 11, 2007 (inception) through September 30,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From Operations</w:t>
      </w:r>
    </w:p>
    <w:p>
      <w:pPr>
        <w:spacing w:after="0" w:line="96"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Net decrease in net assets resulting from operations totaled $40.7 million, or $1.93 per share, for the fiscal year ended September 30, 2008, primarily due to the overall decline in market values for investments held in our portfolio. Net decrease in net assets resulting from operations totaled $16.7 million or $0.80 per share for the period from January 11, 2007 (inception) through September 30,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49"/>
        <w:spacing w:after="0" w:line="323" w:lineRule="auto"/>
        <w:rPr>
          <w:sz w:val="20"/>
          <w:szCs w:val="20"/>
          <w:color w:val="auto"/>
        </w:rPr>
      </w:pPr>
      <w:r>
        <w:rPr>
          <w:rFonts w:ascii="Arial" w:cs="Arial" w:eastAsia="Arial" w:hAnsi="Arial"/>
          <w:sz w:val="15"/>
          <w:szCs w:val="15"/>
          <w:color w:val="auto"/>
        </w:rPr>
        <w:t>On June 25, 2007, PennantPark Investment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September 30, 2008, PennantPark Investment had outstanding borrowings of $202.0 million (including $40.0 million temporary draw) under the Credit Agreement, with an average interest rate of 3.93%.</w:t>
      </w:r>
    </w:p>
    <w:p>
      <w:pPr>
        <w:spacing w:after="0" w:line="97"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Under the Credit Agreement, the lenders agreed to extend us credit in an initial aggregate principal or face amount not exceeding $300 million at any one time outstanding. The Credit Agreement is a five-year revolving facility (with a stated maturity date of June 25, 2012) and is secured by substantially all of our investment portfolio assets. Pricing is set at 100 basis points over LIBOR.</w:t>
      </w:r>
    </w:p>
    <w:p>
      <w:pPr>
        <w:spacing w:after="0" w:line="140"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PennantPark Investment’s liquidity and capital resources are also generated and available from cash flows from operations, investment sales and repayments of senior and subordinated loans and income earned from investments and cash equivalents. On September 30, 2008, PennantPark Investment had $202.0 million borrowings (including $40.0 million temporary draw) under our senior secured revolving credit facility, and $98.0 million remained unused subject to maintenance of the applicable total assets to debt ratio of 200%, and a requirement that our outstanding borrowing not exceed a certain percentage of the values of our portfolio companies. In the future, PennantPark Investment may raise additional equity or debt capital off a shelf registration or may securitize a portion of its investments among other considerations. However, we face and expect to continue to face liquidity constraints under current market conditions, and if such conditions worsen substantially, we may be unable to raise capital at all. Equity capital may be difficult to raise because, subject to some limited exceptions, we are not generally able to issue and sell our common stock at a price below net asset value per share. In addition, debt capital, to the extent it is available under stressed credit market conditions, may be issued at a higher cost and on less favorable terms and conditions. Furthermore, if the valuations of our portfolio companies continue to fall significantly from their present values, we may suffer reduced availability under our credit facility because such availability depends on our asset coverage, which generally requires that the valuation of our total assets be at least equal to 200% of our total liabilities. The primary use of existing funds and any funds raised in the future is expected to be for repayment of indebtedness, investments in portfolio companies, cash distributions to our shareholders or for other general corporate purposes.</w:t>
      </w:r>
    </w:p>
    <w:p>
      <w:pPr>
        <w:spacing w:after="0" w:line="130"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Our operating activities resulted in a net use of cash of $390.7 million for the fiscal year ended September 30, 2008, and our financing activities resulted in a net inflow of cash of $173.0 million for the same period, primarily from borrowings under our credit facility.</w:t>
      </w:r>
    </w:p>
    <w:p>
      <w:pPr>
        <w:spacing w:after="0" w:line="132" w:lineRule="exact"/>
        <w:rPr>
          <w:sz w:val="20"/>
          <w:szCs w:val="20"/>
          <w:color w:val="auto"/>
        </w:rPr>
      </w:pPr>
    </w:p>
    <w:p>
      <w:pPr>
        <w:ind w:right="140" w:firstLine="449"/>
        <w:spacing w:after="0" w:line="331" w:lineRule="auto"/>
        <w:rPr>
          <w:sz w:val="20"/>
          <w:szCs w:val="20"/>
          <w:color w:val="auto"/>
        </w:rPr>
      </w:pPr>
      <w:r>
        <w:rPr>
          <w:rFonts w:ascii="Arial" w:cs="Arial" w:eastAsia="Arial" w:hAnsi="Arial"/>
          <w:sz w:val="16"/>
          <w:szCs w:val="16"/>
          <w:color w:val="auto"/>
        </w:rPr>
        <w:t>Our operating activities resulted in a net outflow of cash equal to $37.9 million for the period from January 11, 2007 (inception) through September 30, 2007 and our financing activities resulted in a net inflow of cash of $295.8 million for the same period, primarily from the issuance of our common stock.</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3"/>
                <w:szCs w:val="13"/>
                <w:b w:val="1"/>
                <w:bCs w:val="1"/>
                <w:color w:val="auto"/>
              </w:rPr>
              <w:t>Payments due by period (millions)</w:t>
            </w:r>
          </w:p>
        </w:tc>
        <w:tc>
          <w:tcPr>
            <w:tcW w:w="620" w:type="dxa"/>
            <w:vAlign w:val="bottom"/>
            <w:tcBorders>
              <w:bottom w:val="single" w:sz="8" w:color="auto"/>
            </w:tcBorders>
          </w:tcPr>
          <w:p>
            <w:pPr>
              <w:spacing w:after="0"/>
              <w:rPr>
                <w:sz w:val="14"/>
                <w:szCs w:val="14"/>
                <w:color w:val="auto"/>
              </w:rPr>
            </w:pPr>
          </w:p>
        </w:tc>
      </w:tr>
      <w:tr>
        <w:trPr>
          <w:trHeight w:val="129"/>
        </w:trPr>
        <w:tc>
          <w:tcPr>
            <w:tcW w:w="6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Less than</w:t>
            </w:r>
          </w:p>
        </w:tc>
        <w:tc>
          <w:tcPr>
            <w:tcW w:w="720" w:type="dxa"/>
            <w:vAlign w:val="bottom"/>
            <w:gridSpan w:val="2"/>
          </w:tcPr>
          <w:p>
            <w:pPr>
              <w:ind w:left="460"/>
              <w:spacing w:after="0" w:line="129" w:lineRule="exact"/>
              <w:rPr>
                <w:sz w:val="20"/>
                <w:szCs w:val="20"/>
                <w:color w:val="auto"/>
              </w:rPr>
            </w:pPr>
            <w:r>
              <w:rPr>
                <w:rFonts w:ascii="Arial" w:cs="Arial" w:eastAsia="Arial" w:hAnsi="Arial"/>
                <w:sz w:val="13"/>
                <w:szCs w:val="13"/>
                <w:b w:val="1"/>
                <w:bCs w:val="1"/>
                <w:color w:val="auto"/>
              </w:rPr>
              <w:t>1-3</w:t>
            </w:r>
          </w:p>
        </w:tc>
        <w:tc>
          <w:tcPr>
            <w:tcW w:w="900" w:type="dxa"/>
            <w:vAlign w:val="bottom"/>
            <w:gridSpan w:val="2"/>
          </w:tcPr>
          <w:p>
            <w:pPr>
              <w:jc w:val="right"/>
              <w:ind w:right="93"/>
              <w:spacing w:after="0" w:line="129" w:lineRule="exact"/>
              <w:rPr>
                <w:sz w:val="20"/>
                <w:szCs w:val="20"/>
                <w:color w:val="auto"/>
              </w:rPr>
            </w:pPr>
            <w:r>
              <w:rPr>
                <w:rFonts w:ascii="Arial" w:cs="Arial" w:eastAsia="Arial" w:hAnsi="Arial"/>
                <w:sz w:val="13"/>
                <w:szCs w:val="13"/>
                <w:b w:val="1"/>
                <w:bCs w:val="1"/>
                <w:color w:val="auto"/>
              </w:rPr>
              <w:t>3-5</w:t>
            </w:r>
          </w:p>
        </w:tc>
        <w:tc>
          <w:tcPr>
            <w:tcW w:w="5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9"/>
              </w:rPr>
              <w:t>More than</w:t>
            </w:r>
          </w:p>
        </w:tc>
      </w:tr>
      <w:tr>
        <w:trPr>
          <w:trHeight w:val="161"/>
        </w:trPr>
        <w:tc>
          <w:tcPr>
            <w:tcW w:w="686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Total</w:t>
            </w:r>
          </w:p>
        </w:tc>
        <w:tc>
          <w:tcPr>
            <w:tcW w:w="5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 year</w:t>
            </w: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8"/>
              </w:rPr>
              <w:t>years</w:t>
            </w:r>
          </w:p>
        </w:tc>
        <w:tc>
          <w:tcPr>
            <w:tcW w:w="4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years</w:t>
            </w:r>
          </w:p>
        </w:tc>
        <w:tc>
          <w:tcPr>
            <w:tcW w:w="5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5 years</w:t>
            </w:r>
          </w:p>
        </w:tc>
      </w:tr>
      <w:tr>
        <w:trPr>
          <w:trHeight w:val="209"/>
        </w:trPr>
        <w:tc>
          <w:tcPr>
            <w:tcW w:w="686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22"/>
                <w:szCs w:val="22"/>
                <w:color w:val="auto"/>
                <w:vertAlign w:val="superscript"/>
              </w:rPr>
              <w:t>(1)</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$202.0</w:t>
            </w:r>
            <w:r>
              <w:rPr>
                <w:rFonts w:ascii="Arial" w:cs="Arial" w:eastAsia="Arial" w:hAnsi="Arial"/>
                <w:sz w:val="11"/>
                <w:szCs w:val="11"/>
                <w:color w:val="auto"/>
                <w:w w:val="90"/>
              </w:rPr>
              <w:t>(2)</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$202.0</w:t>
            </w:r>
            <w:r>
              <w:rPr>
                <w:rFonts w:ascii="Arial" w:cs="Arial" w:eastAsia="Arial" w:hAnsi="Arial"/>
                <w:sz w:val="11"/>
                <w:szCs w:val="11"/>
                <w:color w:val="auto"/>
              </w:rPr>
              <w:t>(2)</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jc w:val="both"/>
        <w:ind w:left="460" w:right="120" w:hanging="452"/>
        <w:spacing w:after="0" w:line="304"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On September 30, 2008, $98.0 million remained unused under our senior secured revolving credit facility, subject to maintenance of the applicable total assets to debt ratio of 200%, and a requirement that our outstanding borrowing not exceed a certain percentage of the values of our portfolio companies.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Including $40.0 million temporary draw.</w:t>
      </w:r>
    </w:p>
    <w:p>
      <w:pPr>
        <w:spacing w:after="0" w:line="165"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We have entered into certain contracts under which we have material future commitments. On April 17, 2007 we entered into an Investment Management Agreement with the Investment Adviser in accordance with the 1940 Act, effective as of the completion of our initial public offering, pursuant to which the Investment Adviser provides us with investment advisory and management services. Payments under the Investment Management Agreement in each reporting period are equal to (1) a management fee equal to a percentage of the value of our gross assets and (2) an incentive fee based on our performance (see note 3 to our financial statements for more information).</w:t>
      </w:r>
    </w:p>
    <w:p>
      <w:pPr>
        <w:spacing w:after="0" w:line="14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Pursuant to an Administration Agreement, dated April 17, 2007, the Administrator furnishes us with office facilities and administrative services necessary to conduct our day-to-day operations. If requested to provide managerial assistance to our portfolio companies, the Administrator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w:t>
      </w:r>
    </w:p>
    <w:p>
      <w:pPr>
        <w:spacing w:after="0" w:line="144" w:lineRule="exact"/>
        <w:rPr>
          <w:sz w:val="20"/>
          <w:szCs w:val="20"/>
          <w:color w:val="auto"/>
        </w:rPr>
      </w:pPr>
    </w:p>
    <w:p>
      <w:pPr>
        <w:ind w:right="8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right="160" w:firstLine="449"/>
        <w:spacing w:after="0" w:line="306" w:lineRule="auto"/>
        <w:rPr>
          <w:sz w:val="20"/>
          <w:szCs w:val="20"/>
          <w:color w:val="auto"/>
        </w:rPr>
      </w:pPr>
      <w:r>
        <w:rPr>
          <w:rFonts w:ascii="Arial" w:cs="Arial" w:eastAsia="Arial" w:hAnsi="Arial"/>
          <w:sz w:val="16"/>
          <w:szCs w:val="16"/>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6" w:lineRule="exact"/>
        <w:rPr>
          <w:sz w:val="20"/>
          <w:szCs w:val="20"/>
          <w:color w:val="auto"/>
        </w:rPr>
      </w:pPr>
    </w:p>
    <w:p>
      <w:pPr>
        <w:ind w:right="600" w:firstLine="449"/>
        <w:spacing w:after="0" w:line="268" w:lineRule="auto"/>
        <w:rPr>
          <w:sz w:val="20"/>
          <w:szCs w:val="20"/>
          <w:color w:val="auto"/>
        </w:rPr>
      </w:pPr>
      <w:r>
        <w:rPr>
          <w:rFonts w:ascii="Arial" w:cs="Arial" w:eastAsia="Arial" w:hAnsi="Arial"/>
          <w:sz w:val="18"/>
          <w:szCs w:val="18"/>
          <w:color w:val="auto"/>
        </w:rPr>
        <w:t>Distributions declared to stockholders for the fiscal year ended September 30, 2008 and for the period from January 11, 2007 (inception) through September 30, 2007 totaled $19.0 million or $0.90 per share and $7.6 million or $0.36 per share, respectively.</w:t>
      </w:r>
    </w:p>
    <w:p>
      <w:pPr>
        <w:spacing w:after="0" w:line="132" w:lineRule="exact"/>
        <w:rPr>
          <w:sz w:val="20"/>
          <w:szCs w:val="20"/>
          <w:color w:val="auto"/>
        </w:rPr>
      </w:pPr>
    </w:p>
    <w:p>
      <w:pPr>
        <w:jc w:val="center"/>
        <w:ind w:left="440" w:right="340"/>
        <w:spacing w:after="0" w:line="440" w:lineRule="auto"/>
        <w:rPr>
          <w:sz w:val="20"/>
          <w:szCs w:val="20"/>
          <w:color w:val="auto"/>
        </w:rPr>
      </w:pPr>
      <w:r>
        <w:rPr>
          <w:rFonts w:ascii="Arial" w:cs="Arial" w:eastAsia="Arial" w:hAnsi="Arial"/>
          <w:sz w:val="18"/>
          <w:szCs w:val="18"/>
          <w:color w:val="auto"/>
        </w:rPr>
        <w:t>We intend to continue to distribute quarterly dividends to our stockholders. Our quarterly dividends, if any, are determined by our board of directors. 52</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5"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We did not experience compromised liquidity during the continued turmoil in the global credit markets because of our ability to liquidate our portfolio of non-core senior secured loans, which totaled $66.6 million as of September 30, 2008, and availability under our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On September 5, 2008, we filed a Form N-2 registration statement with the SEC that would permit us to offer, from time to time, up to $250.0 million of our common stock, preferred stock, debt securities, warrants representing rights to purchase shares of our common stock, preferred stock or debt securities and subscription rights. The SEC declared this statement effective September 9, 2008.</w:t>
      </w:r>
    </w:p>
    <w:p>
      <w:pPr>
        <w:spacing w:after="0" w:line="2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and typically have durations of three months after which they reset to current market interest rates.</w:t>
      </w:r>
    </w:p>
    <w:p>
      <w:pPr>
        <w:spacing w:after="0" w:line="14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 covered by this report, we did not engage in interest rate hedging activities.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6"/>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420" w:type="dxa"/>
            <w:vAlign w:val="bottom"/>
          </w:tcPr>
          <w:p>
            <w:pPr>
              <w:spacing w:after="0"/>
              <w:rPr>
                <w:sz w:val="19"/>
                <w:szCs w:val="19"/>
                <w:color w:val="auto"/>
              </w:rPr>
            </w:pPr>
          </w:p>
        </w:tc>
      </w:tr>
      <w:tr>
        <w:trPr>
          <w:trHeight w:val="418"/>
        </w:trPr>
        <w:tc>
          <w:tcPr>
            <w:tcW w:w="10820" w:type="dxa"/>
            <w:vAlign w:val="bottom"/>
            <w:gridSpan w:val="8"/>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Management’s Report on Internal Control over Financial Reporting</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0820" w:type="dxa"/>
            <w:vAlign w:val="bottom"/>
            <w:gridSpan w:val="8"/>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Report of Independent Registered Public Accounting Firm</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820" w:type="dxa"/>
            <w:vAlign w:val="bottom"/>
            <w:gridSpan w:val="8"/>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Report of Independent Registered Public Accounting Firm On Internal Control Over Financial Reporting</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0820" w:type="dxa"/>
            <w:vAlign w:val="bottom"/>
            <w:gridSpan w:val="8"/>
          </w:tcPr>
          <w:p>
            <w:pPr>
              <w:spacing w:after="0"/>
              <w:rPr>
                <w:rFonts w:ascii="Arial" w:cs="Arial" w:eastAsia="Arial" w:hAnsi="Arial"/>
                <w:sz w:val="18"/>
                <w:szCs w:val="18"/>
                <w:u w:val="single" w:color="auto"/>
                <w:color w:val="0000EE"/>
                <w:w w:val="95"/>
              </w:rPr>
            </w:pPr>
            <w:hyperlink w:anchor="page60">
              <w:r>
                <w:rPr>
                  <w:rFonts w:ascii="Arial" w:cs="Arial" w:eastAsia="Arial" w:hAnsi="Arial"/>
                  <w:sz w:val="18"/>
                  <w:szCs w:val="18"/>
                  <w:u w:val="single" w:color="auto"/>
                  <w:color w:val="0000EE"/>
                  <w:w w:val="95"/>
                </w:rPr>
                <w:t>Statement of Assets and Liabilities as of September 30, 2008 and Consolidated Statements of Assets and Liabilities as of September 30, 2007</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6"/>
        </w:trPr>
        <w:tc>
          <w:tcPr>
            <w:tcW w:w="101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Statement of Operations for the year ended September 30, 2008 and Consolidated Statement of Operations for the Period from January 11, 2007</w:t>
              </w:r>
            </w:hyperlink>
          </w:p>
        </w:tc>
        <w:tc>
          <w:tcPr>
            <w:tcW w:w="64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(inception) through September 30, 2007</w:t>
              </w:r>
            </w:hyperlink>
          </w:p>
        </w:tc>
        <w:tc>
          <w:tcPr>
            <w:tcW w:w="778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304"/>
        </w:trPr>
        <w:tc>
          <w:tcPr>
            <w:tcW w:w="10820" w:type="dxa"/>
            <w:vAlign w:val="bottom"/>
            <w:gridSpan w:val="8"/>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Statement of Changes in Net Assets for the year ended September 30, 2008 and Consolidated Statement of Changes in Net Assets for the Period from</w:t>
              </w:r>
            </w:hyperlink>
          </w:p>
        </w:tc>
        <w:tc>
          <w:tcPr>
            <w:tcW w:w="4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4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January 11, 2007 (inception) through September 30, 2007</w:t>
              </w:r>
            </w:hyperlink>
          </w:p>
        </w:tc>
        <w:tc>
          <w:tcPr>
            <w:tcW w:w="6280" w:type="dxa"/>
            <w:vAlign w:val="bottom"/>
            <w:tcBorders>
              <w:top w:val="single" w:sz="8" w:color="0000EE"/>
            </w:tcBorders>
            <w:gridSpan w:val="3"/>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304"/>
        </w:trPr>
        <w:tc>
          <w:tcPr>
            <w:tcW w:w="10820" w:type="dxa"/>
            <w:vAlign w:val="bottom"/>
            <w:gridSpan w:val="8"/>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Statement of Cash Flows for the year ended September 30, 2008 and Consolidated Statement of Cash Flows for the Period from January 11, 2007</w:t>
              </w:r>
            </w:hyperlink>
          </w:p>
        </w:tc>
        <w:tc>
          <w:tcPr>
            <w:tcW w:w="4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(inception) through September 30, 2007</w:t>
              </w:r>
            </w:hyperlink>
          </w:p>
        </w:tc>
        <w:tc>
          <w:tcPr>
            <w:tcW w:w="7240" w:type="dxa"/>
            <w:vAlign w:val="bottom"/>
            <w:tcBorders>
              <w:top w:val="single" w:sz="8" w:color="0000EE"/>
            </w:tcBorders>
            <w:gridSpan w:val="3"/>
          </w:tcPr>
          <w:p>
            <w:pPr>
              <w:spacing w:after="0"/>
              <w:rPr>
                <w:sz w:val="17"/>
                <w:szCs w:val="17"/>
                <w:color w:val="auto"/>
              </w:rPr>
            </w:pPr>
          </w:p>
        </w:tc>
        <w:tc>
          <w:tcPr>
            <w:tcW w:w="54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343"/>
        </w:trPr>
        <w:tc>
          <w:tcPr>
            <w:tcW w:w="10820" w:type="dxa"/>
            <w:vAlign w:val="bottom"/>
            <w:gridSpan w:val="8"/>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Schedule of Investments as of September 30, 2008 and September 30, 2007 Notes to 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64"/>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0" w:type="dxa"/>
            <w:vAlign w:val="bottom"/>
            <w:gridSpan w:val="3"/>
          </w:tcPr>
          <w:p>
            <w:pPr>
              <w:jc w:val="right"/>
              <w:ind w:right="44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management of PennantPark Investment Corporation (the “Company”) is responsible for establishing and maintaining adequate internal control over financial reporting. The Company’s internal control system is a process designed to provide reasonable assurance to the Company’s management and board of directors regarding the preparation and fair presentation of published financial statements.</w:t>
      </w:r>
    </w:p>
    <w:p>
      <w:pPr>
        <w:spacing w:after="0" w:line="14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115"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September 30, 2008.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the assessment management believes that, as of September 30, 2008, the Company’s internal control over financial reporting is effective based on those criteria.</w:t>
      </w:r>
    </w:p>
    <w:p>
      <w:pPr>
        <w:spacing w:after="0" w:line="143"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The Company’s independent registered public accounting firm that audited the financial statements has issued an audit report on the effectiveness of the Company’s internal control over financial reporting as of September 30, 2008. This report appears on page 57.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We have audited the accompanying statements of assets and liabilities of PennantPark Investment Corporation (the “Company”) as of September 30, 2008 and 2007, including the schedule of investments, and the related statements of operations, changes in net assets, and cash flows for the year ended September 30, 2008 and for the period from January 11, 2007 (inception) through September 30, 2007. These financial statements are the responsibility of the Company’s management. Our responsibility is to express an opinion on these financial statements based on our audits.</w:t>
      </w:r>
    </w:p>
    <w:p>
      <w:pPr>
        <w:spacing w:after="0" w:line="11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7" w:lineRule="exact"/>
        <w:rPr>
          <w:sz w:val="20"/>
          <w:szCs w:val="20"/>
          <w:color w:val="auto"/>
        </w:rPr>
      </w:pPr>
    </w:p>
    <w:p>
      <w:pPr>
        <w:ind w:right="300" w:firstLine="449"/>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PennantPark Investment Corporation as of September 30, 2008 and 2007, and the results of their operations and their cash flows for the year ended September 30, 2008 and for the period from January 11, 2007 (inception) through September 30, 2007, in conformity with U.S. generally accepted accounting principles.</w:t>
      </w:r>
    </w:p>
    <w:p>
      <w:pPr>
        <w:spacing w:after="0" w:line="106" w:lineRule="exact"/>
        <w:rPr>
          <w:sz w:val="20"/>
          <w:szCs w:val="20"/>
          <w:color w:val="auto"/>
        </w:rPr>
      </w:pPr>
    </w:p>
    <w:p>
      <w:pPr>
        <w:ind w:right="180" w:firstLine="449"/>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November 20, 2008 expressed an unqualified opinion on the effectiveness of the Company’s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2008</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 xml:space="preserve">We have audited PennantPark Investment Corporation’s (the Company) internal control over financial reporting as of September 30,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r>
        <w:rPr>
          <w:rFonts w:ascii="Arial" w:cs="Arial" w:eastAsia="Arial" w:hAnsi="Arial"/>
          <w:sz w:val="18"/>
          <w:szCs w:val="18"/>
          <w:i w:val="1"/>
          <w:iCs w:val="1"/>
          <w:color w:val="auto"/>
        </w:rPr>
        <w:t>.</w:t>
      </w:r>
      <w:r>
        <w:rPr>
          <w:rFonts w:ascii="Arial" w:cs="Arial" w:eastAsia="Arial" w:hAnsi="Arial"/>
          <w:sz w:val="18"/>
          <w:szCs w:val="18"/>
          <w:color w:val="auto"/>
        </w:rPr>
        <w:t xml:space="preserve"> Management of the Company is responsible for maintaining effective internal control over financial reporting and for its assessment of the effectiveness of internal control over financial reporting, included on page 78 of the Annual Report on Form 10-K,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140" w:firstLine="449"/>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5"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 xml:space="preserve">In our opinion, PennantPark Investment Corporation maintained, in all material respects, effective internal control over financial reporting as of September 30,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p>
    <w:p>
      <w:pPr>
        <w:spacing w:after="0" w:line="140"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as of September 30, 2008 and 2007, including the schedule of investments, and the related statements of operations, changes in net assets, and cash flows for the year ended September 30, 2008 and for the period from January 11, 2007 (inception) through September 30, 2007, and our report dated November 20, 2008 expressed an unqualified opinion on those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2"/>
              </w:rPr>
              <w:t>September 30,</w:t>
            </w:r>
          </w:p>
        </w:tc>
        <w:tc>
          <w:tcPr>
            <w:tcW w:w="10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4"/>
              </w:rPr>
              <w:t>September 30,</w:t>
            </w:r>
          </w:p>
        </w:tc>
        <w:tc>
          <w:tcPr>
            <w:tcW w:w="0" w:type="dxa"/>
            <w:vAlign w:val="bottom"/>
          </w:tcPr>
          <w:p>
            <w:pPr>
              <w:spacing w:after="0"/>
              <w:rPr>
                <w:sz w:val="1"/>
                <w:szCs w:val="1"/>
                <w:color w:val="auto"/>
              </w:rPr>
            </w:pPr>
          </w:p>
        </w:tc>
      </w:tr>
      <w:tr>
        <w:trPr>
          <w:trHeight w:val="161"/>
        </w:trPr>
        <w:tc>
          <w:tcPr>
            <w:tcW w:w="8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2008</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w w:val="94"/>
              </w:rPr>
              <w:t>Non-controlled, non-affiliated investments, at fair value (cost—$427,481,745 and $298,789,297, respectively)</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354,261,950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274,679,030</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Non-controlled, affiliated investments, at fair value (cost—$16,692,261 and $16,092,573, respectively)</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17,885,870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372,147,820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291,016,608</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Cash equivalents (cost—$40,249,201 and $258,016,351, respectively)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40,249,201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257,959,635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6,046,199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4,517,850</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1,367,479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1,513,583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419,810,699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555,007,676</w:t>
            </w:r>
          </w:p>
        </w:tc>
        <w:tc>
          <w:tcPr>
            <w:tcW w:w="0" w:type="dxa"/>
            <w:vAlign w:val="bottom"/>
          </w:tcPr>
          <w:p>
            <w:pPr>
              <w:spacing w:after="0"/>
              <w:rPr>
                <w:sz w:val="1"/>
                <w:szCs w:val="1"/>
                <w:color w:val="auto"/>
              </w:rPr>
            </w:pPr>
          </w:p>
        </w:tc>
      </w:tr>
      <w:tr>
        <w:trPr>
          <w:trHeight w:val="222"/>
        </w:trPr>
        <w:tc>
          <w:tcPr>
            <w:tcW w:w="82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Payable for cash equivalents purchased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252,759,931</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16,583,921</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Unfunded investments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202,000,000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Interest payable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725,317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170,989</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1,300,617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209,082,439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284,614,582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00" w:type="dxa"/>
            <w:vAlign w:val="bottom"/>
          </w:tcPr>
          <w:p>
            <w:pPr>
              <w:spacing w:after="0"/>
              <w:rPr>
                <w:sz w:val="20"/>
                <w:szCs w:val="20"/>
                <w:color w:val="auto"/>
              </w:rPr>
            </w:pPr>
            <w:r>
              <w:rPr>
                <w:rFonts w:ascii="Arial" w:cs="Arial" w:eastAsia="Arial" w:hAnsi="Arial"/>
                <w:sz w:val="18"/>
                <w:szCs w:val="18"/>
                <w:color w:val="auto"/>
                <w:w w:val="92"/>
              </w:rPr>
              <w:t>Common stock, par value $0.001 per share, 100,000,000 shares authorized and 21,068,772 shares issued and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21,069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7"/>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294,586,604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294,586,604</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(602,660)</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(196,769)</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(11,250,567)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(95,832)</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(72,026,186)</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net assets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210,728,260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liabilities and net assets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vMerge w:val="continue"/>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419,810,699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555,007,676</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48"/>
        </w:trPr>
        <w:tc>
          <w:tcPr>
            <w:tcW w:w="8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January 11,</w:t>
            </w:r>
          </w:p>
        </w:tc>
        <w:tc>
          <w:tcPr>
            <w:tcW w:w="0" w:type="dxa"/>
            <w:vAlign w:val="bottom"/>
          </w:tcPr>
          <w:p>
            <w:pPr>
              <w:spacing w:after="0"/>
              <w:rPr>
                <w:sz w:val="1"/>
                <w:szCs w:val="1"/>
                <w:color w:val="auto"/>
              </w:rPr>
            </w:pPr>
          </w:p>
        </w:tc>
      </w:tr>
      <w:tr>
        <w:trPr>
          <w:trHeight w:val="149"/>
        </w:trPr>
        <w:tc>
          <w:tcPr>
            <w:tcW w:w="8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(inception)</w:t>
            </w:r>
          </w:p>
        </w:tc>
        <w:tc>
          <w:tcPr>
            <w:tcW w:w="0" w:type="dxa"/>
            <w:vAlign w:val="bottom"/>
          </w:tcPr>
          <w:p>
            <w:pPr>
              <w:spacing w:after="0"/>
              <w:rPr>
                <w:sz w:val="1"/>
                <w:szCs w:val="1"/>
                <w:color w:val="auto"/>
              </w:rPr>
            </w:pPr>
          </w:p>
        </w:tc>
      </w:tr>
      <w:tr>
        <w:trPr>
          <w:trHeight w:val="148"/>
        </w:trPr>
        <w:tc>
          <w:tcPr>
            <w:tcW w:w="8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1"/>
              </w:rPr>
              <w:t>Year ended</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through</w:t>
            </w:r>
          </w:p>
        </w:tc>
        <w:tc>
          <w:tcPr>
            <w:tcW w:w="0" w:type="dxa"/>
            <w:vAlign w:val="bottom"/>
          </w:tcPr>
          <w:p>
            <w:pPr>
              <w:spacing w:after="0"/>
              <w:rPr>
                <w:sz w:val="1"/>
                <w:szCs w:val="1"/>
                <w:color w:val="auto"/>
              </w:rPr>
            </w:pPr>
          </w:p>
        </w:tc>
      </w:tr>
      <w:tr>
        <w:trPr>
          <w:trHeight w:val="148"/>
        </w:trPr>
        <w:tc>
          <w:tcPr>
            <w:tcW w:w="8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4"/>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September 30,</w:t>
            </w:r>
          </w:p>
        </w:tc>
        <w:tc>
          <w:tcPr>
            <w:tcW w:w="0" w:type="dxa"/>
            <w:vAlign w:val="bottom"/>
          </w:tcPr>
          <w:p>
            <w:pPr>
              <w:spacing w:after="0"/>
              <w:rPr>
                <w:sz w:val="1"/>
                <w:szCs w:val="1"/>
                <w:color w:val="auto"/>
              </w:rPr>
            </w:pPr>
          </w:p>
        </w:tc>
      </w:tr>
      <w:tr>
        <w:trPr>
          <w:trHeight w:val="161"/>
        </w:trPr>
        <w:tc>
          <w:tcPr>
            <w:tcW w:w="8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96"/>
              </w:rPr>
              <w:t>2008</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37,809,280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12,013,028</w:t>
            </w: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340,533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879,537</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1,405,205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39,810,962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13,107,341</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Base management fee (see note 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7,136,580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2,565,085</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Interest and other credit facility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6,308,933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1,835,816</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778,587</w:t>
            </w:r>
          </w:p>
        </w:tc>
        <w:tc>
          <w:tcPr>
            <w:tcW w:w="0" w:type="dxa"/>
            <w:vAlign w:val="bottom"/>
          </w:tcPr>
          <w:p>
            <w:pPr>
              <w:spacing w:after="0"/>
              <w:rPr>
                <w:sz w:val="1"/>
                <w:szCs w:val="1"/>
                <w:color w:val="auto"/>
              </w:rPr>
            </w:pPr>
          </w:p>
        </w:tc>
      </w:tr>
      <w:tr>
        <w:trPr>
          <w:trHeight w:val="223"/>
        </w:trPr>
        <w:tc>
          <w:tcPr>
            <w:tcW w:w="8640" w:type="dxa"/>
            <w:vAlign w:val="bottom"/>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2,136,303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Expenses before base management fee waiver</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21,675,689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40" w:type="dxa"/>
            <w:vAlign w:val="bottom"/>
          </w:tcPr>
          <w:p>
            <w:pPr>
              <w:ind w:left="440"/>
              <w:spacing w:after="0"/>
              <w:rPr>
                <w:sz w:val="20"/>
                <w:szCs w:val="20"/>
                <w:color w:val="auto"/>
              </w:rPr>
            </w:pPr>
            <w:r>
              <w:rPr>
                <w:rFonts w:ascii="Arial" w:cs="Arial" w:eastAsia="Arial" w:hAnsi="Arial"/>
                <w:sz w:val="18"/>
                <w:szCs w:val="18"/>
                <w:color w:val="auto"/>
              </w:rPr>
              <w:t>Base management fee waiver</w:t>
            </w: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(420,731)</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44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21,254,958</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18,556,004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22"/>
        </w:trPr>
        <w:tc>
          <w:tcPr>
            <w:tcW w:w="8640" w:type="dxa"/>
            <w:vAlign w:val="bottom"/>
          </w:tcPr>
          <w:p>
            <w:pPr>
              <w:spacing w:after="0"/>
              <w:rPr>
                <w:sz w:val="20"/>
                <w:szCs w:val="20"/>
                <w:color w:val="auto"/>
              </w:rPr>
            </w:pPr>
            <w:r>
              <w:rPr>
                <w:rFonts w:ascii="Arial" w:cs="Arial" w:eastAsia="Arial" w:hAnsi="Arial"/>
                <w:sz w:val="18"/>
                <w:szCs w:val="18"/>
                <w:b w:val="1"/>
                <w:bCs w:val="1"/>
                <w:color w:val="auto"/>
              </w:rPr>
              <w:t>Realized and unrealized gain (loss) on investments and cash equivalents: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(11,154,735)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and cash equivalents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(49,052,812)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(24,166,983)</w:t>
            </w:r>
          </w:p>
        </w:tc>
        <w:tc>
          <w:tcPr>
            <w:tcW w:w="0" w:type="dxa"/>
            <w:vAlign w:val="bottom"/>
          </w:tcPr>
          <w:p>
            <w:pPr>
              <w:spacing w:after="0"/>
              <w:rPr>
                <w:sz w:val="1"/>
                <w:szCs w:val="1"/>
                <w:color w:val="auto"/>
              </w:rPr>
            </w:pPr>
          </w:p>
        </w:tc>
      </w:tr>
      <w:tr>
        <w:trPr>
          <w:trHeight w:val="223"/>
        </w:trPr>
        <w:tc>
          <w:tcPr>
            <w:tcW w:w="8640" w:type="dxa"/>
            <w:vAlign w:val="bottom"/>
          </w:tcPr>
          <w:p>
            <w:pPr>
              <w:ind w:left="44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948,604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depreciation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(48,104,208)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(23,921,978)</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rPr>
              <w:t>Net realized and unrealized loss from investments and cash equivalents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(59,258,943)</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(24,003,747)</w:t>
            </w:r>
          </w:p>
        </w:tc>
        <w:tc>
          <w:tcPr>
            <w:tcW w:w="0" w:type="dxa"/>
            <w:vAlign w:val="bottom"/>
          </w:tcPr>
          <w:p>
            <w:pPr>
              <w:spacing w:after="0"/>
              <w:rPr>
                <w:sz w:val="1"/>
                <w:szCs w:val="1"/>
                <w:color w:val="auto"/>
              </w:rPr>
            </w:pPr>
          </w:p>
        </w:tc>
      </w:tr>
      <w:tr>
        <w:trPr>
          <w:trHeight w:val="28"/>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(40,702,939)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(16,699,251)</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rPr>
              <w:t>Gain (loss) per common share (see note 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Period from</w:t>
            </w:r>
          </w:p>
        </w:tc>
      </w:tr>
      <w:tr>
        <w:trPr>
          <w:trHeight w:val="148"/>
        </w:trPr>
        <w:tc>
          <w:tcPr>
            <w:tcW w:w="7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January 11,</w:t>
            </w:r>
          </w:p>
        </w:tc>
      </w:tr>
      <w:tr>
        <w:trPr>
          <w:trHeight w:val="149"/>
        </w:trPr>
        <w:tc>
          <w:tcPr>
            <w:tcW w:w="7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8"/>
              <w:spacing w:after="0"/>
              <w:rPr>
                <w:sz w:val="20"/>
                <w:szCs w:val="20"/>
                <w:color w:val="auto"/>
              </w:rPr>
            </w:pPr>
            <w:r>
              <w:rPr>
                <w:rFonts w:ascii="Arial" w:cs="Arial" w:eastAsia="Arial" w:hAnsi="Arial"/>
                <w:sz w:val="13"/>
                <w:szCs w:val="13"/>
                <w:b w:val="1"/>
                <w:bCs w:val="1"/>
                <w:color w:val="auto"/>
                <w:w w:val="96"/>
              </w:rPr>
              <w:t>2007</w:t>
            </w:r>
          </w:p>
        </w:tc>
        <w:tc>
          <w:tcPr>
            <w:tcW w:w="80" w:type="dxa"/>
            <w:vAlign w:val="bottom"/>
          </w:tcPr>
          <w:p>
            <w:pPr>
              <w:spacing w:after="0"/>
              <w:rPr>
                <w:sz w:val="12"/>
                <w:szCs w:val="12"/>
                <w:color w:val="auto"/>
              </w:rPr>
            </w:pPr>
          </w:p>
        </w:tc>
      </w:tr>
      <w:tr>
        <w:trPr>
          <w:trHeight w:val="148"/>
        </w:trPr>
        <w:tc>
          <w:tcPr>
            <w:tcW w:w="7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(inception)</w:t>
            </w:r>
          </w:p>
        </w:tc>
      </w:tr>
      <w:tr>
        <w:trPr>
          <w:trHeight w:val="148"/>
        </w:trPr>
        <w:tc>
          <w:tcPr>
            <w:tcW w:w="7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through</w:t>
            </w:r>
          </w:p>
        </w:tc>
      </w:tr>
      <w:tr>
        <w:trPr>
          <w:trHeight w:val="148"/>
        </w:trPr>
        <w:tc>
          <w:tcPr>
            <w:tcW w:w="7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September 30,</w:t>
            </w:r>
          </w:p>
        </w:tc>
      </w:tr>
      <w:tr>
        <w:trPr>
          <w:trHeight w:val="161"/>
        </w:trPr>
        <w:tc>
          <w:tcPr>
            <w:tcW w:w="7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2008</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6"/>
              </w:rPr>
              <w:t>2007</w:t>
            </w:r>
          </w:p>
        </w:tc>
        <w:tc>
          <w:tcPr>
            <w:tcW w:w="80" w:type="dxa"/>
            <w:vAlign w:val="bottom"/>
          </w:tcPr>
          <w:p>
            <w:pPr>
              <w:spacing w:after="0"/>
              <w:rPr>
                <w:sz w:val="14"/>
                <w:szCs w:val="14"/>
                <w:color w:val="auto"/>
              </w:rPr>
            </w:pPr>
          </w:p>
        </w:tc>
      </w:tr>
      <w:tr>
        <w:trPr>
          <w:trHeight w:val="209"/>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from operations: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18,556,004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7,304,496</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(11,154,735)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(81,769)</w:t>
            </w: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(48,104,208)</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r>
      <w:tr>
        <w:trPr>
          <w:trHeight w:val="27"/>
        </w:trPr>
        <w:tc>
          <w:tcPr>
            <w:tcW w:w="7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(40,702,939)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(16,699,251)</w:t>
            </w:r>
          </w:p>
        </w:tc>
      </w:tr>
      <w:tr>
        <w:trPr>
          <w:trHeight w:val="222"/>
        </w:trPr>
        <w:tc>
          <w:tcPr>
            <w:tcW w:w="7160" w:type="dxa"/>
            <w:vAlign w:val="bottom"/>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from net investment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(7,545,458)</w:t>
            </w: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Return of capital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(28,356)</w:t>
            </w:r>
          </w:p>
        </w:tc>
      </w:tr>
      <w:tr>
        <w:trPr>
          <w:trHeight w:val="27"/>
        </w:trPr>
        <w:tc>
          <w:tcPr>
            <w:tcW w:w="7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and distributions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(7,573,814)</w:t>
            </w:r>
          </w:p>
        </w:tc>
      </w:tr>
      <w:tr>
        <w:trPr>
          <w:trHeight w:val="222"/>
        </w:trPr>
        <w:tc>
          <w:tcPr>
            <w:tcW w:w="716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of common stock</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315,375,000</w:t>
            </w: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Offering costs related to public share offerings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(21,309,375)</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Reinvestment of dividends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80" w:type="dxa"/>
            <w:vAlign w:val="bottom"/>
            <w:shd w:val="clear" w:color="auto" w:fill="CCEEFF"/>
          </w:tcPr>
          <w:p>
            <w:pPr>
              <w:spacing w:after="0"/>
              <w:rPr>
                <w:sz w:val="18"/>
                <w:szCs w:val="18"/>
                <w:color w:val="auto"/>
              </w:rPr>
            </w:pPr>
          </w:p>
        </w:tc>
      </w:tr>
      <w:tr>
        <w:trPr>
          <w:trHeight w:val="222"/>
        </w:trPr>
        <w:tc>
          <w:tcPr>
            <w:tcW w:w="716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294,666,159</w:t>
            </w:r>
          </w:p>
        </w:tc>
      </w:tr>
      <w:tr>
        <w:trPr>
          <w:trHeight w:val="217"/>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(decrease) increase in net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(59,664,834)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270,393,094</w:t>
            </w:r>
          </w:p>
        </w:tc>
      </w:tr>
      <w:tr>
        <w:trPr>
          <w:trHeight w:val="323"/>
        </w:trPr>
        <w:tc>
          <w:tcPr>
            <w:tcW w:w="71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270,393,094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End of period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210,728,260</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270,393,094</w:t>
            </w:r>
          </w:p>
        </w:tc>
      </w:tr>
      <w:tr>
        <w:trPr>
          <w:trHeight w:val="20"/>
        </w:trPr>
        <w:tc>
          <w:tcPr>
            <w:tcW w:w="7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Shares issued from subscriptions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21,025,000</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8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increase in capital shares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Period from</w:t>
            </w:r>
          </w:p>
        </w:tc>
      </w:tr>
      <w:tr>
        <w:trPr>
          <w:trHeight w:val="148"/>
        </w:trPr>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January 11,</w:t>
            </w:r>
          </w:p>
        </w:tc>
      </w:tr>
      <w:tr>
        <w:trPr>
          <w:trHeight w:val="149"/>
        </w:trPr>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6"/>
              <w:spacing w:after="0"/>
              <w:rPr>
                <w:sz w:val="20"/>
                <w:szCs w:val="20"/>
                <w:color w:val="auto"/>
              </w:rPr>
            </w:pPr>
            <w:r>
              <w:rPr>
                <w:rFonts w:ascii="Arial" w:cs="Arial" w:eastAsia="Arial" w:hAnsi="Arial"/>
                <w:sz w:val="13"/>
                <w:szCs w:val="13"/>
                <w:b w:val="1"/>
                <w:bCs w:val="1"/>
                <w:color w:val="auto"/>
                <w:w w:val="89"/>
              </w:rPr>
              <w:t>2007</w:t>
            </w:r>
          </w:p>
        </w:tc>
        <w:tc>
          <w:tcPr>
            <w:tcW w:w="80" w:type="dxa"/>
            <w:vAlign w:val="bottom"/>
          </w:tcPr>
          <w:p>
            <w:pPr>
              <w:spacing w:after="0"/>
              <w:rPr>
                <w:sz w:val="12"/>
                <w:szCs w:val="12"/>
                <w:color w:val="auto"/>
              </w:rPr>
            </w:pPr>
          </w:p>
        </w:tc>
      </w:tr>
      <w:tr>
        <w:trPr>
          <w:trHeight w:val="148"/>
        </w:trPr>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(inception)</w:t>
            </w:r>
          </w:p>
        </w:tc>
      </w:tr>
      <w:tr>
        <w:trPr>
          <w:trHeight w:val="148"/>
        </w:trPr>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1"/>
              </w:rPr>
              <w:t>Year ended</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through</w:t>
            </w:r>
          </w:p>
        </w:tc>
      </w:tr>
      <w:tr>
        <w:trPr>
          <w:trHeight w:val="148"/>
        </w:trPr>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2"/>
              </w:rPr>
              <w:t>September 30,</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September 30,</w:t>
            </w:r>
          </w:p>
        </w:tc>
      </w:tr>
      <w:tr>
        <w:trPr>
          <w:trHeight w:val="161"/>
        </w:trPr>
        <w:tc>
          <w:tcPr>
            <w:tcW w:w="8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2008</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89"/>
              </w:rPr>
              <w:t>2007</w:t>
            </w:r>
          </w:p>
        </w:tc>
        <w:tc>
          <w:tcPr>
            <w:tcW w:w="80" w:type="dxa"/>
            <w:vAlign w:val="bottom"/>
          </w:tcPr>
          <w:p>
            <w:pPr>
              <w:spacing w:after="0"/>
              <w:rPr>
                <w:sz w:val="14"/>
                <w:szCs w:val="14"/>
                <w:color w:val="auto"/>
              </w:rPr>
            </w:pPr>
          </w:p>
        </w:tc>
      </w:tr>
      <w:tr>
        <w:trPr>
          <w:trHeight w:val="209"/>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(40,702,939)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(16,699,251)</w:t>
            </w:r>
          </w:p>
        </w:tc>
      </w:tr>
      <w:tr>
        <w:trPr>
          <w:trHeight w:val="208"/>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Adjustments to reconcile net decrease in net assets resulting from operations to net cash used by operating</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48,104,208</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23,921,978</w:t>
            </w: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11,154,735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81,769</w:t>
            </w: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(1,285,365)</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(15,875)</w:t>
            </w: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(206,790,979)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(413,972,173)</w:t>
            </w: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Payment-in-kind interest</w:t>
            </w:r>
          </w:p>
        </w:tc>
        <w:tc>
          <w:tcPr>
            <w:tcW w:w="10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(2,434,562)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(668,268)</w:t>
            </w: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70,120,751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99,635,961</w:t>
            </w: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Increase in interest receivable</w:t>
            </w:r>
          </w:p>
        </w:tc>
        <w:tc>
          <w:tcPr>
            <w:tcW w:w="10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(1,528,349)</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(4,517,850)</w:t>
            </w: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146,104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(252,287)</w:t>
            </w: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Increase in distributions payable to stockholders</w:t>
            </w: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5,056,505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payables for cash equivalents purchased</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(252,759,931)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252,759,931</w:t>
            </w: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(16,583,921)</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16,583,921</w:t>
            </w: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unfunded investments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(3,989,948)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3,989,948</w:t>
            </w: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Increase in interest payable on credit facility</w:t>
            </w: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554,328</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170,989</w:t>
            </w: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190,824</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80" w:type="dxa"/>
            <w:vAlign w:val="bottom"/>
            <w:shd w:val="clear" w:color="auto" w:fill="CCEEFF"/>
          </w:tcPr>
          <w:p>
            <w:pPr>
              <w:spacing w:after="0"/>
              <w:rPr>
                <w:sz w:val="18"/>
                <w:szCs w:val="18"/>
                <w:color w:val="auto"/>
              </w:rPr>
            </w:pPr>
          </w:p>
        </w:tc>
      </w:tr>
      <w:tr>
        <w:trPr>
          <w:trHeight w:val="221"/>
        </w:trPr>
        <w:tc>
          <w:tcPr>
            <w:tcW w:w="8540" w:type="dxa"/>
            <w:vAlign w:val="bottom"/>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(390,748,539)</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(37,871,414)</w:t>
            </w:r>
          </w:p>
        </w:tc>
      </w:tr>
      <w:tr>
        <w:trPr>
          <w:trHeight w:val="110"/>
        </w:trPr>
        <w:tc>
          <w:tcPr>
            <w:tcW w:w="8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Increase in issuance of common stock</w:t>
            </w: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315,375,000</w:t>
            </w: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(21,309,375)</w:t>
            </w: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(1,261,296)</w:t>
            </w: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and distributions to stockholders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(18,961,895)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(6,973,280)</w:t>
            </w: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12)</w:t>
            </w: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461,040,000</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271,913,786</w:t>
            </w: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12)</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(269,040,000)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(261,913,786)</w:t>
            </w:r>
          </w:p>
        </w:tc>
      </w:tr>
      <w:tr>
        <w:trPr>
          <w:trHeight w:val="230"/>
        </w:trPr>
        <w:tc>
          <w:tcPr>
            <w:tcW w:w="8540" w:type="dxa"/>
            <w:vAlign w:val="bottom"/>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173,038,105</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295,831,049</w:t>
            </w:r>
          </w:p>
        </w:tc>
        <w:tc>
          <w:tcPr>
            <w:tcW w:w="80" w:type="dxa"/>
            <w:vAlign w:val="bottom"/>
          </w:tcPr>
          <w:p>
            <w:pPr>
              <w:spacing w:after="0"/>
              <w:rPr>
                <w:sz w:val="20"/>
                <w:szCs w:val="20"/>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(217,710,434)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257,959,635</w:t>
            </w: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257,959,635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40,249,201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257,959,635</w:t>
            </w:r>
          </w:p>
        </w:tc>
      </w:tr>
      <w:tr>
        <w:trPr>
          <w:trHeight w:val="283"/>
        </w:trPr>
        <w:tc>
          <w:tcPr>
            <w:tcW w:w="85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4,982,247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1,598,055</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Non-cash financing activities consist of the reinvestment of dividends totaling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600,534</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7"/>
              </w:rPr>
              <w:t>Basis Point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7"/>
              </w:rPr>
              <w:t>Current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32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Coupon</w:t>
            </w:r>
          </w:p>
        </w:tc>
        <w:tc>
          <w:tcPr>
            <w:tcW w:w="46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40" w:type="dxa"/>
            <w:vAlign w:val="bottom"/>
            <w:gridSpan w:val="2"/>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Investments in Non-Controlled, Non-Affiliated Portfolio</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4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3"/>
                <w:szCs w:val="13"/>
                <w:b w:val="1"/>
                <w:bCs w:val="1"/>
                <w:color w:val="auto"/>
              </w:rPr>
              <w:t>Companies—187.2%</w:t>
            </w:r>
            <w:r>
              <w:rPr>
                <w:rFonts w:ascii="Arial" w:cs="Arial" w:eastAsia="Arial" w:hAnsi="Arial"/>
                <w:sz w:val="22"/>
                <w:szCs w:val="22"/>
                <w:b w:val="1"/>
                <w:bCs w:val="1"/>
                <w:color w:val="auto"/>
                <w:vertAlign w:val="superscript"/>
              </w:rPr>
              <w:t>(1)</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Notes—76.8%</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Advanstar,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11/30/2015</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14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12"/>
                <w:szCs w:val="12"/>
                <w:color w:val="auto"/>
              </w:rPr>
              <w:t>10.76%</w:t>
            </w:r>
            <w:r>
              <w:rPr>
                <w:rFonts w:ascii="Arial" w:cs="Arial" w:eastAsia="Arial" w:hAnsi="Arial"/>
                <w:sz w:val="20"/>
                <w:szCs w:val="20"/>
                <w:color w:val="auto"/>
                <w:vertAlign w:val="superscript"/>
              </w:rPr>
              <w:t>(6)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L+700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$ 16,268,634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$ 16,268,634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$ 12,567,520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spacing w:after="0"/>
              <w:rPr>
                <w:sz w:val="20"/>
                <w:szCs w:val="20"/>
                <w:color w:val="auto"/>
              </w:rPr>
            </w:pPr>
            <w:r>
              <w:rPr>
                <w:rFonts w:ascii="Arial" w:cs="Arial" w:eastAsia="Arial" w:hAnsi="Arial"/>
                <w:sz w:val="13"/>
                <w:szCs w:val="13"/>
                <w:color w:val="auto"/>
              </w:rPr>
              <w:t>Affinion Group Holdings,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03/01/2012</w:t>
            </w: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1140" w:type="dxa"/>
            <w:vAlign w:val="bottom"/>
            <w:gridSpan w:val="3"/>
          </w:tcPr>
          <w:p>
            <w:pPr>
              <w:jc w:val="right"/>
              <w:ind w:right="220"/>
              <w:spacing w:after="0" w:line="176" w:lineRule="exact"/>
              <w:rPr>
                <w:sz w:val="20"/>
                <w:szCs w:val="20"/>
                <w:color w:val="auto"/>
              </w:rPr>
            </w:pPr>
            <w:r>
              <w:rPr>
                <w:rFonts w:ascii="Arial" w:cs="Arial" w:eastAsia="Arial" w:hAnsi="Arial"/>
                <w:sz w:val="12"/>
                <w:szCs w:val="12"/>
                <w:color w:val="auto"/>
              </w:rPr>
              <w:t>9.37%</w:t>
            </w:r>
            <w:r>
              <w:rPr>
                <w:rFonts w:ascii="Arial" w:cs="Arial" w:eastAsia="Arial" w:hAnsi="Arial"/>
                <w:sz w:val="20"/>
                <w:szCs w:val="20"/>
                <w:color w:val="auto"/>
                <w:vertAlign w:val="superscript"/>
              </w:rPr>
              <w:t>(6)</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L+625</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22,500,000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21,587,384</w:t>
            </w: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18,562,500</w:t>
            </w: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Foundries,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04/17/2015</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14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12"/>
                <w:szCs w:val="12"/>
                <w:color w:val="auto"/>
              </w:rPr>
              <w:t>14.25%</w:t>
            </w:r>
            <w:r>
              <w:rPr>
                <w:rFonts w:ascii="Arial" w:cs="Arial" w:eastAsia="Arial" w:hAnsi="Arial"/>
                <w:sz w:val="20"/>
                <w:szCs w:val="20"/>
                <w:color w:val="auto"/>
                <w:vertAlign w:val="superscript"/>
              </w:rPr>
              <w:t>(6)</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8,000,000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7,831,761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tcPr>
          <w:p>
            <w:pPr>
              <w:spacing w:after="0"/>
              <w:rPr>
                <w:sz w:val="20"/>
                <w:szCs w:val="20"/>
                <w:color w:val="auto"/>
              </w:rPr>
            </w:pPr>
            <w:r>
              <w:rPr>
                <w:rFonts w:ascii="Arial" w:cs="Arial" w:eastAsia="Arial" w:hAnsi="Arial"/>
                <w:sz w:val="13"/>
                <w:szCs w:val="13"/>
                <w:color w:val="auto"/>
              </w:rPr>
              <w:t>CT Technologies Intermediate Holdings,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03/19/2014</w:t>
            </w:r>
          </w:p>
        </w:tc>
        <w:tc>
          <w:tcPr>
            <w:tcW w:w="176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140" w:type="dxa"/>
            <w:vAlign w:val="bottom"/>
            <w:gridSpan w:val="3"/>
          </w:tcPr>
          <w:p>
            <w:pPr>
              <w:jc w:val="right"/>
              <w:ind w:right="220"/>
              <w:spacing w:after="0" w:line="176" w:lineRule="exact"/>
              <w:rPr>
                <w:sz w:val="20"/>
                <w:szCs w:val="20"/>
                <w:color w:val="auto"/>
              </w:rPr>
            </w:pPr>
            <w:r>
              <w:rPr>
                <w:rFonts w:ascii="Arial" w:cs="Arial" w:eastAsia="Arial" w:hAnsi="Arial"/>
                <w:sz w:val="12"/>
                <w:szCs w:val="12"/>
                <w:color w:val="auto"/>
              </w:rPr>
              <w:t>14.00%</w:t>
            </w:r>
            <w:r>
              <w:rPr>
                <w:rFonts w:ascii="Arial" w:cs="Arial" w:eastAsia="Arial" w:hAnsi="Arial"/>
                <w:sz w:val="20"/>
                <w:szCs w:val="20"/>
                <w:color w:val="auto"/>
                <w:vertAlign w:val="superscript"/>
              </w:rPr>
              <w:t>(6)</w:t>
            </w: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20,000,000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19,502,246</w:t>
            </w: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20,000,000</w:t>
            </w: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06/06/2014</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14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12"/>
                <w:szCs w:val="12"/>
                <w:color w:val="auto"/>
              </w:rPr>
              <w:t>14.75%</w:t>
            </w:r>
            <w:r>
              <w:rPr>
                <w:rFonts w:ascii="Arial" w:cs="Arial" w:eastAsia="Arial" w:hAnsi="Arial"/>
                <w:sz w:val="20"/>
                <w:szCs w:val="20"/>
                <w:color w:val="auto"/>
                <w:vertAlign w:val="superscript"/>
              </w:rPr>
              <w:t>(6)</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22,041,438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21,649,325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22,041,438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IDQ Holdings,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05/20/2012</w:t>
            </w:r>
          </w:p>
        </w:tc>
        <w:tc>
          <w:tcPr>
            <w:tcW w:w="1760" w:type="dxa"/>
            <w:vAlign w:val="bottom"/>
          </w:tcPr>
          <w:p>
            <w:pPr>
              <w:jc w:val="center"/>
              <w:spacing w:after="0"/>
              <w:rPr>
                <w:sz w:val="20"/>
                <w:szCs w:val="20"/>
                <w:color w:val="auto"/>
              </w:rPr>
            </w:pPr>
            <w:r>
              <w:rPr>
                <w:rFonts w:ascii="Arial" w:cs="Arial" w:eastAsia="Arial" w:hAnsi="Arial"/>
                <w:sz w:val="13"/>
                <w:szCs w:val="13"/>
                <w:color w:val="auto"/>
                <w:w w:val="94"/>
              </w:rPr>
              <w:t>Auto Sector</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13.75%</w:t>
            </w: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20,000,000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19,555,782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Learning Care Group,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12/28/2015</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Education</w:t>
            </w:r>
          </w:p>
        </w:tc>
        <w:tc>
          <w:tcPr>
            <w:tcW w:w="114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12"/>
                <w:szCs w:val="12"/>
                <w:color w:val="auto"/>
              </w:rPr>
              <w:t>13.50%</w:t>
            </w:r>
            <w:r>
              <w:rPr>
                <w:rFonts w:ascii="Arial" w:cs="Arial" w:eastAsia="Arial" w:hAnsi="Arial"/>
                <w:sz w:val="20"/>
                <w:szCs w:val="20"/>
                <w:color w:val="auto"/>
                <w:vertAlign w:val="superscript"/>
              </w:rPr>
              <w:t>(6)</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10,067,361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9,922,722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10,067,361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Realogy Corp.</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04/15/2015</w:t>
            </w:r>
          </w:p>
        </w:tc>
        <w:tc>
          <w:tcPr>
            <w:tcW w:w="1760" w:type="dxa"/>
            <w:vAlign w:val="bottom"/>
          </w:tcPr>
          <w:p>
            <w:pPr>
              <w:jc w:val="center"/>
              <w:spacing w:after="0"/>
              <w:rPr>
                <w:sz w:val="20"/>
                <w:szCs w:val="20"/>
                <w:color w:val="auto"/>
              </w:rPr>
            </w:pPr>
            <w:r>
              <w:rPr>
                <w:rFonts w:ascii="Arial" w:cs="Arial" w:eastAsia="Arial" w:hAnsi="Arial"/>
                <w:sz w:val="13"/>
                <w:szCs w:val="13"/>
                <w:color w:val="auto"/>
                <w:w w:val="94"/>
              </w:rPr>
              <w:t>Buildings and Real Estate</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12.38%</w:t>
            </w: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28,000,000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26,337,698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TZ Merger Sub,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10/01/2016</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114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12"/>
                <w:szCs w:val="12"/>
                <w:color w:val="auto"/>
              </w:rPr>
              <w:t>13.50%</w:t>
            </w:r>
            <w:r>
              <w:rPr>
                <w:rFonts w:ascii="Arial" w:cs="Arial" w:eastAsia="Arial" w:hAnsi="Arial"/>
                <w:sz w:val="20"/>
                <w:szCs w:val="20"/>
                <w:color w:val="auto"/>
                <w:vertAlign w:val="superscript"/>
              </w:rPr>
              <w:t>(6)</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20,000,000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19,811,785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UP Acquisitions Sub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02/08/2015</w:t>
            </w:r>
          </w:p>
        </w:tc>
        <w:tc>
          <w:tcPr>
            <w:tcW w:w="176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13.50%</w:t>
            </w: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21,000,000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20,428,146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187,877,433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182,895,483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161,758,819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4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Debt—45.5%</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02/07/2015</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9.81%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L+700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12,000,000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11,682,795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Brand Energy and Infrastructure Services,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02/07/2015</w:t>
            </w: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8.81%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L+600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13,600,000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13,068,290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Generics International (U.S.),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04/30/2015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 and</w:t>
            </w:r>
          </w:p>
        </w:tc>
        <w:tc>
          <w:tcPr>
            <w:tcW w:w="114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11.26%</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L+750</w:t>
            </w:r>
          </w:p>
        </w:tc>
        <w:tc>
          <w:tcPr>
            <w:tcW w:w="9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12,000,000</w:t>
            </w:r>
          </w:p>
        </w:tc>
        <w:tc>
          <w:tcPr>
            <w:tcW w:w="9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11,947,073</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10,080,000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Questex Media Group,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11/04/2014</w:t>
            </w:r>
          </w:p>
        </w:tc>
        <w:tc>
          <w:tcPr>
            <w:tcW w:w="176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9.31%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L+650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10,000,000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10,000,000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Saint Acquisition Corp.</w:t>
            </w:r>
            <w:r>
              <w:rPr>
                <w:rFonts w:ascii="Arial" w:cs="Arial" w:eastAsia="Arial" w:hAnsi="Arial"/>
                <w:sz w:val="20"/>
                <w:szCs w:val="20"/>
                <w:color w:val="auto"/>
                <w:vertAlign w:val="superscript"/>
              </w:rPr>
              <w:t>(5)</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05/15/2015</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Transportation</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10.55%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L+775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10,000,000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9,951,058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spacing w:after="0" w:line="176" w:lineRule="exact"/>
              <w:rPr>
                <w:sz w:val="20"/>
                <w:szCs w:val="20"/>
                <w:color w:val="auto"/>
              </w:rPr>
            </w:pPr>
            <w:r>
              <w:rPr>
                <w:rFonts w:ascii="Arial" w:cs="Arial" w:eastAsia="Arial" w:hAnsi="Arial"/>
                <w:sz w:val="12"/>
                <w:szCs w:val="12"/>
                <w:color w:val="auto"/>
              </w:rPr>
              <w:t>Saint Acquisition Corp.</w:t>
            </w:r>
            <w:r>
              <w:rPr>
                <w:rFonts w:ascii="Arial" w:cs="Arial" w:eastAsia="Arial" w:hAnsi="Arial"/>
                <w:sz w:val="20"/>
                <w:szCs w:val="20"/>
                <w:color w:val="auto"/>
                <w:vertAlign w:val="superscript"/>
              </w:rPr>
              <w:t>(5)</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05/15/2017</w:t>
            </w:r>
          </w:p>
        </w:tc>
        <w:tc>
          <w:tcPr>
            <w:tcW w:w="1760" w:type="dxa"/>
            <w:vAlign w:val="bottom"/>
          </w:tcPr>
          <w:p>
            <w:pPr>
              <w:jc w:val="center"/>
              <w:spacing w:after="0"/>
              <w:rPr>
                <w:sz w:val="20"/>
                <w:szCs w:val="20"/>
                <w:color w:val="auto"/>
              </w:rPr>
            </w:pPr>
            <w:r>
              <w:rPr>
                <w:rFonts w:ascii="Arial" w:cs="Arial" w:eastAsia="Arial" w:hAnsi="Arial"/>
                <w:sz w:val="13"/>
                <w:szCs w:val="13"/>
                <w:color w:val="auto"/>
                <w:w w:val="95"/>
              </w:rPr>
              <w:t>Transportation</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12.50%</w:t>
            </w: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19,000,000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16,565,952</w:t>
            </w: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6,270,000</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Sheridan Holdings,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06/15/2015</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Healthcare, Education and</w:t>
            </w:r>
          </w:p>
        </w:tc>
        <w:tc>
          <w:tcPr>
            <w:tcW w:w="11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0"/>
                <w:szCs w:val="10"/>
                <w:color w:val="auto"/>
              </w:rPr>
              <w:t>8.54</w:t>
            </w:r>
            <w:r>
              <w:rPr>
                <w:rFonts w:ascii="Arial" w:cs="Arial" w:eastAsia="Arial" w:hAnsi="Arial"/>
                <w:sz w:val="17"/>
                <w:szCs w:val="17"/>
                <w:color w:val="auto"/>
                <w:vertAlign w:val="subscript"/>
              </w:rPr>
              <w:t>%</w:t>
            </w:r>
            <w:r>
              <w:rPr>
                <w:rFonts w:ascii="Arial" w:cs="Arial" w:eastAsia="Arial" w:hAnsi="Arial"/>
                <w:sz w:val="15"/>
                <w:szCs w:val="15"/>
                <w:color w:val="auto"/>
                <w:vertAlign w:val="superscript"/>
              </w:rPr>
              <w:t>(6)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L+575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12,500,000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11,838,114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spacing w:after="0"/>
              <w:rPr>
                <w:sz w:val="20"/>
                <w:szCs w:val="20"/>
                <w:color w:val="auto"/>
              </w:rPr>
            </w:pPr>
            <w:r>
              <w:rPr>
                <w:rFonts w:ascii="Arial" w:cs="Arial" w:eastAsia="Arial" w:hAnsi="Arial"/>
                <w:sz w:val="13"/>
                <w:szCs w:val="13"/>
                <w:color w:val="auto"/>
              </w:rPr>
              <w:t>Specialized Technology Resources, Inc.</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12/15/2014</w:t>
            </w: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Chemical, Plastics and Rubber</w:t>
            </w:r>
          </w:p>
        </w:tc>
        <w:tc>
          <w:tcPr>
            <w:tcW w:w="1140" w:type="dxa"/>
            <w:vAlign w:val="bottom"/>
            <w:gridSpan w:val="3"/>
          </w:tcPr>
          <w:p>
            <w:pPr>
              <w:jc w:val="right"/>
              <w:ind w:right="220"/>
              <w:spacing w:after="0" w:line="176" w:lineRule="exact"/>
              <w:rPr>
                <w:sz w:val="20"/>
                <w:szCs w:val="20"/>
                <w:color w:val="auto"/>
              </w:rPr>
            </w:pPr>
            <w:r>
              <w:rPr>
                <w:rFonts w:ascii="Arial" w:cs="Arial" w:eastAsia="Arial" w:hAnsi="Arial"/>
                <w:sz w:val="11"/>
                <w:szCs w:val="11"/>
                <w:color w:val="auto"/>
              </w:rPr>
              <w:t>10.70</w:t>
            </w:r>
            <w:r>
              <w:rPr>
                <w:rFonts w:ascii="Arial" w:cs="Arial" w:eastAsia="Arial" w:hAnsi="Arial"/>
                <w:sz w:val="20"/>
                <w:szCs w:val="20"/>
                <w:color w:val="auto"/>
                <w:vertAlign w:val="subscript"/>
              </w:rPr>
              <w:t>%</w:t>
            </w:r>
            <w:r>
              <w:rPr>
                <w:rFonts w:ascii="Arial" w:cs="Arial" w:eastAsia="Arial" w:hAnsi="Arial"/>
                <w:sz w:val="17"/>
                <w:szCs w:val="17"/>
                <w:color w:val="auto"/>
                <w:vertAlign w:val="superscript"/>
              </w:rPr>
              <w:t>(6)</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L+700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22,500,000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22,485,895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19,800,000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TransFirst Holdings, Inc.</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06/15/2015</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Financial Services</w:t>
            </w:r>
          </w:p>
        </w:tc>
        <w:tc>
          <w:tcPr>
            <w:tcW w:w="114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12"/>
                <w:szCs w:val="12"/>
                <w:color w:val="auto"/>
              </w:rPr>
              <w:t>9.77%</w:t>
            </w:r>
            <w:r>
              <w:rPr>
                <w:rFonts w:ascii="Arial" w:cs="Arial" w:eastAsia="Arial" w:hAnsi="Arial"/>
                <w:sz w:val="20"/>
                <w:szCs w:val="20"/>
                <w:color w:val="auto"/>
                <w:vertAlign w:val="superscript"/>
              </w:rPr>
              <w:t>(6)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L+600</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16,500,000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15,866,044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13,942,500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128,100,000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123,405,221</w:t>
            </w: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95,894,500</w:t>
            </w:r>
          </w:p>
        </w:tc>
        <w:tc>
          <w:tcPr>
            <w:tcW w:w="0" w:type="dxa"/>
            <w:vAlign w:val="bottom"/>
          </w:tcPr>
          <w:p>
            <w:pPr>
              <w:spacing w:after="0"/>
              <w:rPr>
                <w:sz w:val="1"/>
                <w:szCs w:val="1"/>
                <w:color w:val="auto"/>
              </w:rPr>
            </w:pPr>
          </w:p>
        </w:tc>
      </w:tr>
      <w:tr>
        <w:trPr>
          <w:trHeight w:val="371"/>
        </w:trPr>
        <w:tc>
          <w:tcPr>
            <w:tcW w:w="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Preferred Equity—4.4%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spacing w:after="0"/>
              <w:rPr>
                <w:sz w:val="20"/>
                <w:szCs w:val="20"/>
                <w:color w:val="auto"/>
              </w:rPr>
            </w:pPr>
            <w:r>
              <w:rPr>
                <w:rFonts w:ascii="Arial" w:cs="Arial" w:eastAsia="Arial" w:hAnsi="Arial"/>
                <w:sz w:val="13"/>
                <w:szCs w:val="13"/>
                <w:color w:val="auto"/>
              </w:rPr>
              <w:t>CFHC Holdings, Inc., Class A (Consolidated Foundries, Inc.)</w:t>
            </w:r>
          </w:p>
        </w:tc>
        <w:tc>
          <w:tcPr>
            <w:tcW w:w="82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1140" w:type="dxa"/>
            <w:vAlign w:val="bottom"/>
            <w:gridSpan w:val="3"/>
          </w:tcPr>
          <w:p>
            <w:pPr>
              <w:jc w:val="right"/>
              <w:ind w:right="220"/>
              <w:spacing w:after="0" w:line="176" w:lineRule="exact"/>
              <w:rPr>
                <w:sz w:val="20"/>
                <w:szCs w:val="20"/>
                <w:color w:val="auto"/>
              </w:rPr>
            </w:pPr>
            <w:r>
              <w:rPr>
                <w:rFonts w:ascii="Arial" w:cs="Arial" w:eastAsia="Arial" w:hAnsi="Arial"/>
                <w:sz w:val="12"/>
                <w:szCs w:val="12"/>
                <w:color w:val="auto"/>
              </w:rPr>
              <w:t>12.00%</w:t>
            </w:r>
            <w:r>
              <w:rPr>
                <w:rFonts w:ascii="Arial" w:cs="Arial" w:eastAsia="Arial" w:hAnsi="Arial"/>
                <w:sz w:val="20"/>
                <w:szCs w:val="20"/>
                <w:color w:val="auto"/>
                <w:vertAlign w:val="superscript"/>
              </w:rPr>
              <w:t>(6)</w:t>
            </w: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842</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841,927</w:t>
            </w: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841,927</w:t>
            </w: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14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12"/>
                <w:szCs w:val="12"/>
                <w:color w:val="auto"/>
              </w:rPr>
              <w:t>12.00%</w:t>
            </w:r>
            <w:r>
              <w:rPr>
                <w:rFonts w:ascii="Arial" w:cs="Arial" w:eastAsia="Arial" w:hAnsi="Arial"/>
                <w:sz w:val="20"/>
                <w:szCs w:val="20"/>
                <w:color w:val="auto"/>
                <w:vertAlign w:val="superscript"/>
              </w:rPr>
              <w:t>(6)</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3,960,000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3,960,000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3,960,000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40" w:type="dxa"/>
            <w:vAlign w:val="bottom"/>
            <w:gridSpan w:val="2"/>
          </w:tcPr>
          <w:p>
            <w:pPr>
              <w:spacing w:after="0" w:line="138" w:lineRule="exact"/>
              <w:rPr>
                <w:sz w:val="20"/>
                <w:szCs w:val="20"/>
                <w:color w:val="auto"/>
              </w:rPr>
            </w:pPr>
            <w:r>
              <w:rPr>
                <w:rFonts w:ascii="Arial" w:cs="Arial" w:eastAsia="Arial" w:hAnsi="Arial"/>
                <w:sz w:val="13"/>
                <w:szCs w:val="13"/>
                <w:color w:val="auto"/>
              </w:rPr>
              <w:t>TZ Holdings, L.P., Series A</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right"/>
              <w:ind w:right="340"/>
              <w:spacing w:after="0" w:line="29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1"/>
                <w:szCs w:val="11"/>
                <w:color w:val="auto"/>
              </w:rPr>
              <w:t xml:space="preserve"> (7)</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40" w:type="dxa"/>
            <w:vAlign w:val="bottom"/>
            <w:gridSpan w:val="2"/>
          </w:tcPr>
          <w:p>
            <w:pPr>
              <w:ind w:left="220"/>
              <w:spacing w:after="0"/>
              <w:rPr>
                <w:sz w:val="20"/>
                <w:szCs w:val="20"/>
                <w:color w:val="auto"/>
              </w:rPr>
            </w:pPr>
            <w:r>
              <w:rPr>
                <w:rFonts w:ascii="Arial" w:cs="Arial" w:eastAsia="Arial" w:hAnsi="Arial"/>
                <w:sz w:val="13"/>
                <w:szCs w:val="13"/>
                <w:color w:val="auto"/>
              </w:rPr>
              <w:t>(TZ Merger Sub, Inc.)</w:t>
            </w:r>
          </w:p>
        </w:tc>
        <w:tc>
          <w:tcPr>
            <w:tcW w:w="82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91"/>
              </w:rPr>
              <w:t>Insurance</w:t>
            </w: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686</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685,820</w:t>
            </w: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685,820</w:t>
            </w:r>
          </w:p>
        </w:tc>
        <w:tc>
          <w:tcPr>
            <w:tcW w:w="0" w:type="dxa"/>
            <w:vAlign w:val="bottom"/>
          </w:tcPr>
          <w:p>
            <w:pPr>
              <w:spacing w:after="0"/>
              <w:rPr>
                <w:sz w:val="1"/>
                <w:szCs w:val="1"/>
                <w:color w:val="auto"/>
              </w:rPr>
            </w:pPr>
          </w:p>
        </w:tc>
      </w:tr>
      <w:tr>
        <w:trPr>
          <w:trHeight w:val="138"/>
        </w:trPr>
        <w:tc>
          <w:tcPr>
            <w:tcW w:w="40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TZ Holdings, L.P., Series B</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1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6.50%</w:t>
            </w:r>
            <w:r>
              <w:rPr>
                <w:rFonts w:ascii="Arial" w:cs="Arial" w:eastAsia="Arial" w:hAnsi="Arial"/>
                <w:sz w:val="22"/>
                <w:szCs w:val="22"/>
                <w:color w:val="auto"/>
                <w:vertAlign w:val="superscript"/>
              </w:rPr>
              <w:t>(6)</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(TZ Merger Sub, Inc.)</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1140" w:type="dxa"/>
            <w:vAlign w:val="bottom"/>
            <w:gridSpan w:val="3"/>
            <w:vMerge w:val="continue"/>
            <w:shd w:val="clear" w:color="auto" w:fill="CCEEFF"/>
          </w:tcPr>
          <w:p>
            <w:pPr>
              <w:spacing w:after="0"/>
              <w:rPr>
                <w:sz w:val="13"/>
                <w:szCs w:val="13"/>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1,312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1,312,006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40" w:type="dxa"/>
            <w:vAlign w:val="bottom"/>
            <w:gridSpan w:val="2"/>
          </w:tcPr>
          <w:p>
            <w:pPr>
              <w:spacing w:after="0" w:line="138" w:lineRule="exact"/>
              <w:rPr>
                <w:sz w:val="20"/>
                <w:szCs w:val="20"/>
                <w:color w:val="auto"/>
              </w:rPr>
            </w:pPr>
            <w:r>
              <w:rPr>
                <w:rFonts w:ascii="Arial" w:cs="Arial" w:eastAsia="Arial" w:hAnsi="Arial"/>
                <w:sz w:val="13"/>
                <w:szCs w:val="13"/>
                <w:color w:val="auto"/>
              </w:rPr>
              <w:t>UP Holdings Inc., Class A-1</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8.00%</w:t>
            </w:r>
            <w:r>
              <w:rPr>
                <w:rFonts w:ascii="Arial" w:cs="Arial" w:eastAsia="Arial" w:hAnsi="Arial"/>
                <w:sz w:val="22"/>
                <w:szCs w:val="22"/>
                <w:color w:val="auto"/>
                <w:vertAlign w:val="superscript"/>
              </w:rPr>
              <w:t>(6)</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40" w:type="dxa"/>
            <w:vAlign w:val="bottom"/>
            <w:gridSpan w:val="2"/>
          </w:tcPr>
          <w:p>
            <w:pPr>
              <w:ind w:left="220"/>
              <w:spacing w:after="0"/>
              <w:rPr>
                <w:sz w:val="20"/>
                <w:szCs w:val="20"/>
                <w:color w:val="auto"/>
              </w:rPr>
            </w:pPr>
            <w:r>
              <w:rPr>
                <w:rFonts w:ascii="Arial" w:cs="Arial" w:eastAsia="Arial" w:hAnsi="Arial"/>
                <w:sz w:val="13"/>
                <w:szCs w:val="13"/>
                <w:color w:val="auto"/>
              </w:rPr>
              <w:t>(UP Acquisitions Sub Inc.)</w:t>
            </w:r>
          </w:p>
        </w:tc>
        <w:tc>
          <w:tcPr>
            <w:tcW w:w="82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1140" w:type="dxa"/>
            <w:vAlign w:val="bottom"/>
            <w:gridSpan w:val="3"/>
            <w:vMerge w:val="continue"/>
          </w:tcPr>
          <w:p>
            <w:pPr>
              <w:spacing w:after="0"/>
              <w:rPr>
                <w:sz w:val="13"/>
                <w:szCs w:val="13"/>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91,608</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2,499,066</w:t>
            </w: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2,499,066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Preferred Equity</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4,054,448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9,298,819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9,298,819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Basis Point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7"/>
              </w:rPr>
              <w:t>Current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w w:val="98"/>
              </w:rPr>
              <w:t>Value</w:t>
            </w:r>
            <w:r>
              <w:rPr>
                <w:rFonts w:ascii="Arial" w:cs="Arial" w:eastAsia="Arial" w:hAnsi="Arial"/>
                <w:sz w:val="22"/>
                <w:szCs w:val="22"/>
                <w:b w:val="1"/>
                <w:bCs w:val="1"/>
                <w:color w:val="auto"/>
                <w:w w:val="98"/>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340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8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160" w:type="dxa"/>
            <w:vAlign w:val="bottom"/>
            <w:gridSpan w:val="2"/>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Common Equity/Partnership</w:t>
            </w: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16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22"/>
                <w:szCs w:val="22"/>
                <w:b w:val="1"/>
                <w:bCs w:val="1"/>
                <w:color w:val="auto"/>
                <w:vertAlign w:val="superscript"/>
              </w:rPr>
              <w:t>(7)</w:t>
            </w:r>
            <w:r>
              <w:rPr>
                <w:rFonts w:ascii="Arial" w:cs="Arial" w:eastAsia="Arial" w:hAnsi="Arial"/>
                <w:sz w:val="13"/>
                <w:szCs w:val="13"/>
                <w:b w:val="1"/>
                <w:bCs w:val="1"/>
                <w:color w:val="auto"/>
              </w:rPr>
              <w:t>—4.0%</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rPr>
                <w:sz w:val="20"/>
                <w:szCs w:val="20"/>
                <w:color w:val="auto"/>
              </w:rPr>
            </w:pPr>
            <w:r>
              <w:rPr>
                <w:rFonts w:ascii="Arial" w:cs="Arial" w:eastAsia="Arial" w:hAnsi="Arial"/>
                <w:sz w:val="13"/>
                <w:szCs w:val="13"/>
                <w:color w:val="auto"/>
              </w:rPr>
              <w:t>AHC Mezzanine (Advanstar Inc.)</w:t>
            </w: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74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180" w:type="dxa"/>
            <w:vAlign w:val="bottom"/>
          </w:tcPr>
          <w:p>
            <w:pPr>
              <w:spacing w:after="0"/>
              <w:rPr>
                <w:sz w:val="12"/>
                <w:szCs w:val="12"/>
                <w:color w:val="auto"/>
              </w:rPr>
            </w:pPr>
          </w:p>
        </w:tc>
        <w:tc>
          <w:tcPr>
            <w:tcW w:w="9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3,000</w:t>
            </w:r>
          </w:p>
        </w:tc>
        <w:tc>
          <w:tcPr>
            <w:tcW w:w="740" w:type="dxa"/>
            <w:vAlign w:val="bottom"/>
          </w:tcPr>
          <w:p>
            <w:pPr>
              <w:jc w:val="right"/>
              <w:spacing w:after="0"/>
              <w:rPr>
                <w:sz w:val="20"/>
                <w:szCs w:val="20"/>
                <w:color w:val="auto"/>
              </w:rPr>
            </w:pPr>
            <w:r>
              <w:rPr>
                <w:rFonts w:ascii="Arial" w:cs="Arial" w:eastAsia="Arial" w:hAnsi="Arial"/>
                <w:sz w:val="13"/>
                <w:szCs w:val="13"/>
                <w:color w:val="auto"/>
                <w:w w:val="99"/>
              </w:rPr>
              <w:t>$  3,000,000</w:t>
            </w:r>
          </w:p>
        </w:tc>
        <w:tc>
          <w:tcPr>
            <w:tcW w:w="10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998,883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CFHC Holdings, Inc., (Consolidated Foundries, Inc.)</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1,627</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gridSpan w:val="2"/>
          </w:tcPr>
          <w:p>
            <w:pPr>
              <w:spacing w:after="0" w:line="138" w:lineRule="exact"/>
              <w:rPr>
                <w:sz w:val="20"/>
                <w:szCs w:val="20"/>
                <w:color w:val="auto"/>
              </w:rPr>
            </w:pPr>
            <w:r>
              <w:rPr>
                <w:rFonts w:ascii="Arial" w:cs="Arial" w:eastAsia="Arial" w:hAnsi="Arial"/>
                <w:sz w:val="13"/>
                <w:szCs w:val="13"/>
                <w:color w:val="auto"/>
              </w:rPr>
              <w:t>CT Technologies Holdings, LLC (CT Technologies Intermediate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gridSpan w:val="2"/>
          </w:tcPr>
          <w:p>
            <w:pPr>
              <w:ind w:left="220"/>
              <w:spacing w:after="0"/>
              <w:rPr>
                <w:sz w:val="20"/>
                <w:szCs w:val="20"/>
                <w:color w:val="auto"/>
              </w:rPr>
            </w:pPr>
            <w:r>
              <w:rPr>
                <w:rFonts w:ascii="Arial" w:cs="Arial" w:eastAsia="Arial" w:hAnsi="Arial"/>
                <w:sz w:val="13"/>
                <w:szCs w:val="13"/>
                <w:color w:val="auto"/>
              </w:rPr>
              <w:t>Holdings, Inc.)</w:t>
            </w: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80" w:type="dxa"/>
            <w:vAlign w:val="bottom"/>
          </w:tcPr>
          <w:p>
            <w:pPr>
              <w:spacing w:after="0"/>
              <w:rPr>
                <w:sz w:val="13"/>
                <w:szCs w:val="13"/>
                <w:color w:val="auto"/>
              </w:rPr>
            </w:pPr>
          </w:p>
        </w:tc>
        <w:tc>
          <w:tcPr>
            <w:tcW w:w="9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5,556</w:t>
            </w:r>
          </w:p>
        </w:tc>
        <w:tc>
          <w:tcPr>
            <w:tcW w:w="740" w:type="dxa"/>
            <w:vAlign w:val="bottom"/>
          </w:tcPr>
          <w:p>
            <w:pPr>
              <w:jc w:val="right"/>
              <w:spacing w:after="0"/>
              <w:rPr>
                <w:sz w:val="20"/>
                <w:szCs w:val="20"/>
                <w:color w:val="auto"/>
              </w:rPr>
            </w:pPr>
            <w:r>
              <w:rPr>
                <w:rFonts w:ascii="Arial" w:cs="Arial" w:eastAsia="Arial" w:hAnsi="Arial"/>
                <w:sz w:val="13"/>
                <w:szCs w:val="13"/>
                <w:color w:val="auto"/>
              </w:rPr>
              <w:t>3,200,000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3,200,000</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440,000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1,545,062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rPr>
                <w:sz w:val="20"/>
                <w:szCs w:val="20"/>
                <w:color w:val="auto"/>
              </w:rPr>
            </w:pPr>
            <w:r>
              <w:rPr>
                <w:rFonts w:ascii="Arial" w:cs="Arial" w:eastAsia="Arial" w:hAnsi="Arial"/>
                <w:sz w:val="13"/>
                <w:szCs w:val="13"/>
                <w:color w:val="auto"/>
              </w:rPr>
              <w:t>TZ Holdings, L.P. (TZ Merger Sub, Inc.)</w:t>
            </w: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740" w:type="dxa"/>
            <w:vAlign w:val="bottom"/>
          </w:tcPr>
          <w:p>
            <w:pPr>
              <w:jc w:val="center"/>
              <w:spacing w:after="0"/>
              <w:rPr>
                <w:sz w:val="20"/>
                <w:szCs w:val="20"/>
                <w:color w:val="auto"/>
              </w:rPr>
            </w:pPr>
            <w:r>
              <w:rPr>
                <w:rFonts w:ascii="Arial" w:cs="Arial" w:eastAsia="Arial" w:hAnsi="Arial"/>
                <w:sz w:val="13"/>
                <w:szCs w:val="13"/>
                <w:color w:val="auto"/>
                <w:w w:val="91"/>
              </w:rPr>
              <w:t>Insurance</w:t>
            </w:r>
          </w:p>
        </w:tc>
        <w:tc>
          <w:tcPr>
            <w:tcW w:w="180" w:type="dxa"/>
            <w:vAlign w:val="bottom"/>
          </w:tcPr>
          <w:p>
            <w:pPr>
              <w:spacing w:after="0"/>
              <w:rPr>
                <w:sz w:val="12"/>
                <w:szCs w:val="12"/>
                <w:color w:val="auto"/>
              </w:rPr>
            </w:pPr>
          </w:p>
        </w:tc>
        <w:tc>
          <w:tcPr>
            <w:tcW w:w="9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2</w:t>
            </w:r>
          </w:p>
        </w:tc>
        <w:tc>
          <w:tcPr>
            <w:tcW w:w="740" w:type="dxa"/>
            <w:vAlign w:val="bottom"/>
          </w:tcPr>
          <w:p>
            <w:pPr>
              <w:jc w:val="right"/>
              <w:spacing w:after="0"/>
              <w:rPr>
                <w:sz w:val="20"/>
                <w:szCs w:val="20"/>
                <w:color w:val="auto"/>
              </w:rPr>
            </w:pPr>
            <w:r>
              <w:rPr>
                <w:rFonts w:ascii="Arial" w:cs="Arial" w:eastAsia="Arial" w:hAnsi="Arial"/>
                <w:sz w:val="13"/>
                <w:szCs w:val="13"/>
                <w:color w:val="auto"/>
              </w:rPr>
              <w:t>2,173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UP Holdings Inc. (UP Acquisitions Sub Inc.)</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Oil and Gas</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91,608</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2,569,208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541,793</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6,659,360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8,464,883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Par</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6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First Lien Secured Debt—37.4%</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rPr>
                <w:sz w:val="20"/>
                <w:szCs w:val="20"/>
                <w:color w:val="auto"/>
              </w:rPr>
            </w:pPr>
            <w:r>
              <w:rPr>
                <w:rFonts w:ascii="Arial" w:cs="Arial" w:eastAsia="Arial" w:hAnsi="Arial"/>
                <w:sz w:val="13"/>
                <w:szCs w:val="13"/>
                <w:color w:val="auto"/>
              </w:rPr>
              <w:t>Burlington Coat Factory Warehouse Corp.</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05/28/2013</w:t>
            </w:r>
          </w:p>
        </w:tc>
        <w:tc>
          <w:tcPr>
            <w:tcW w:w="1740" w:type="dxa"/>
            <w:vAlign w:val="bottom"/>
          </w:tcPr>
          <w:p>
            <w:pPr>
              <w:jc w:val="center"/>
              <w:spacing w:after="0"/>
              <w:rPr>
                <w:sz w:val="20"/>
                <w:szCs w:val="20"/>
                <w:color w:val="auto"/>
              </w:rPr>
            </w:pPr>
            <w:r>
              <w:rPr>
                <w:rFonts w:ascii="Arial" w:cs="Arial" w:eastAsia="Arial" w:hAnsi="Arial"/>
                <w:sz w:val="13"/>
                <w:szCs w:val="13"/>
                <w:color w:val="auto"/>
                <w:w w:val="94"/>
              </w:rPr>
              <w:t>Retail Store</w:t>
            </w:r>
          </w:p>
        </w:tc>
        <w:tc>
          <w:tcPr>
            <w:tcW w:w="1100" w:type="dxa"/>
            <w:vAlign w:val="bottom"/>
            <w:gridSpan w:val="3"/>
          </w:tcPr>
          <w:p>
            <w:pPr>
              <w:jc w:val="right"/>
              <w:ind w:right="340"/>
              <w:spacing w:after="0"/>
              <w:rPr>
                <w:sz w:val="20"/>
                <w:szCs w:val="20"/>
                <w:color w:val="auto"/>
              </w:rPr>
            </w:pPr>
            <w:r>
              <w:rPr>
                <w:rFonts w:ascii="Arial" w:cs="Arial" w:eastAsia="Arial" w:hAnsi="Arial"/>
                <w:sz w:val="13"/>
                <w:szCs w:val="13"/>
                <w:color w:val="auto"/>
              </w:rPr>
              <w:t>5.06%</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L+225</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  7,896,473</w:t>
            </w:r>
          </w:p>
        </w:tc>
        <w:tc>
          <w:tcPr>
            <w:tcW w:w="740" w:type="dxa"/>
            <w:vAlign w:val="bottom"/>
          </w:tcPr>
          <w:p>
            <w:pPr>
              <w:jc w:val="right"/>
              <w:spacing w:after="0"/>
              <w:rPr>
                <w:sz w:val="20"/>
                <w:szCs w:val="20"/>
                <w:color w:val="auto"/>
              </w:rPr>
            </w:pPr>
            <w:r>
              <w:rPr>
                <w:rFonts w:ascii="Arial" w:cs="Arial" w:eastAsia="Arial" w:hAnsi="Arial"/>
                <w:sz w:val="13"/>
                <w:szCs w:val="13"/>
                <w:color w:val="auto"/>
              </w:rPr>
              <w:t>7,889,120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5,401,187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Cohr Holdings,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5"/>
              </w:rPr>
              <w:t>01/31/2013</w:t>
            </w:r>
          </w:p>
        </w:tc>
        <w:tc>
          <w:tcPr>
            <w:tcW w:w="17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110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L+250</w:t>
            </w:r>
          </w:p>
        </w:tc>
        <w:tc>
          <w:tcPr>
            <w:tcW w:w="102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2,955,000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2,955,000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1,484,888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spacing w:after="0"/>
              <w:rPr>
                <w:sz w:val="20"/>
                <w:szCs w:val="20"/>
                <w:color w:val="auto"/>
              </w:rPr>
            </w:pPr>
            <w:r>
              <w:rPr>
                <w:rFonts w:ascii="Arial" w:cs="Arial" w:eastAsia="Arial" w:hAnsi="Arial"/>
                <w:sz w:val="13"/>
                <w:szCs w:val="13"/>
                <w:color w:val="auto"/>
              </w:rPr>
              <w:t>EnviroSolutions, Inc.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08/07/2012</w:t>
            </w:r>
          </w:p>
        </w:tc>
        <w:tc>
          <w:tcPr>
            <w:tcW w:w="1740" w:type="dxa"/>
            <w:vAlign w:val="bottom"/>
          </w:tcPr>
          <w:p>
            <w:pPr>
              <w:jc w:val="center"/>
              <w:spacing w:after="0"/>
              <w:rPr>
                <w:sz w:val="20"/>
                <w:szCs w:val="20"/>
                <w:color w:val="auto"/>
              </w:rPr>
            </w:pPr>
            <w:r>
              <w:rPr>
                <w:rFonts w:ascii="Arial" w:cs="Arial" w:eastAsia="Arial" w:hAnsi="Arial"/>
                <w:sz w:val="13"/>
                <w:szCs w:val="13"/>
                <w:color w:val="auto"/>
                <w:w w:val="95"/>
              </w:rPr>
              <w:t>Environmental Services</w:t>
            </w:r>
          </w:p>
        </w:tc>
        <w:tc>
          <w:tcPr>
            <w:tcW w:w="1100" w:type="dxa"/>
            <w:vAlign w:val="bottom"/>
            <w:gridSpan w:val="3"/>
          </w:tcPr>
          <w:p>
            <w:pPr>
              <w:jc w:val="right"/>
              <w:ind w:right="200"/>
              <w:spacing w:after="0" w:line="176" w:lineRule="exact"/>
              <w:rPr>
                <w:sz w:val="20"/>
                <w:szCs w:val="20"/>
                <w:color w:val="auto"/>
              </w:rPr>
            </w:pPr>
            <w:r>
              <w:rPr>
                <w:rFonts w:ascii="Arial" w:cs="Arial" w:eastAsia="Arial" w:hAnsi="Arial"/>
                <w:sz w:val="12"/>
                <w:szCs w:val="12"/>
                <w:color w:val="auto"/>
              </w:rPr>
              <w:t>12.04%</w:t>
            </w:r>
            <w:r>
              <w:rPr>
                <w:rFonts w:ascii="Arial" w:cs="Arial" w:eastAsia="Arial" w:hAnsi="Arial"/>
                <w:sz w:val="20"/>
                <w:szCs w:val="20"/>
                <w:color w:val="auto"/>
                <w:vertAlign w:val="superscript"/>
              </w:rPr>
              <w:t>(6)</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L+825</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14,014,177</w:t>
            </w:r>
          </w:p>
        </w:tc>
        <w:tc>
          <w:tcPr>
            <w:tcW w:w="740" w:type="dxa"/>
            <w:vAlign w:val="bottom"/>
          </w:tcPr>
          <w:p>
            <w:pPr>
              <w:jc w:val="right"/>
              <w:spacing w:after="0"/>
              <w:rPr>
                <w:sz w:val="20"/>
                <w:szCs w:val="20"/>
                <w:color w:val="auto"/>
              </w:rPr>
            </w:pPr>
            <w:r>
              <w:rPr>
                <w:rFonts w:ascii="Arial" w:cs="Arial" w:eastAsia="Arial" w:hAnsi="Arial"/>
                <w:sz w:val="13"/>
                <w:szCs w:val="13"/>
                <w:color w:val="auto"/>
              </w:rPr>
              <w:t>12,965,204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12,192,334</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08/07/2012</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Services</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12.25%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P+725</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2,293</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rPr>
                <w:sz w:val="20"/>
                <w:szCs w:val="20"/>
                <w:color w:val="auto"/>
              </w:rPr>
            </w:pPr>
            <w:r>
              <w:rPr>
                <w:rFonts w:ascii="Arial" w:cs="Arial" w:eastAsia="Arial" w:hAnsi="Arial"/>
                <w:sz w:val="13"/>
                <w:szCs w:val="13"/>
                <w:color w:val="auto"/>
              </w:rPr>
              <w:t>Gatehouse Media Operating, Inc.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08/28/2014</w:t>
            </w:r>
          </w:p>
        </w:tc>
        <w:tc>
          <w:tcPr>
            <w:tcW w:w="1740" w:type="dxa"/>
            <w:vAlign w:val="bottom"/>
          </w:tcPr>
          <w:p>
            <w:pPr>
              <w:jc w:val="center"/>
              <w:spacing w:after="0"/>
              <w:rPr>
                <w:sz w:val="20"/>
                <w:szCs w:val="20"/>
                <w:color w:val="auto"/>
              </w:rPr>
            </w:pPr>
            <w:r>
              <w:rPr>
                <w:rFonts w:ascii="Arial" w:cs="Arial" w:eastAsia="Arial" w:hAnsi="Arial"/>
                <w:sz w:val="13"/>
                <w:szCs w:val="13"/>
                <w:color w:val="auto"/>
                <w:w w:val="95"/>
              </w:rPr>
              <w:t>Media</w:t>
            </w:r>
          </w:p>
        </w:tc>
        <w:tc>
          <w:tcPr>
            <w:tcW w:w="1100" w:type="dxa"/>
            <w:vAlign w:val="bottom"/>
            <w:gridSpan w:val="3"/>
          </w:tcPr>
          <w:p>
            <w:pPr>
              <w:jc w:val="right"/>
              <w:ind w:right="340"/>
              <w:spacing w:after="0"/>
              <w:rPr>
                <w:sz w:val="20"/>
                <w:szCs w:val="20"/>
                <w:color w:val="auto"/>
              </w:rPr>
            </w:pPr>
            <w:r>
              <w:rPr>
                <w:rFonts w:ascii="Arial" w:cs="Arial" w:eastAsia="Arial" w:hAnsi="Arial"/>
                <w:sz w:val="13"/>
                <w:szCs w:val="13"/>
                <w:color w:val="auto"/>
              </w:rPr>
              <w:t>4.81%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L+200</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7,000,000</w:t>
            </w:r>
          </w:p>
        </w:tc>
        <w:tc>
          <w:tcPr>
            <w:tcW w:w="740" w:type="dxa"/>
            <w:vAlign w:val="bottom"/>
          </w:tcPr>
          <w:p>
            <w:pPr>
              <w:jc w:val="right"/>
              <w:spacing w:after="0"/>
              <w:rPr>
                <w:sz w:val="20"/>
                <w:szCs w:val="20"/>
                <w:color w:val="auto"/>
              </w:rPr>
            </w:pPr>
            <w:r>
              <w:rPr>
                <w:rFonts w:ascii="Arial" w:cs="Arial" w:eastAsia="Arial" w:hAnsi="Arial"/>
                <w:sz w:val="13"/>
                <w:szCs w:val="13"/>
                <w:color w:val="auto"/>
              </w:rPr>
              <w:t>7,000,000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3,336,690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Nutrition Centers,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09/16/2013</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Retail Store</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5.57%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L+225</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3,410,095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3,411,892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2,821,854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rPr>
                <w:sz w:val="20"/>
                <w:szCs w:val="20"/>
                <w:color w:val="auto"/>
              </w:rPr>
            </w:pPr>
            <w:r>
              <w:rPr>
                <w:rFonts w:ascii="Arial" w:cs="Arial" w:eastAsia="Arial" w:hAnsi="Arial"/>
                <w:sz w:val="13"/>
                <w:szCs w:val="13"/>
                <w:color w:val="auto"/>
              </w:rPr>
              <w:t>Greatwide Logistics Services, Inc.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12/19/2013</w:t>
            </w: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Cargo Transport</w:t>
            </w:r>
          </w:p>
        </w:tc>
        <w:tc>
          <w:tcPr>
            <w:tcW w:w="180" w:type="dxa"/>
            <w:vAlign w:val="bottom"/>
          </w:tcPr>
          <w:p>
            <w:pPr>
              <w:spacing w:after="0"/>
              <w:rPr>
                <w:sz w:val="12"/>
                <w:szCs w:val="12"/>
                <w:color w:val="auto"/>
              </w:rPr>
            </w:pPr>
          </w:p>
        </w:tc>
        <w:tc>
          <w:tcPr>
            <w:tcW w:w="920" w:type="dxa"/>
            <w:vAlign w:val="bottom"/>
            <w:gridSpan w:val="2"/>
          </w:tcPr>
          <w:p>
            <w:pPr>
              <w:ind w:lef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6,912,500</w:t>
            </w:r>
          </w:p>
        </w:tc>
        <w:tc>
          <w:tcPr>
            <w:tcW w:w="740" w:type="dxa"/>
            <w:vAlign w:val="bottom"/>
          </w:tcPr>
          <w:p>
            <w:pPr>
              <w:jc w:val="right"/>
              <w:spacing w:after="0"/>
              <w:rPr>
                <w:sz w:val="20"/>
                <w:szCs w:val="20"/>
                <w:color w:val="auto"/>
              </w:rPr>
            </w:pPr>
            <w:r>
              <w:rPr>
                <w:rFonts w:ascii="Arial" w:cs="Arial" w:eastAsia="Arial" w:hAnsi="Arial"/>
                <w:sz w:val="13"/>
                <w:szCs w:val="13"/>
                <w:color w:val="auto"/>
              </w:rPr>
              <w:t>6,912,500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5,149,813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Hanley-Wood, L.L.C.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03/08/2014</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4.83%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L+225</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8,932,500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8,932,500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rPr>
                <w:sz w:val="20"/>
                <w:szCs w:val="20"/>
                <w:color w:val="auto"/>
              </w:rPr>
            </w:pPr>
            <w:r>
              <w:rPr>
                <w:rFonts w:ascii="Arial" w:cs="Arial" w:eastAsia="Arial" w:hAnsi="Arial"/>
                <w:sz w:val="13"/>
                <w:szCs w:val="13"/>
                <w:color w:val="auto"/>
              </w:rPr>
              <w:t>Hughes Network Systems, L.L.C.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04/15/2014</w:t>
            </w:r>
          </w:p>
        </w:tc>
        <w:tc>
          <w:tcPr>
            <w:tcW w:w="174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100" w:type="dxa"/>
            <w:vAlign w:val="bottom"/>
            <w:gridSpan w:val="3"/>
          </w:tcPr>
          <w:p>
            <w:pPr>
              <w:jc w:val="right"/>
              <w:ind w:right="340"/>
              <w:spacing w:after="0"/>
              <w:rPr>
                <w:sz w:val="20"/>
                <w:szCs w:val="20"/>
                <w:color w:val="auto"/>
              </w:rPr>
            </w:pPr>
            <w:r>
              <w:rPr>
                <w:rFonts w:ascii="Arial" w:cs="Arial" w:eastAsia="Arial" w:hAnsi="Arial"/>
                <w:sz w:val="13"/>
                <w:szCs w:val="13"/>
                <w:color w:val="auto"/>
              </w:rPr>
              <w:t>5.31%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L+250</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5,000,000</w:t>
            </w:r>
          </w:p>
        </w:tc>
        <w:tc>
          <w:tcPr>
            <w:tcW w:w="740" w:type="dxa"/>
            <w:vAlign w:val="bottom"/>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Jacuzzi Brands Corp.</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5"/>
              </w:rPr>
              <w:t>02/07/2014</w:t>
            </w:r>
          </w:p>
        </w:tc>
        <w:tc>
          <w:tcPr>
            <w:tcW w:w="17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110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L+225</w:t>
            </w:r>
          </w:p>
        </w:tc>
        <w:tc>
          <w:tcPr>
            <w:tcW w:w="102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9,890,541</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9,890,541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6,156,861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Furnishings, Housewares and</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Durable 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rPr>
                <w:sz w:val="20"/>
                <w:szCs w:val="20"/>
                <w:color w:val="auto"/>
              </w:rPr>
            </w:pPr>
            <w:r>
              <w:rPr>
                <w:rFonts w:ascii="Arial" w:cs="Arial" w:eastAsia="Arial" w:hAnsi="Arial"/>
                <w:sz w:val="13"/>
                <w:szCs w:val="13"/>
                <w:color w:val="auto"/>
              </w:rPr>
              <w:t>Levlad, L.L.C.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03/08/2014</w:t>
            </w: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1100" w:type="dxa"/>
            <w:vAlign w:val="bottom"/>
            <w:gridSpan w:val="3"/>
          </w:tcPr>
          <w:p>
            <w:pPr>
              <w:jc w:val="right"/>
              <w:ind w:right="340"/>
              <w:spacing w:after="0"/>
              <w:rPr>
                <w:sz w:val="20"/>
                <w:szCs w:val="20"/>
                <w:color w:val="auto"/>
              </w:rPr>
            </w:pPr>
            <w:r>
              <w:rPr>
                <w:rFonts w:ascii="Arial" w:cs="Arial" w:eastAsia="Arial" w:hAnsi="Arial"/>
                <w:sz w:val="13"/>
                <w:szCs w:val="13"/>
                <w:color w:val="auto"/>
              </w:rPr>
              <w:t>5.46%</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L+225</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4,564,563</w:t>
            </w:r>
          </w:p>
        </w:tc>
        <w:tc>
          <w:tcPr>
            <w:tcW w:w="740" w:type="dxa"/>
            <w:vAlign w:val="bottom"/>
          </w:tcPr>
          <w:p>
            <w:pPr>
              <w:jc w:val="right"/>
              <w:spacing w:after="0"/>
              <w:rPr>
                <w:sz w:val="20"/>
                <w:szCs w:val="20"/>
                <w:color w:val="auto"/>
              </w:rPr>
            </w:pPr>
            <w:r>
              <w:rPr>
                <w:rFonts w:ascii="Arial" w:cs="Arial" w:eastAsia="Arial" w:hAnsi="Arial"/>
                <w:sz w:val="13"/>
                <w:szCs w:val="13"/>
                <w:color w:val="auto"/>
              </w:rPr>
              <w:t>4,564,563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2,639,837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Longview Power, L.L.C.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02/28/2014</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Utilities</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5.54%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L+225</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2,630,001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gridSpan w:val="2"/>
          </w:tcPr>
          <w:p>
            <w:pPr>
              <w:spacing w:after="0" w:line="138" w:lineRule="exact"/>
              <w:rPr>
                <w:sz w:val="20"/>
                <w:szCs w:val="20"/>
                <w:color w:val="auto"/>
              </w:rPr>
            </w:pPr>
            <w:r>
              <w:rPr>
                <w:rFonts w:ascii="Arial" w:cs="Arial" w:eastAsia="Arial" w:hAnsi="Arial"/>
                <w:sz w:val="13"/>
                <w:szCs w:val="13"/>
                <w:color w:val="auto"/>
              </w:rPr>
              <w:t>Mattress Holding Corp.</w:t>
            </w:r>
          </w:p>
        </w:tc>
        <w:tc>
          <w:tcPr>
            <w:tcW w:w="80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5"/>
              </w:rPr>
              <w:t>01/18/2014</w:t>
            </w:r>
          </w:p>
        </w:tc>
        <w:tc>
          <w:tcPr>
            <w:tcW w:w="1740" w:type="dxa"/>
            <w:vAlign w:val="bottom"/>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1100" w:type="dxa"/>
            <w:vAlign w:val="bottom"/>
            <w:gridSpan w:val="3"/>
          </w:tcPr>
          <w:p>
            <w:pPr>
              <w:jc w:val="right"/>
              <w:ind w:right="340"/>
              <w:spacing w:after="0" w:line="138" w:lineRule="exact"/>
              <w:rPr>
                <w:sz w:val="20"/>
                <w:szCs w:val="20"/>
                <w:color w:val="auto"/>
              </w:rPr>
            </w:pPr>
            <w:r>
              <w:rPr>
                <w:rFonts w:ascii="Arial" w:cs="Arial" w:eastAsia="Arial" w:hAnsi="Arial"/>
                <w:sz w:val="13"/>
                <w:szCs w:val="13"/>
                <w:color w:val="auto"/>
              </w:rPr>
              <w:t>5.96%</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L+225</w:t>
            </w:r>
          </w:p>
        </w:tc>
        <w:tc>
          <w:tcPr>
            <w:tcW w:w="1020" w:type="dxa"/>
            <w:vAlign w:val="bottom"/>
            <w:gridSpan w:val="3"/>
          </w:tcPr>
          <w:p>
            <w:pPr>
              <w:jc w:val="right"/>
              <w:ind w:right="180"/>
              <w:spacing w:after="0" w:line="138" w:lineRule="exact"/>
              <w:rPr>
                <w:sz w:val="20"/>
                <w:szCs w:val="20"/>
                <w:color w:val="auto"/>
              </w:rPr>
            </w:pPr>
            <w:r>
              <w:rPr>
                <w:rFonts w:ascii="Arial" w:cs="Arial" w:eastAsia="Arial" w:hAnsi="Arial"/>
                <w:sz w:val="13"/>
                <w:szCs w:val="13"/>
                <w:color w:val="auto"/>
              </w:rPr>
              <w:t>3,950,100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3,950,100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2,567,565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Housewares and Durable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Mitchell International,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03/28/2014</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5.81%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L+200</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3,940,000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3,723,300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gridSpan w:val="2"/>
          </w:tcPr>
          <w:p>
            <w:pPr>
              <w:spacing w:after="0" w:line="138" w:lineRule="exact"/>
              <w:rPr>
                <w:sz w:val="20"/>
                <w:szCs w:val="20"/>
                <w:color w:val="auto"/>
              </w:rPr>
            </w:pPr>
            <w:r>
              <w:rPr>
                <w:rFonts w:ascii="Arial" w:cs="Arial" w:eastAsia="Arial" w:hAnsi="Arial"/>
                <w:sz w:val="13"/>
                <w:szCs w:val="13"/>
                <w:color w:val="auto"/>
              </w:rPr>
              <w:t>National Bedding Co., L.L.C.</w:t>
            </w:r>
          </w:p>
        </w:tc>
        <w:tc>
          <w:tcPr>
            <w:tcW w:w="80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5"/>
              </w:rPr>
              <w:t>02/28/2013</w:t>
            </w:r>
          </w:p>
        </w:tc>
        <w:tc>
          <w:tcPr>
            <w:tcW w:w="1740" w:type="dxa"/>
            <w:vAlign w:val="bottom"/>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1100" w:type="dxa"/>
            <w:vAlign w:val="bottom"/>
            <w:gridSpan w:val="3"/>
          </w:tcPr>
          <w:p>
            <w:pPr>
              <w:jc w:val="right"/>
              <w:ind w:right="340"/>
              <w:spacing w:after="0" w:line="138" w:lineRule="exact"/>
              <w:rPr>
                <w:sz w:val="20"/>
                <w:szCs w:val="20"/>
                <w:color w:val="auto"/>
              </w:rPr>
            </w:pPr>
            <w:r>
              <w:rPr>
                <w:rFonts w:ascii="Arial" w:cs="Arial" w:eastAsia="Arial" w:hAnsi="Arial"/>
                <w:sz w:val="13"/>
                <w:szCs w:val="13"/>
                <w:color w:val="auto"/>
              </w:rPr>
              <w:t>4.62%</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L+200</w:t>
            </w:r>
          </w:p>
        </w:tc>
        <w:tc>
          <w:tcPr>
            <w:tcW w:w="1020" w:type="dxa"/>
            <w:vAlign w:val="bottom"/>
            <w:gridSpan w:val="3"/>
          </w:tcPr>
          <w:p>
            <w:pPr>
              <w:jc w:val="right"/>
              <w:ind w:right="180"/>
              <w:spacing w:after="0" w:line="138" w:lineRule="exact"/>
              <w:rPr>
                <w:sz w:val="20"/>
                <w:szCs w:val="20"/>
                <w:color w:val="auto"/>
              </w:rPr>
            </w:pPr>
            <w:r>
              <w:rPr>
                <w:rFonts w:ascii="Arial" w:cs="Arial" w:eastAsia="Arial" w:hAnsi="Arial"/>
                <w:sz w:val="13"/>
                <w:szCs w:val="13"/>
                <w:color w:val="auto"/>
              </w:rPr>
              <w:t>6,895,000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6,900,583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5,274,675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Housewares and Durable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Penton Media,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02/01/2013</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5.07%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L+225</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4,925,000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3,558,313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rPr>
                <w:sz w:val="20"/>
                <w:szCs w:val="20"/>
                <w:color w:val="auto"/>
              </w:rPr>
            </w:pPr>
            <w:r>
              <w:rPr>
                <w:rFonts w:ascii="Arial" w:cs="Arial" w:eastAsia="Arial" w:hAnsi="Arial"/>
                <w:sz w:val="13"/>
                <w:szCs w:val="13"/>
                <w:color w:val="auto"/>
              </w:rPr>
              <w:t>Philosophy, Inc.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03/16/2014</w:t>
            </w: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1100" w:type="dxa"/>
            <w:vAlign w:val="bottom"/>
            <w:gridSpan w:val="3"/>
          </w:tcPr>
          <w:p>
            <w:pPr>
              <w:jc w:val="right"/>
              <w:ind w:right="340"/>
              <w:spacing w:after="0"/>
              <w:rPr>
                <w:sz w:val="20"/>
                <w:szCs w:val="20"/>
                <w:color w:val="auto"/>
              </w:rPr>
            </w:pPr>
            <w:r>
              <w:rPr>
                <w:rFonts w:ascii="Arial" w:cs="Arial" w:eastAsia="Arial" w:hAnsi="Arial"/>
                <w:sz w:val="13"/>
                <w:szCs w:val="13"/>
                <w:color w:val="auto"/>
              </w:rPr>
              <w:t>5.71%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L+200</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1,474,667</w:t>
            </w:r>
          </w:p>
        </w:tc>
        <w:tc>
          <w:tcPr>
            <w:tcW w:w="740" w:type="dxa"/>
            <w:vAlign w:val="bottom"/>
          </w:tcPr>
          <w:p>
            <w:pPr>
              <w:jc w:val="right"/>
              <w:spacing w:after="0"/>
              <w:rPr>
                <w:sz w:val="20"/>
                <w:szCs w:val="20"/>
                <w:color w:val="auto"/>
              </w:rPr>
            </w:pPr>
            <w:r>
              <w:rPr>
                <w:rFonts w:ascii="Arial" w:cs="Arial" w:eastAsia="Arial" w:hAnsi="Arial"/>
                <w:sz w:val="13"/>
                <w:szCs w:val="13"/>
                <w:color w:val="auto"/>
              </w:rPr>
              <w:t>1,474,667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1,194,480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Questex Media Group, Inc.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05/04/2014</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5.81%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L+300</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4,924,167</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4,924,167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rPr>
                <w:sz w:val="20"/>
                <w:szCs w:val="20"/>
                <w:color w:val="auto"/>
              </w:rPr>
            </w:pPr>
            <w:r>
              <w:rPr>
                <w:rFonts w:ascii="Arial" w:cs="Arial" w:eastAsia="Arial" w:hAnsi="Arial"/>
                <w:sz w:val="13"/>
                <w:szCs w:val="13"/>
                <w:color w:val="auto"/>
              </w:rPr>
              <w:t>Reader’s Digest Association, Inc.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03/02/2014</w:t>
            </w:r>
          </w:p>
        </w:tc>
        <w:tc>
          <w:tcPr>
            <w:tcW w:w="1740" w:type="dxa"/>
            <w:vAlign w:val="bottom"/>
          </w:tcPr>
          <w:p>
            <w:pPr>
              <w:jc w:val="center"/>
              <w:spacing w:after="0"/>
              <w:rPr>
                <w:sz w:val="20"/>
                <w:szCs w:val="20"/>
                <w:color w:val="auto"/>
              </w:rPr>
            </w:pPr>
            <w:r>
              <w:rPr>
                <w:rFonts w:ascii="Arial" w:cs="Arial" w:eastAsia="Arial" w:hAnsi="Arial"/>
                <w:sz w:val="13"/>
                <w:szCs w:val="13"/>
                <w:color w:val="auto"/>
                <w:w w:val="96"/>
              </w:rPr>
              <w:t>Printing and Publishing</w:t>
            </w:r>
          </w:p>
        </w:tc>
        <w:tc>
          <w:tcPr>
            <w:tcW w:w="1100" w:type="dxa"/>
            <w:vAlign w:val="bottom"/>
            <w:gridSpan w:val="3"/>
          </w:tcPr>
          <w:p>
            <w:pPr>
              <w:jc w:val="right"/>
              <w:ind w:right="340"/>
              <w:spacing w:after="0"/>
              <w:rPr>
                <w:sz w:val="20"/>
                <w:szCs w:val="20"/>
                <w:color w:val="auto"/>
              </w:rPr>
            </w:pPr>
            <w:r>
              <w:rPr>
                <w:rFonts w:ascii="Arial" w:cs="Arial" w:eastAsia="Arial" w:hAnsi="Arial"/>
                <w:sz w:val="13"/>
                <w:szCs w:val="13"/>
                <w:color w:val="auto"/>
              </w:rPr>
              <w:t>4.71%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L+200</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985,000</w:t>
            </w:r>
          </w:p>
        </w:tc>
        <w:tc>
          <w:tcPr>
            <w:tcW w:w="740" w:type="dxa"/>
            <w:vAlign w:val="bottom"/>
          </w:tcPr>
          <w:p>
            <w:pPr>
              <w:jc w:val="right"/>
              <w:spacing w:after="0"/>
              <w:rPr>
                <w:sz w:val="20"/>
                <w:szCs w:val="20"/>
                <w:color w:val="auto"/>
              </w:rPr>
            </w:pPr>
            <w:r>
              <w:rPr>
                <w:rFonts w:ascii="Arial" w:cs="Arial" w:eastAsia="Arial" w:hAnsi="Arial"/>
                <w:sz w:val="13"/>
                <w:szCs w:val="13"/>
                <w:color w:val="auto"/>
              </w:rPr>
              <w:t>985,000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699,350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Rexnord , L.L.C.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07/19/2013</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Manufacturing/Basic Industry</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5.76%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L+200</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2,917,576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2,917,576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2,625,819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rPr>
                <w:sz w:val="20"/>
                <w:szCs w:val="20"/>
                <w:color w:val="auto"/>
              </w:rPr>
            </w:pPr>
            <w:r>
              <w:rPr>
                <w:rFonts w:ascii="Arial" w:cs="Arial" w:eastAsia="Arial" w:hAnsi="Arial"/>
                <w:sz w:val="13"/>
                <w:szCs w:val="13"/>
                <w:color w:val="auto"/>
              </w:rPr>
              <w:t>Sitel, L.L.C.</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01/30/2014</w:t>
            </w: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100" w:type="dxa"/>
            <w:vAlign w:val="bottom"/>
            <w:gridSpan w:val="3"/>
          </w:tcPr>
          <w:p>
            <w:pPr>
              <w:jc w:val="right"/>
              <w:ind w:right="340"/>
              <w:spacing w:after="0"/>
              <w:rPr>
                <w:sz w:val="20"/>
                <w:szCs w:val="20"/>
                <w:color w:val="auto"/>
              </w:rPr>
            </w:pPr>
            <w:r>
              <w:rPr>
                <w:rFonts w:ascii="Arial" w:cs="Arial" w:eastAsia="Arial" w:hAnsi="Arial"/>
                <w:sz w:val="13"/>
                <w:szCs w:val="13"/>
                <w:color w:val="auto"/>
              </w:rPr>
              <w:t>5.30%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L+250</w:t>
            </w: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2,592,017</w:t>
            </w:r>
          </w:p>
        </w:tc>
        <w:tc>
          <w:tcPr>
            <w:tcW w:w="740" w:type="dxa"/>
            <w:vAlign w:val="bottom"/>
          </w:tcPr>
          <w:p>
            <w:pPr>
              <w:jc w:val="right"/>
              <w:spacing w:after="0"/>
              <w:rPr>
                <w:sz w:val="20"/>
                <w:szCs w:val="20"/>
                <w:color w:val="auto"/>
              </w:rPr>
            </w:pPr>
            <w:r>
              <w:rPr>
                <w:rFonts w:ascii="Arial" w:cs="Arial" w:eastAsia="Arial" w:hAnsi="Arial"/>
                <w:sz w:val="13"/>
                <w:szCs w:val="13"/>
                <w:color w:val="auto"/>
              </w:rPr>
              <w:t>2,592,017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1,892,172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Sitel, L.L.C.</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01/30/2014</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6.50%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P+150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90,311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90,311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106,271,980</w:t>
            </w:r>
          </w:p>
        </w:tc>
        <w:tc>
          <w:tcPr>
            <w:tcW w:w="1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105,222,862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78,844,929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427,481,745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354,261,950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Basis Point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Spread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7"/>
              </w:rPr>
              <w:t>Current</w:t>
            </w: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Above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3980" w:type="dxa"/>
            <w:vAlign w:val="bottom"/>
          </w:tcPr>
          <w:p>
            <w:pPr>
              <w:spacing w:after="0"/>
              <w:rPr>
                <w:sz w:val="15"/>
                <w:szCs w:val="15"/>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36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4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Investments in Non-Controlled, Affiliated Portfolio Companies—8.5%</w:t>
            </w:r>
            <w:r>
              <w:rPr>
                <w:rFonts w:ascii="Arial" w:cs="Arial" w:eastAsia="Arial" w:hAnsi="Arial"/>
                <w:sz w:val="19"/>
                <w:szCs w:val="19"/>
                <w:b w:val="1"/>
                <w:bCs w:val="1"/>
                <w:color w:val="auto"/>
                <w:vertAlign w:val="superscript"/>
              </w:rPr>
              <w:t>(2)</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Notes—2.1%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Performance Holdings, Inc.</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07/02/2014</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Leisure, Amusement,</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0"/>
                <w:szCs w:val="10"/>
                <w:color w:val="auto"/>
              </w:rPr>
              <w:t>14.25</w:t>
            </w:r>
            <w:r>
              <w:rPr>
                <w:rFonts w:ascii="Arial" w:cs="Arial" w:eastAsia="Arial" w:hAnsi="Arial"/>
                <w:sz w:val="17"/>
                <w:szCs w:val="17"/>
                <w:color w:val="auto"/>
                <w:vertAlign w:val="subscript"/>
              </w:rPr>
              <w:t>%</w:t>
            </w:r>
            <w:r>
              <w:rPr>
                <w:rFonts w:ascii="Arial" w:cs="Arial" w:eastAsia="Arial" w:hAnsi="Arial"/>
                <w:sz w:val="15"/>
                <w:szCs w:val="15"/>
                <w:color w:val="auto"/>
                <w:vertAlign w:val="superscript"/>
              </w:rPr>
              <w:t>(6)</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4,414,356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4,192,261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4,414,356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60" w:type="dxa"/>
            <w:vAlign w:val="bottom"/>
            <w:shd w:val="clear" w:color="auto" w:fill="CCEEFF"/>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Motion Pictures,</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9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74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Debt—4.0%</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47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Inc.</w:t>
            </w:r>
          </w:p>
        </w:tc>
        <w:tc>
          <w:tcPr>
            <w:tcW w:w="8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07/02/2013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94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8.55%</w:t>
            </w:r>
          </w:p>
        </w:tc>
        <w:tc>
          <w:tcPr>
            <w:tcW w:w="7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L+575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8,750,000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8,347,500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Motion Pictures,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9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7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Shares</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4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Common Equity/Partnership Interest</w:t>
            </w:r>
            <w:r>
              <w:rPr>
                <w:rFonts w:ascii="Arial" w:cs="Arial" w:eastAsia="Arial" w:hAnsi="Arial"/>
                <w:sz w:val="19"/>
                <w:szCs w:val="19"/>
                <w:b w:val="1"/>
                <w:bCs w:val="1"/>
                <w:color w:val="auto"/>
                <w:vertAlign w:val="superscript"/>
              </w:rPr>
              <w:t>(7)</w:t>
            </w:r>
            <w:r>
              <w:rPr>
                <w:rFonts w:ascii="Arial" w:cs="Arial" w:eastAsia="Arial" w:hAnsi="Arial"/>
                <w:sz w:val="12"/>
                <w:szCs w:val="12"/>
                <w:b w:val="1"/>
                <w:bCs w:val="1"/>
                <w:color w:val="auto"/>
              </w:rPr>
              <w:t>—2.4%</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740" w:type="dxa"/>
            <w:vAlign w:val="bottom"/>
            <w:gridSpan w:val="2"/>
          </w:tcPr>
          <w:p>
            <w:pPr>
              <w:spacing w:after="0" w:line="138" w:lineRule="exact"/>
              <w:rPr>
                <w:sz w:val="20"/>
                <w:szCs w:val="20"/>
                <w:color w:val="auto"/>
              </w:rPr>
            </w:pPr>
            <w:r>
              <w:rPr>
                <w:rFonts w:ascii="Arial" w:cs="Arial" w:eastAsia="Arial" w:hAnsi="Arial"/>
                <w:sz w:val="13"/>
                <w:szCs w:val="13"/>
                <w:color w:val="auto"/>
              </w:rPr>
              <w:t>NCP-Performance (Performance Holdings, Inc.)</w:t>
            </w:r>
          </w:p>
        </w:tc>
        <w:tc>
          <w:tcPr>
            <w:tcW w:w="880" w:type="dxa"/>
            <w:vAlign w:val="bottom"/>
            <w:gridSpan w:val="2"/>
          </w:tcPr>
          <w:p>
            <w:pPr>
              <w:ind w:left="580"/>
              <w:spacing w:after="0" w:line="138" w:lineRule="exact"/>
              <w:rPr>
                <w:sz w:val="20"/>
                <w:szCs w:val="20"/>
                <w:color w:val="auto"/>
              </w:rPr>
            </w:pPr>
            <w:r>
              <w:rPr>
                <w:rFonts w:ascii="Arial" w:cs="Arial" w:eastAsia="Arial" w:hAnsi="Arial"/>
                <w:sz w:val="13"/>
                <w:szCs w:val="13"/>
                <w:color w:val="auto"/>
              </w:rPr>
              <w:t>—</w:t>
            </w: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100" w:type="dxa"/>
            <w:vAlign w:val="bottom"/>
          </w:tcPr>
          <w:p>
            <w:pPr>
              <w:spacing w:after="0"/>
              <w:rPr>
                <w:sz w:val="11"/>
                <w:szCs w:val="11"/>
                <w:color w:val="auto"/>
              </w:rPr>
            </w:pPr>
          </w:p>
        </w:tc>
        <w:tc>
          <w:tcPr>
            <w:tcW w:w="840" w:type="dxa"/>
            <w:vAlign w:val="bottom"/>
            <w:gridSpan w:val="2"/>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37,500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3,750,000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5,124,014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6"/>
              </w:rPr>
              <w:t>Motion Pictures,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3"/>
              </w:rPr>
              <w:t>Entertainment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16,692,261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17,885,870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rPr>
                <w:sz w:val="20"/>
                <w:szCs w:val="20"/>
                <w:color w:val="auto"/>
              </w:rPr>
            </w:pPr>
            <w:r>
              <w:rPr>
                <w:rFonts w:ascii="Arial" w:cs="Arial" w:eastAsia="Arial" w:hAnsi="Arial"/>
                <w:sz w:val="13"/>
                <w:szCs w:val="13"/>
                <w:color w:val="auto"/>
              </w:rPr>
              <w:t>Total Investments—176.6%</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444,174,006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w w:val="96"/>
              </w:rPr>
              <w:t>372,147,820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Par</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Equivalents—19.1%</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rPr>
                <w:sz w:val="20"/>
                <w:szCs w:val="20"/>
                <w:color w:val="auto"/>
              </w:rPr>
            </w:pPr>
            <w:r>
              <w:rPr>
                <w:rFonts w:ascii="Arial" w:cs="Arial" w:eastAsia="Arial" w:hAnsi="Arial"/>
                <w:sz w:val="13"/>
                <w:szCs w:val="13"/>
                <w:color w:val="auto"/>
              </w:rPr>
              <w:t>Money Market—Mutual Funds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40,249,201</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40,249,201</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40,249,201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Cash Equivalents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40,249,201</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40,249,201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40,249,201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rPr>
                <w:sz w:val="20"/>
                <w:szCs w:val="20"/>
                <w:color w:val="auto"/>
              </w:rPr>
            </w:pPr>
            <w:r>
              <w:rPr>
                <w:rFonts w:ascii="Arial" w:cs="Arial" w:eastAsia="Arial" w:hAnsi="Arial"/>
                <w:sz w:val="13"/>
                <w:szCs w:val="13"/>
                <w:b w:val="1"/>
                <w:bCs w:val="1"/>
                <w:color w:val="auto"/>
              </w:rPr>
              <w:t>Total Investments and Cash Equivalents—195.7%</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484,423,207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w w:val="96"/>
              </w:rPr>
              <w:t>412,397,021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4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Liabilities in Excess of Other Assets—(95.7%)</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u w:val="single" w:color="auto"/>
                <w:color w:val="auto"/>
                <w:w w:val="82"/>
              </w:rPr>
              <w:t>$</w:t>
            </w:r>
          </w:p>
        </w:tc>
        <w:tc>
          <w:tcPr>
            <w:tcW w:w="7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w w:val="93"/>
              </w:rPr>
              <w:t>(201,668,761)</w:t>
            </w:r>
          </w:p>
        </w:tc>
        <w:tc>
          <w:tcPr>
            <w:tcW w:w="0" w:type="dxa"/>
            <w:vAlign w:val="bottom"/>
          </w:tcPr>
          <w:p>
            <w:pPr>
              <w:spacing w:after="0"/>
              <w:rPr>
                <w:sz w:val="1"/>
                <w:szCs w:val="1"/>
                <w:color w:val="auto"/>
              </w:rPr>
            </w:pPr>
          </w:p>
        </w:tc>
      </w:tr>
      <w:tr>
        <w:trPr>
          <w:trHeight w:val="155"/>
        </w:trPr>
        <w:tc>
          <w:tcPr>
            <w:tcW w:w="4740" w:type="dxa"/>
            <w:vAlign w:val="bottom"/>
            <w:gridSpan w:val="2"/>
          </w:tcPr>
          <w:p>
            <w:pPr>
              <w:spacing w:after="0"/>
              <w:rPr>
                <w:sz w:val="20"/>
                <w:szCs w:val="20"/>
                <w:color w:val="auto"/>
              </w:rPr>
            </w:pPr>
            <w:r>
              <w:rPr>
                <w:rFonts w:ascii="Arial" w:cs="Arial" w:eastAsia="Arial" w:hAnsi="Arial"/>
                <w:sz w:val="13"/>
                <w:szCs w:val="13"/>
                <w:b w:val="1"/>
                <w:bCs w:val="1"/>
                <w:color w:val="auto"/>
              </w:rPr>
              <w:t>Net Assets—100.0%</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210,728,260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right="140" w:hanging="332"/>
        <w:spacing w:after="0" w:line="248"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Investment Company Act of 1940 (the “1940 Act”) “non-controlled” means we own less than 25% of a portfolio company’s voting securities.</w:t>
      </w:r>
    </w:p>
    <w:p>
      <w:pPr>
        <w:ind w:left="340" w:right="80" w:hanging="332"/>
        <w:spacing w:after="0" w:line="238"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financial statements).</w:t>
      </w:r>
    </w:p>
    <w:p>
      <w:pPr>
        <w:ind w:left="340" w:right="240" w:hanging="332"/>
        <w:spacing w:after="0" w:line="238"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 Rate (LIBOR or “L”) or Prime Rate (Prime or “P”).</w:t>
      </w:r>
    </w:p>
    <w:p>
      <w:pPr>
        <w:ind w:left="340" w:right="120" w:hanging="332"/>
        <w:spacing w:after="0" w:line="238"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Coupon payable in cash and/or payment-in-kind (“PIK”).</w:t>
      </w: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Non-income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7"/>
              </w:rPr>
              <w:t>Basis Point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Spread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7"/>
              </w:rPr>
              <w:t>Current</w:t>
            </w:r>
          </w:p>
        </w:tc>
        <w:tc>
          <w:tcPr>
            <w:tcW w:w="20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Above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19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5"/>
                <w:szCs w:val="15"/>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Coupon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Par</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Investments in Non-Controlled, Non-</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80" w:type="dxa"/>
            <w:vAlign w:val="bottom"/>
            <w:gridSpan w:val="2"/>
            <w:shd w:val="clear" w:color="auto" w:fill="CCEEFF"/>
          </w:tcPr>
          <w:p>
            <w:pPr>
              <w:ind w:left="220"/>
              <w:spacing w:after="0" w:line="144" w:lineRule="exact"/>
              <w:rPr>
                <w:sz w:val="20"/>
                <w:szCs w:val="20"/>
                <w:color w:val="auto"/>
              </w:rPr>
            </w:pPr>
            <w:r>
              <w:rPr>
                <w:rFonts w:ascii="Arial" w:cs="Arial" w:eastAsia="Arial" w:hAnsi="Arial"/>
                <w:sz w:val="13"/>
                <w:szCs w:val="13"/>
                <w:b w:val="1"/>
                <w:bCs w:val="1"/>
                <w:color w:val="auto"/>
              </w:rPr>
              <w:t>Affiliated Portfolio Companies—101.6%</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b w:val="1"/>
                <w:bCs w:val="1"/>
                <w:color w:val="auto"/>
              </w:rPr>
              <w:t>(1)</w:t>
            </w:r>
          </w:p>
        </w:tc>
        <w:tc>
          <w:tcPr>
            <w:tcW w:w="19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3"/>
                <w:szCs w:val="13"/>
                <w:b w:val="1"/>
                <w:bCs w:val="1"/>
                <w:color w:val="auto"/>
                <w:w w:val="97"/>
              </w:rPr>
              <w:t>Subordinated Debt/Corporate Notes—19.8%</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Advanstar, Inc.</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11/30/2015</w:t>
            </w:r>
          </w:p>
        </w:tc>
        <w:tc>
          <w:tcPr>
            <w:tcW w:w="4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860" w:type="dxa"/>
            <w:vAlign w:val="bottom"/>
            <w:gridSpan w:val="4"/>
            <w:shd w:val="clear" w:color="auto" w:fill="CCEEFF"/>
          </w:tcPr>
          <w:p>
            <w:pPr>
              <w:jc w:val="right"/>
              <w:ind w:right="24"/>
              <w:spacing w:after="0" w:line="176" w:lineRule="exact"/>
              <w:rPr>
                <w:sz w:val="20"/>
                <w:szCs w:val="20"/>
                <w:color w:val="auto"/>
              </w:rPr>
            </w:pPr>
            <w:r>
              <w:rPr>
                <w:rFonts w:ascii="Arial" w:cs="Arial" w:eastAsia="Arial" w:hAnsi="Arial"/>
                <w:sz w:val="11"/>
                <w:szCs w:val="11"/>
                <w:color w:val="auto"/>
              </w:rPr>
              <w:t>12.20</w:t>
            </w:r>
            <w:r>
              <w:rPr>
                <w:rFonts w:ascii="Arial" w:cs="Arial" w:eastAsia="Arial" w:hAnsi="Arial"/>
                <w:sz w:val="20"/>
                <w:szCs w:val="20"/>
                <w:color w:val="auto"/>
                <w:vertAlign w:val="subscript"/>
              </w:rPr>
              <w:t>%</w:t>
            </w:r>
            <w:r>
              <w:rPr>
                <w:rFonts w:ascii="Arial" w:cs="Arial" w:eastAsia="Arial" w:hAnsi="Arial"/>
                <w:sz w:val="17"/>
                <w:szCs w:val="17"/>
                <w:color w:val="auto"/>
                <w:vertAlign w:val="superscript"/>
              </w:rPr>
              <w:t>(7)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L+700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14,580,690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$14,580,690</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$14,580,690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80" w:type="dxa"/>
            <w:vAlign w:val="bottom"/>
            <w:gridSpan w:val="2"/>
          </w:tcPr>
          <w:p>
            <w:pPr>
              <w:spacing w:after="0" w:line="122" w:lineRule="exact"/>
              <w:rPr>
                <w:sz w:val="20"/>
                <w:szCs w:val="20"/>
                <w:color w:val="auto"/>
              </w:rPr>
            </w:pPr>
            <w:r>
              <w:rPr>
                <w:rFonts w:ascii="Arial" w:cs="Arial" w:eastAsia="Arial" w:hAnsi="Arial"/>
                <w:sz w:val="13"/>
                <w:szCs w:val="13"/>
                <w:color w:val="auto"/>
              </w:rPr>
              <w:t>Affinion Group Holdings, Inc.</w:t>
            </w:r>
          </w:p>
        </w:tc>
        <w:tc>
          <w:tcPr>
            <w:tcW w:w="680" w:type="dxa"/>
            <w:vAlign w:val="bottom"/>
            <w:gridSpan w:val="2"/>
          </w:tcPr>
          <w:p>
            <w:pPr>
              <w:jc w:val="center"/>
              <w:ind w:right="60"/>
              <w:spacing w:after="0" w:line="122" w:lineRule="exact"/>
              <w:rPr>
                <w:sz w:val="20"/>
                <w:szCs w:val="20"/>
                <w:color w:val="auto"/>
              </w:rPr>
            </w:pPr>
            <w:r>
              <w:rPr>
                <w:rFonts w:ascii="Arial" w:cs="Arial" w:eastAsia="Arial" w:hAnsi="Arial"/>
                <w:sz w:val="13"/>
                <w:szCs w:val="13"/>
                <w:color w:val="auto"/>
                <w:w w:val="95"/>
              </w:rPr>
              <w:t>03/01/2012</w:t>
            </w:r>
          </w:p>
        </w:tc>
        <w:tc>
          <w:tcPr>
            <w:tcW w:w="4140" w:type="dxa"/>
            <w:vAlign w:val="bottom"/>
          </w:tcPr>
          <w:p>
            <w:pPr>
              <w:jc w:val="center"/>
              <w:spacing w:after="0" w:line="122" w:lineRule="exact"/>
              <w:rPr>
                <w:sz w:val="20"/>
                <w:szCs w:val="20"/>
                <w:color w:val="auto"/>
              </w:rPr>
            </w:pPr>
            <w:r>
              <w:rPr>
                <w:rFonts w:ascii="Arial" w:cs="Arial" w:eastAsia="Arial" w:hAnsi="Arial"/>
                <w:sz w:val="13"/>
                <w:szCs w:val="13"/>
                <w:color w:val="auto"/>
                <w:w w:val="92"/>
              </w:rPr>
              <w:t>Consumer Products</w:t>
            </w:r>
          </w:p>
        </w:tc>
        <w:tc>
          <w:tcPr>
            <w:tcW w:w="660" w:type="dxa"/>
            <w:vAlign w:val="bottom"/>
            <w:gridSpan w:val="3"/>
          </w:tcPr>
          <w:p>
            <w:pPr>
              <w:jc w:val="right"/>
              <w:ind w:right="120"/>
              <w:spacing w:after="0" w:line="122" w:lineRule="exact"/>
              <w:rPr>
                <w:sz w:val="20"/>
                <w:szCs w:val="20"/>
                <w:color w:val="auto"/>
              </w:rPr>
            </w:pPr>
            <w:r>
              <w:rPr>
                <w:rFonts w:ascii="Arial" w:cs="Arial" w:eastAsia="Arial" w:hAnsi="Arial"/>
                <w:sz w:val="13"/>
                <w:szCs w:val="13"/>
                <w:color w:val="auto"/>
              </w:rPr>
              <w:t>11.68</w:t>
            </w:r>
          </w:p>
        </w:tc>
        <w:tc>
          <w:tcPr>
            <w:tcW w:w="200" w:type="dxa"/>
            <w:vAlign w:val="bottom"/>
          </w:tcPr>
          <w:p>
            <w:pPr>
              <w:jc w:val="right"/>
              <w:ind w:right="24"/>
              <w:spacing w:after="0" w:line="122" w:lineRule="exact"/>
              <w:rPr>
                <w:sz w:val="20"/>
                <w:szCs w:val="20"/>
                <w:color w:val="auto"/>
              </w:rPr>
            </w:pPr>
            <w:r>
              <w:rPr>
                <w:rFonts w:ascii="Arial" w:cs="Arial" w:eastAsia="Arial" w:hAnsi="Arial"/>
                <w:sz w:val="11"/>
                <w:szCs w:val="11"/>
                <w:color w:val="auto"/>
                <w:w w:val="74"/>
              </w:rPr>
              <w:t>(7)</w:t>
            </w: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3"/>
                <w:szCs w:val="13"/>
                <w:color w:val="auto"/>
              </w:rPr>
              <w:t>L+625</w:t>
            </w:r>
          </w:p>
        </w:tc>
        <w:tc>
          <w:tcPr>
            <w:tcW w:w="6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Arial" w:cs="Arial" w:eastAsia="Arial" w:hAnsi="Arial"/>
                <w:sz w:val="13"/>
                <w:szCs w:val="13"/>
                <w:color w:val="auto"/>
                <w:w w:val="92"/>
              </w:rPr>
              <w:t>18,500,000</w:t>
            </w:r>
          </w:p>
        </w:tc>
        <w:tc>
          <w:tcPr>
            <w:tcW w:w="720" w:type="dxa"/>
            <w:vAlign w:val="bottom"/>
            <w:gridSpan w:val="2"/>
          </w:tcPr>
          <w:p>
            <w:pPr>
              <w:jc w:val="right"/>
              <w:spacing w:after="0" w:line="122" w:lineRule="exact"/>
              <w:rPr>
                <w:sz w:val="20"/>
                <w:szCs w:val="20"/>
                <w:color w:val="auto"/>
              </w:rPr>
            </w:pPr>
            <w:r>
              <w:rPr>
                <w:rFonts w:ascii="Arial" w:cs="Arial" w:eastAsia="Arial" w:hAnsi="Arial"/>
                <w:sz w:val="13"/>
                <w:szCs w:val="13"/>
                <w:color w:val="auto"/>
              </w:rPr>
              <w:t>18,106,103</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17,760,000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140" w:type="dxa"/>
            <w:vAlign w:val="bottom"/>
          </w:tcPr>
          <w:p>
            <w:pPr>
              <w:spacing w:after="0"/>
              <w:rPr>
                <w:sz w:val="4"/>
                <w:szCs w:val="4"/>
                <w:color w:val="auto"/>
              </w:rPr>
            </w:pPr>
          </w:p>
        </w:tc>
        <w:tc>
          <w:tcPr>
            <w:tcW w:w="660" w:type="dxa"/>
            <w:vAlign w:val="bottom"/>
            <w:gridSpan w:val="3"/>
          </w:tcPr>
          <w:p>
            <w:pPr>
              <w:jc w:val="right"/>
              <w:spacing w:after="0" w:line="54" w:lineRule="exact"/>
              <w:rPr>
                <w:sz w:val="20"/>
                <w:szCs w:val="20"/>
                <w:color w:val="auto"/>
              </w:rPr>
            </w:pPr>
            <w:r>
              <w:rPr>
                <w:rFonts w:ascii="Arial" w:cs="Arial" w:eastAsia="Arial" w:hAnsi="Arial"/>
                <w:sz w:val="6"/>
                <w:szCs w:val="6"/>
                <w:color w:val="auto"/>
              </w:rPr>
              <w:t>%</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Realogy, Corp.</w:t>
            </w:r>
            <w:r>
              <w:rPr>
                <w:rFonts w:ascii="Arial" w:cs="Arial" w:eastAsia="Arial" w:hAnsi="Arial"/>
                <w:sz w:val="20"/>
                <w:szCs w:val="20"/>
                <w:color w:val="auto"/>
                <w:vertAlign w:val="superscript"/>
              </w:rPr>
              <w:t>(6)</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5"/>
              </w:rPr>
              <w:t>04/15/2015</w:t>
            </w:r>
          </w:p>
        </w:tc>
        <w:tc>
          <w:tcPr>
            <w:tcW w:w="4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Buildings and Real Estate</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28,000,000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26,117,780</w:t>
            </w:r>
          </w:p>
        </w:tc>
        <w:tc>
          <w:tcPr>
            <w:tcW w:w="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21,140,000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8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61,080,690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58,804,573</w:t>
            </w:r>
          </w:p>
        </w:tc>
        <w:tc>
          <w:tcPr>
            <w:tcW w:w="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53,480,690</w:t>
            </w: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Debt—21.8%</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rPr>
                <w:sz w:val="20"/>
                <w:szCs w:val="20"/>
                <w:color w:val="auto"/>
              </w:rPr>
            </w:pPr>
            <w:r>
              <w:rPr>
                <w:rFonts w:ascii="Arial" w:cs="Arial" w:eastAsia="Arial" w:hAnsi="Arial"/>
                <w:sz w:val="13"/>
                <w:szCs w:val="13"/>
                <w:color w:val="auto"/>
              </w:rPr>
              <w:t>Questex Media Group, Inc.</w:t>
            </w:r>
          </w:p>
        </w:tc>
        <w:tc>
          <w:tcPr>
            <w:tcW w:w="6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11/04/2014</w:t>
            </w:r>
          </w:p>
        </w:tc>
        <w:tc>
          <w:tcPr>
            <w:tcW w:w="414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12.08%</w:t>
            </w: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L+650</w:t>
            </w: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10,000,000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10,000,000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68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Saint Acquisition Corp.</w:t>
            </w:r>
            <w:r>
              <w:rPr>
                <w:rFonts w:ascii="Arial" w:cs="Arial" w:eastAsia="Arial" w:hAnsi="Arial"/>
                <w:sz w:val="20"/>
                <w:szCs w:val="20"/>
                <w:color w:val="auto"/>
                <w:vertAlign w:val="superscript"/>
              </w:rPr>
              <w:t>(6)</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5"/>
              </w:rPr>
              <w:t>05/15/2015</w:t>
            </w:r>
          </w:p>
        </w:tc>
        <w:tc>
          <w:tcPr>
            <w:tcW w:w="4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Transportation</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13.31%</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L+775</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10,000,000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9,932,321</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gridSpan w:val="2"/>
          </w:tcPr>
          <w:p>
            <w:pPr>
              <w:spacing w:after="0" w:line="176" w:lineRule="exact"/>
              <w:rPr>
                <w:sz w:val="20"/>
                <w:szCs w:val="20"/>
                <w:color w:val="auto"/>
              </w:rPr>
            </w:pPr>
            <w:r>
              <w:rPr>
                <w:rFonts w:ascii="Arial" w:cs="Arial" w:eastAsia="Arial" w:hAnsi="Arial"/>
                <w:sz w:val="12"/>
                <w:szCs w:val="12"/>
                <w:color w:val="auto"/>
              </w:rPr>
              <w:t>Saint Acquisition Corp.</w:t>
            </w:r>
            <w:r>
              <w:rPr>
                <w:rFonts w:ascii="Arial" w:cs="Arial" w:eastAsia="Arial" w:hAnsi="Arial"/>
                <w:sz w:val="20"/>
                <w:szCs w:val="20"/>
                <w:color w:val="auto"/>
                <w:vertAlign w:val="superscript"/>
              </w:rPr>
              <w:t>(6)</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05/15/2017</w:t>
            </w:r>
          </w:p>
        </w:tc>
        <w:tc>
          <w:tcPr>
            <w:tcW w:w="4140" w:type="dxa"/>
            <w:vAlign w:val="bottom"/>
          </w:tcPr>
          <w:p>
            <w:pPr>
              <w:jc w:val="center"/>
              <w:spacing w:after="0"/>
              <w:rPr>
                <w:sz w:val="20"/>
                <w:szCs w:val="20"/>
                <w:color w:val="auto"/>
              </w:rPr>
            </w:pPr>
            <w:r>
              <w:rPr>
                <w:rFonts w:ascii="Arial" w:cs="Arial" w:eastAsia="Arial" w:hAnsi="Arial"/>
                <w:sz w:val="13"/>
                <w:szCs w:val="13"/>
                <w:color w:val="auto"/>
                <w:w w:val="95"/>
              </w:rPr>
              <w:t>Transportation</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12.50%</w:t>
            </w:r>
          </w:p>
        </w:tc>
        <w:tc>
          <w:tcPr>
            <w:tcW w:w="20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19,000,000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16,198,167</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12,730,000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Specialized Technology Resources, Inc.</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5"/>
              </w:rPr>
              <w:t>12/15/2014</w:t>
            </w:r>
          </w:p>
        </w:tc>
        <w:tc>
          <w:tcPr>
            <w:tcW w:w="4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 Plastics and Rubber</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12.13%</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L+700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17,500,000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17,493,750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80" w:type="dxa"/>
            <w:vAlign w:val="bottom"/>
            <w:gridSpan w:val="2"/>
          </w:tcPr>
          <w:p>
            <w:pPr>
              <w:spacing w:after="0" w:line="122" w:lineRule="exact"/>
              <w:rPr>
                <w:sz w:val="20"/>
                <w:szCs w:val="20"/>
                <w:color w:val="auto"/>
              </w:rPr>
            </w:pPr>
            <w:r>
              <w:rPr>
                <w:rFonts w:ascii="Arial" w:cs="Arial" w:eastAsia="Arial" w:hAnsi="Arial"/>
                <w:sz w:val="13"/>
                <w:szCs w:val="13"/>
                <w:color w:val="auto"/>
              </w:rPr>
              <w:t>TransFirst Holdings, Inc.</w:t>
            </w:r>
          </w:p>
        </w:tc>
        <w:tc>
          <w:tcPr>
            <w:tcW w:w="680" w:type="dxa"/>
            <w:vAlign w:val="bottom"/>
            <w:gridSpan w:val="2"/>
          </w:tcPr>
          <w:p>
            <w:pPr>
              <w:jc w:val="center"/>
              <w:ind w:right="60"/>
              <w:spacing w:after="0" w:line="122" w:lineRule="exact"/>
              <w:rPr>
                <w:sz w:val="20"/>
                <w:szCs w:val="20"/>
                <w:color w:val="auto"/>
              </w:rPr>
            </w:pPr>
            <w:r>
              <w:rPr>
                <w:rFonts w:ascii="Arial" w:cs="Arial" w:eastAsia="Arial" w:hAnsi="Arial"/>
                <w:sz w:val="13"/>
                <w:szCs w:val="13"/>
                <w:color w:val="auto"/>
                <w:w w:val="95"/>
              </w:rPr>
              <w:t>06/15/2015</w:t>
            </w:r>
          </w:p>
        </w:tc>
        <w:tc>
          <w:tcPr>
            <w:tcW w:w="4140" w:type="dxa"/>
            <w:vAlign w:val="bottom"/>
          </w:tcPr>
          <w:p>
            <w:pPr>
              <w:jc w:val="center"/>
              <w:spacing w:after="0" w:line="122" w:lineRule="exact"/>
              <w:rPr>
                <w:sz w:val="20"/>
                <w:szCs w:val="20"/>
                <w:color w:val="auto"/>
              </w:rPr>
            </w:pPr>
            <w:r>
              <w:rPr>
                <w:rFonts w:ascii="Arial" w:cs="Arial" w:eastAsia="Arial" w:hAnsi="Arial"/>
                <w:sz w:val="13"/>
                <w:szCs w:val="13"/>
                <w:color w:val="auto"/>
                <w:w w:val="92"/>
              </w:rPr>
              <w:t>Business Services</w:t>
            </w:r>
          </w:p>
        </w:tc>
        <w:tc>
          <w:tcPr>
            <w:tcW w:w="660" w:type="dxa"/>
            <w:vAlign w:val="bottom"/>
            <w:gridSpan w:val="3"/>
          </w:tcPr>
          <w:p>
            <w:pPr>
              <w:jc w:val="right"/>
              <w:ind w:right="120"/>
              <w:spacing w:after="0" w:line="122" w:lineRule="exact"/>
              <w:rPr>
                <w:sz w:val="20"/>
                <w:szCs w:val="20"/>
                <w:color w:val="auto"/>
              </w:rPr>
            </w:pPr>
            <w:r>
              <w:rPr>
                <w:rFonts w:ascii="Arial" w:cs="Arial" w:eastAsia="Arial" w:hAnsi="Arial"/>
                <w:sz w:val="13"/>
                <w:szCs w:val="13"/>
                <w:color w:val="auto"/>
              </w:rPr>
              <w:t>11.30</w:t>
            </w:r>
          </w:p>
        </w:tc>
        <w:tc>
          <w:tcPr>
            <w:tcW w:w="200" w:type="dxa"/>
            <w:vAlign w:val="bottom"/>
          </w:tcPr>
          <w:p>
            <w:pPr>
              <w:jc w:val="right"/>
              <w:ind w:right="24"/>
              <w:spacing w:after="0" w:line="122" w:lineRule="exact"/>
              <w:rPr>
                <w:sz w:val="20"/>
                <w:szCs w:val="20"/>
                <w:color w:val="auto"/>
              </w:rPr>
            </w:pPr>
            <w:r>
              <w:rPr>
                <w:rFonts w:ascii="Arial" w:cs="Arial" w:eastAsia="Arial" w:hAnsi="Arial"/>
                <w:sz w:val="11"/>
                <w:szCs w:val="11"/>
                <w:color w:val="auto"/>
                <w:w w:val="74"/>
              </w:rPr>
              <w:t>(7)</w:t>
            </w: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3"/>
                <w:szCs w:val="13"/>
                <w:color w:val="auto"/>
              </w:rPr>
              <w:t>L+600</w:t>
            </w:r>
          </w:p>
        </w:tc>
        <w:tc>
          <w:tcPr>
            <w:tcW w:w="6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Arial" w:cs="Arial" w:eastAsia="Arial" w:hAnsi="Arial"/>
                <w:sz w:val="13"/>
                <w:szCs w:val="13"/>
                <w:color w:val="auto"/>
                <w:w w:val="92"/>
              </w:rPr>
              <w:t>13,000,000</w:t>
            </w:r>
          </w:p>
        </w:tc>
        <w:tc>
          <w:tcPr>
            <w:tcW w:w="720" w:type="dxa"/>
            <w:vAlign w:val="bottom"/>
            <w:gridSpan w:val="2"/>
          </w:tcPr>
          <w:p>
            <w:pPr>
              <w:jc w:val="right"/>
              <w:spacing w:after="0" w:line="122" w:lineRule="exact"/>
              <w:rPr>
                <w:sz w:val="20"/>
                <w:szCs w:val="20"/>
                <w:color w:val="auto"/>
              </w:rPr>
            </w:pPr>
            <w:r>
              <w:rPr>
                <w:rFonts w:ascii="Arial" w:cs="Arial" w:eastAsia="Arial" w:hAnsi="Arial"/>
                <w:sz w:val="13"/>
                <w:szCs w:val="13"/>
                <w:color w:val="auto"/>
              </w:rPr>
              <w:t>12,886,250</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12,431,250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7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140" w:type="dxa"/>
            <w:vAlign w:val="bottom"/>
          </w:tcPr>
          <w:p>
            <w:pPr>
              <w:spacing w:after="0"/>
              <w:rPr>
                <w:sz w:val="5"/>
                <w:szCs w:val="5"/>
                <w:color w:val="auto"/>
              </w:rPr>
            </w:pPr>
          </w:p>
        </w:tc>
        <w:tc>
          <w:tcPr>
            <w:tcW w:w="660" w:type="dxa"/>
            <w:vAlign w:val="bottom"/>
            <w:gridSpan w:val="3"/>
          </w:tcPr>
          <w:p>
            <w:pPr>
              <w:jc w:val="right"/>
              <w:spacing w:after="0" w:line="54" w:lineRule="exact"/>
              <w:rPr>
                <w:sz w:val="20"/>
                <w:szCs w:val="20"/>
                <w:color w:val="auto"/>
              </w:rPr>
            </w:pPr>
            <w:r>
              <w:rPr>
                <w:rFonts w:ascii="Arial" w:cs="Arial" w:eastAsia="Arial" w:hAnsi="Arial"/>
                <w:sz w:val="6"/>
                <w:szCs w:val="6"/>
                <w:color w:val="auto"/>
              </w:rPr>
              <w:t>%</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69,500,000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66,510,488</w:t>
            </w:r>
          </w:p>
        </w:tc>
        <w:tc>
          <w:tcPr>
            <w:tcW w:w="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58,998,750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Shares</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80" w:type="dxa"/>
            <w:vAlign w:val="bottom"/>
            <w:gridSpan w:val="2"/>
            <w:shd w:val="clear" w:color="auto" w:fill="CCEEFF"/>
          </w:tcPr>
          <w:p>
            <w:pPr>
              <w:spacing w:after="0" w:line="157"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8"/>
                <w:szCs w:val="18"/>
                <w:b w:val="1"/>
                <w:bCs w:val="1"/>
                <w:color w:val="auto"/>
                <w:vertAlign w:val="superscript"/>
              </w:rPr>
              <w:t>(8)</w:t>
            </w:r>
            <w:r>
              <w:rPr>
                <w:rFonts w:ascii="Arial" w:cs="Arial" w:eastAsia="Arial" w:hAnsi="Arial"/>
                <w:sz w:val="11"/>
                <w:szCs w:val="11"/>
                <w:b w:val="1"/>
                <w:bCs w:val="1"/>
                <w:color w:val="auto"/>
              </w:rPr>
              <w:t>—</w:t>
            </w: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6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1.2%</w:t>
            </w:r>
          </w:p>
        </w:tc>
        <w:tc>
          <w:tcPr>
            <w:tcW w:w="1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rPr>
                <w:sz w:val="20"/>
                <w:szCs w:val="20"/>
                <w:color w:val="auto"/>
              </w:rPr>
            </w:pPr>
            <w:r>
              <w:rPr>
                <w:rFonts w:ascii="Arial" w:cs="Arial" w:eastAsia="Arial" w:hAnsi="Arial"/>
                <w:sz w:val="13"/>
                <w:szCs w:val="13"/>
                <w:color w:val="auto"/>
              </w:rPr>
              <w:t>AHC Mezzanine (Advanstar Inc.)</w:t>
            </w:r>
          </w:p>
        </w:tc>
        <w:tc>
          <w:tcPr>
            <w:tcW w:w="6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14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6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Par</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8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First Lien Secured Debt—58.8%</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rPr>
                <w:sz w:val="20"/>
                <w:szCs w:val="20"/>
                <w:color w:val="auto"/>
              </w:rPr>
            </w:pPr>
            <w:r>
              <w:rPr>
                <w:rFonts w:ascii="Arial" w:cs="Arial" w:eastAsia="Arial" w:hAnsi="Arial"/>
                <w:sz w:val="13"/>
                <w:szCs w:val="13"/>
                <w:color w:val="auto"/>
              </w:rPr>
              <w:t>Berry Plastics Group, Inc.</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04/03/2015</w:t>
            </w:r>
          </w:p>
        </w:tc>
        <w:tc>
          <w:tcPr>
            <w:tcW w:w="4140" w:type="dxa"/>
            <w:vAlign w:val="bottom"/>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7.34%</w:t>
            </w: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L+200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7,462,500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7,462,500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7,274,602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Burlington Coat Factory Warehouse Corp.</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5"/>
              </w:rPr>
              <w:t>05/28/2013</w:t>
            </w:r>
          </w:p>
        </w:tc>
        <w:tc>
          <w:tcPr>
            <w:tcW w:w="4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Retail Store</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L+225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7,896,473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7,887,537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7,571,975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rPr>
                <w:sz w:val="20"/>
                <w:szCs w:val="20"/>
                <w:color w:val="auto"/>
              </w:rPr>
            </w:pPr>
            <w:r>
              <w:rPr>
                <w:rFonts w:ascii="Arial" w:cs="Arial" w:eastAsia="Arial" w:hAnsi="Arial"/>
                <w:sz w:val="13"/>
                <w:szCs w:val="13"/>
                <w:color w:val="auto"/>
              </w:rPr>
              <w:t>Charter Communications Operating, L.L.C.</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03/06/2014</w:t>
            </w:r>
          </w:p>
        </w:tc>
        <w:tc>
          <w:tcPr>
            <w:tcW w:w="4140" w:type="dxa"/>
            <w:vAlign w:val="bottom"/>
          </w:tcPr>
          <w:p>
            <w:pPr>
              <w:jc w:val="center"/>
              <w:spacing w:after="0"/>
              <w:rPr>
                <w:sz w:val="20"/>
                <w:szCs w:val="20"/>
                <w:color w:val="auto"/>
              </w:rPr>
            </w:pPr>
            <w:r>
              <w:rPr>
                <w:rFonts w:ascii="Arial" w:cs="Arial" w:eastAsia="Arial" w:hAnsi="Arial"/>
                <w:sz w:val="13"/>
                <w:szCs w:val="13"/>
                <w:color w:val="auto"/>
                <w:w w:val="93"/>
              </w:rPr>
              <w:t>Cable Television</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7.13%</w:t>
            </w: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L+200</w:t>
            </w: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15,000,000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14,992,740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14,468,310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Cohr Holdings, Inc.</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5"/>
              </w:rPr>
              <w:t>01/31/2013</w:t>
            </w:r>
          </w:p>
        </w:tc>
        <w:tc>
          <w:tcPr>
            <w:tcW w:w="4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Healthcare, Education and Childcare</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L+250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2,985,000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2,985,000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rPr>
                <w:sz w:val="20"/>
                <w:szCs w:val="20"/>
                <w:color w:val="auto"/>
              </w:rPr>
            </w:pPr>
            <w:r>
              <w:rPr>
                <w:rFonts w:ascii="Arial" w:cs="Arial" w:eastAsia="Arial" w:hAnsi="Arial"/>
                <w:sz w:val="13"/>
                <w:szCs w:val="13"/>
                <w:color w:val="auto"/>
              </w:rPr>
              <w:t>FR Brand Acquisition Corp.</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02/07/2014</w:t>
            </w:r>
          </w:p>
        </w:tc>
        <w:tc>
          <w:tcPr>
            <w:tcW w:w="414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7.53%</w:t>
            </w: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L+225</w:t>
            </w: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1,990,000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1,990,000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1,887,183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Gatehouse Media Operating, Inc.</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5"/>
              </w:rPr>
              <w:t>08/28/2014</w:t>
            </w:r>
          </w:p>
        </w:tc>
        <w:tc>
          <w:tcPr>
            <w:tcW w:w="4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Media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7.47%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L+200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7,000,000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rPr>
                <w:sz w:val="20"/>
                <w:szCs w:val="20"/>
                <w:color w:val="auto"/>
              </w:rPr>
            </w:pPr>
            <w:r>
              <w:rPr>
                <w:rFonts w:ascii="Arial" w:cs="Arial" w:eastAsia="Arial" w:hAnsi="Arial"/>
                <w:sz w:val="13"/>
                <w:szCs w:val="13"/>
                <w:color w:val="auto"/>
              </w:rPr>
              <w:t>General Nutrition Centers, Inc.</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09/16/2013</w:t>
            </w:r>
          </w:p>
        </w:tc>
        <w:tc>
          <w:tcPr>
            <w:tcW w:w="4140" w:type="dxa"/>
            <w:vAlign w:val="bottom"/>
          </w:tcPr>
          <w:p>
            <w:pPr>
              <w:jc w:val="center"/>
              <w:spacing w:after="0"/>
              <w:rPr>
                <w:sz w:val="20"/>
                <w:szCs w:val="20"/>
                <w:color w:val="auto"/>
              </w:rPr>
            </w:pPr>
            <w:r>
              <w:rPr>
                <w:rFonts w:ascii="Arial" w:cs="Arial" w:eastAsia="Arial" w:hAnsi="Arial"/>
                <w:sz w:val="13"/>
                <w:szCs w:val="13"/>
                <w:color w:val="auto"/>
                <w:w w:val="94"/>
              </w:rPr>
              <w:t>Retail Store</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7.61%</w:t>
            </w: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L+225</w:t>
            </w: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6,483,750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6,487,788</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6,147,405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Greatwide Logistics Services, Inc.</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5"/>
              </w:rPr>
              <w:t>12/19/2013</w:t>
            </w:r>
          </w:p>
        </w:tc>
        <w:tc>
          <w:tcPr>
            <w:tcW w:w="4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Cargo Transport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8.70%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L+350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6,947,500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6,947,500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6,079,062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rPr>
                <w:sz w:val="20"/>
                <w:szCs w:val="20"/>
                <w:color w:val="auto"/>
              </w:rPr>
            </w:pPr>
            <w:r>
              <w:rPr>
                <w:rFonts w:ascii="Arial" w:cs="Arial" w:eastAsia="Arial" w:hAnsi="Arial"/>
                <w:sz w:val="13"/>
                <w:szCs w:val="13"/>
                <w:color w:val="auto"/>
              </w:rPr>
              <w:t>Hanley-Wood, L.L.C.</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03/08/2014</w:t>
            </w:r>
          </w:p>
        </w:tc>
        <w:tc>
          <w:tcPr>
            <w:tcW w:w="414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7.60%</w:t>
            </w: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L+225</w:t>
            </w: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9,000,000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9,000,000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7,845,003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Hawker Beechcraft, Inc.</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5"/>
              </w:rPr>
              <w:t>03/28/2014</w:t>
            </w:r>
          </w:p>
        </w:tc>
        <w:tc>
          <w:tcPr>
            <w:tcW w:w="4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L+200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1,990,780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1,990,780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1,930,226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rPr>
                <w:sz w:val="20"/>
                <w:szCs w:val="20"/>
                <w:color w:val="auto"/>
              </w:rPr>
            </w:pPr>
            <w:r>
              <w:rPr>
                <w:rFonts w:ascii="Arial" w:cs="Arial" w:eastAsia="Arial" w:hAnsi="Arial"/>
                <w:sz w:val="13"/>
                <w:szCs w:val="13"/>
                <w:color w:val="auto"/>
              </w:rPr>
              <w:t>Health Management Associates, Inc.</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02/28/2014</w:t>
            </w:r>
          </w:p>
        </w:tc>
        <w:tc>
          <w:tcPr>
            <w:tcW w:w="4140" w:type="dxa"/>
            <w:vAlign w:val="bottom"/>
          </w:tcPr>
          <w:p>
            <w:pPr>
              <w:jc w:val="center"/>
              <w:spacing w:after="0"/>
              <w:rPr>
                <w:sz w:val="20"/>
                <w:szCs w:val="20"/>
                <w:color w:val="auto"/>
              </w:rPr>
            </w:pPr>
            <w:r>
              <w:rPr>
                <w:rFonts w:ascii="Arial" w:cs="Arial" w:eastAsia="Arial" w:hAnsi="Arial"/>
                <w:sz w:val="13"/>
                <w:szCs w:val="13"/>
                <w:color w:val="auto"/>
                <w:w w:val="93"/>
              </w:rPr>
              <w:t>Healthcare, Education and Childcare</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6.95%</w:t>
            </w:r>
          </w:p>
        </w:tc>
        <w:tc>
          <w:tcPr>
            <w:tcW w:w="2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L+175</w:t>
            </w: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9,950,000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9,950,000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9,441,615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Hughes Network Systems, L.L.C.</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5"/>
              </w:rPr>
              <w:t>04/15/2014</w:t>
            </w:r>
          </w:p>
        </w:tc>
        <w:tc>
          <w:tcPr>
            <w:tcW w:w="4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8.06%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L+250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gridSpan w:val="2"/>
          </w:tcPr>
          <w:p>
            <w:pPr>
              <w:spacing w:after="0"/>
              <w:rPr>
                <w:sz w:val="20"/>
                <w:szCs w:val="20"/>
                <w:color w:val="auto"/>
              </w:rPr>
            </w:pPr>
            <w:r>
              <w:rPr>
                <w:rFonts w:ascii="Arial" w:cs="Arial" w:eastAsia="Arial" w:hAnsi="Arial"/>
                <w:sz w:val="13"/>
                <w:szCs w:val="13"/>
                <w:color w:val="auto"/>
              </w:rPr>
              <w:t>Jacuzzi Brands Corp.</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02/07/2014</w:t>
            </w:r>
          </w:p>
        </w:tc>
        <w:tc>
          <w:tcPr>
            <w:tcW w:w="4140" w:type="dxa"/>
            <w:vAlign w:val="bottom"/>
          </w:tcPr>
          <w:p>
            <w:pPr>
              <w:jc w:val="center"/>
              <w:spacing w:after="0"/>
              <w:rPr>
                <w:sz w:val="20"/>
                <w:szCs w:val="20"/>
                <w:color w:val="auto"/>
              </w:rPr>
            </w:pPr>
            <w:r>
              <w:rPr>
                <w:rFonts w:ascii="Arial" w:cs="Arial" w:eastAsia="Arial" w:hAnsi="Arial"/>
                <w:sz w:val="13"/>
                <w:szCs w:val="13"/>
                <w:color w:val="auto"/>
                <w:w w:val="93"/>
              </w:rPr>
              <w:t>Home and Office Furnishings, Housewares and Durable Consumer Products</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7.44%</w:t>
            </w:r>
          </w:p>
        </w:tc>
        <w:tc>
          <w:tcPr>
            <w:tcW w:w="2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L+225</w:t>
            </w:r>
          </w:p>
        </w:tc>
        <w:tc>
          <w:tcPr>
            <w:tcW w:w="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9,963,514</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9,963,514</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8,947,235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7"/>
              </w:rPr>
              <w:t>Basis Point</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Spread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Current</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Above</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8"/>
              </w:rPr>
              <w:t>Value</w:t>
            </w:r>
            <w:r>
              <w:rPr>
                <w:rFonts w:ascii="Arial" w:cs="Arial" w:eastAsia="Arial" w:hAnsi="Arial"/>
                <w:sz w:val="22"/>
                <w:szCs w:val="22"/>
                <w:b w:val="1"/>
                <w:bCs w:val="1"/>
                <w:color w:val="auto"/>
                <w:w w:val="98"/>
                <w:vertAlign w:val="superscript"/>
              </w:rPr>
              <w:t>(3)</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20"/>
                <w:szCs w:val="20"/>
                <w:color w:val="auto"/>
              </w:rPr>
            </w:pPr>
            <w:r>
              <w:rPr>
                <w:rFonts w:ascii="Arial" w:cs="Arial" w:eastAsia="Arial" w:hAnsi="Arial"/>
                <w:sz w:val="13"/>
                <w:szCs w:val="13"/>
                <w:b w:val="1"/>
                <w:bCs w:val="1"/>
                <w:color w:val="auto"/>
                <w:w w:val="95"/>
              </w:rPr>
              <w:t>Issuer Name</w:t>
            </w:r>
          </w:p>
        </w:tc>
        <w:tc>
          <w:tcPr>
            <w:tcW w:w="246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5"/>
                <w:szCs w:val="15"/>
                <w:color w:val="auto"/>
              </w:rPr>
            </w:pPr>
          </w:p>
        </w:tc>
        <w:tc>
          <w:tcPr>
            <w:tcW w:w="302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9"/>
              </w:rPr>
              <w:t>Coupon</w:t>
            </w: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4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First Lien Secured Debt—(Continued)</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spacing w:after="0"/>
              <w:rPr>
                <w:sz w:val="20"/>
                <w:szCs w:val="20"/>
                <w:color w:val="auto"/>
              </w:rPr>
            </w:pPr>
            <w:r>
              <w:rPr>
                <w:rFonts w:ascii="Arial" w:cs="Arial" w:eastAsia="Arial" w:hAnsi="Arial"/>
                <w:sz w:val="13"/>
                <w:szCs w:val="13"/>
                <w:color w:val="auto"/>
              </w:rPr>
              <w:t>Level 3 Financing, Inc.</w:t>
            </w:r>
          </w:p>
        </w:tc>
        <w:tc>
          <w:tcPr>
            <w:tcW w:w="780" w:type="dxa"/>
            <w:vAlign w:val="bottom"/>
            <w:gridSpan w:val="2"/>
          </w:tcPr>
          <w:p>
            <w:pPr>
              <w:spacing w:after="0"/>
              <w:rPr>
                <w:sz w:val="20"/>
                <w:szCs w:val="20"/>
                <w:color w:val="auto"/>
              </w:rPr>
            </w:pPr>
            <w:r>
              <w:rPr>
                <w:rFonts w:ascii="Arial" w:cs="Arial" w:eastAsia="Arial" w:hAnsi="Arial"/>
                <w:sz w:val="13"/>
                <w:szCs w:val="13"/>
                <w:color w:val="auto"/>
              </w:rPr>
              <w:t>03/13/2014</w:t>
            </w:r>
          </w:p>
        </w:tc>
        <w:tc>
          <w:tcPr>
            <w:tcW w:w="3020" w:type="dxa"/>
            <w:vAlign w:val="bottom"/>
          </w:tcPr>
          <w:p>
            <w:pPr>
              <w:jc w:val="center"/>
              <w:spacing w:after="0"/>
              <w:rPr>
                <w:sz w:val="20"/>
                <w:szCs w:val="20"/>
                <w:color w:val="auto"/>
              </w:rPr>
            </w:pPr>
            <w:r>
              <w:rPr>
                <w:rFonts w:ascii="Arial" w:cs="Arial" w:eastAsia="Arial" w:hAnsi="Arial"/>
                <w:sz w:val="13"/>
                <w:szCs w:val="13"/>
                <w:color w:val="auto"/>
                <w:w w:val="95"/>
              </w:rPr>
              <w:t>Telecommunications</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7.61%</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L+225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2,000,000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2,000,000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1,939,642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Levlad, L.L.C.</w:t>
            </w:r>
          </w:p>
        </w:tc>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03/08/2014</w:t>
            </w:r>
          </w:p>
        </w:tc>
        <w:tc>
          <w:tcPr>
            <w:tcW w:w="3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7.58%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L+225</w:t>
            </w:r>
          </w:p>
        </w:tc>
        <w:tc>
          <w:tcPr>
            <w:tcW w:w="14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4,842,920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4,842,920</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3,357,757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spacing w:after="0"/>
              <w:rPr>
                <w:sz w:val="20"/>
                <w:szCs w:val="20"/>
                <w:color w:val="auto"/>
              </w:rPr>
            </w:pPr>
            <w:r>
              <w:rPr>
                <w:rFonts w:ascii="Arial" w:cs="Arial" w:eastAsia="Arial" w:hAnsi="Arial"/>
                <w:sz w:val="13"/>
                <w:szCs w:val="13"/>
                <w:color w:val="auto"/>
              </w:rPr>
              <w:t>Longview Power, L.L.C.</w:t>
            </w:r>
          </w:p>
        </w:tc>
        <w:tc>
          <w:tcPr>
            <w:tcW w:w="780" w:type="dxa"/>
            <w:vAlign w:val="bottom"/>
            <w:gridSpan w:val="2"/>
          </w:tcPr>
          <w:p>
            <w:pPr>
              <w:spacing w:after="0"/>
              <w:rPr>
                <w:sz w:val="20"/>
                <w:szCs w:val="20"/>
                <w:color w:val="auto"/>
              </w:rPr>
            </w:pPr>
            <w:r>
              <w:rPr>
                <w:rFonts w:ascii="Arial" w:cs="Arial" w:eastAsia="Arial" w:hAnsi="Arial"/>
                <w:sz w:val="13"/>
                <w:szCs w:val="13"/>
                <w:color w:val="auto"/>
              </w:rPr>
              <w:t>02/28/2014</w:t>
            </w:r>
          </w:p>
        </w:tc>
        <w:tc>
          <w:tcPr>
            <w:tcW w:w="3020" w:type="dxa"/>
            <w:vAlign w:val="bottom"/>
          </w:tcPr>
          <w:p>
            <w:pPr>
              <w:jc w:val="center"/>
              <w:spacing w:after="0"/>
              <w:rPr>
                <w:sz w:val="20"/>
                <w:szCs w:val="20"/>
                <w:color w:val="auto"/>
              </w:rPr>
            </w:pPr>
            <w:r>
              <w:rPr>
                <w:rFonts w:ascii="Arial" w:cs="Arial" w:eastAsia="Arial" w:hAnsi="Arial"/>
                <w:sz w:val="13"/>
                <w:szCs w:val="13"/>
                <w:color w:val="auto"/>
              </w:rPr>
              <w:t>Utilities</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7.56%</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L+225</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2,020,000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2,020,000</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1,939,200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2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Longview Power, L.L.C.</w:t>
            </w:r>
            <w:r>
              <w:rPr>
                <w:rFonts w:ascii="Arial" w:cs="Arial" w:eastAsia="Arial" w:hAnsi="Arial"/>
                <w:sz w:val="20"/>
                <w:szCs w:val="20"/>
                <w:color w:val="auto"/>
                <w:vertAlign w:val="superscript"/>
              </w:rPr>
              <w:t>(5)</w:t>
            </w:r>
          </w:p>
        </w:tc>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02/28/2014</w:t>
            </w:r>
          </w:p>
        </w:tc>
        <w:tc>
          <w:tcPr>
            <w:tcW w:w="3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Utilities</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980,000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980,000</w:t>
            </w:r>
          </w:p>
        </w:tc>
        <w:tc>
          <w:tcPr>
            <w:tcW w:w="2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940,800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spacing w:after="0"/>
              <w:rPr>
                <w:sz w:val="20"/>
                <w:szCs w:val="20"/>
                <w:color w:val="auto"/>
              </w:rPr>
            </w:pPr>
            <w:r>
              <w:rPr>
                <w:rFonts w:ascii="Arial" w:cs="Arial" w:eastAsia="Arial" w:hAnsi="Arial"/>
                <w:sz w:val="13"/>
                <w:szCs w:val="13"/>
                <w:color w:val="auto"/>
              </w:rPr>
              <w:t>Mach Gen, L.L.C.</w:t>
            </w:r>
          </w:p>
        </w:tc>
        <w:tc>
          <w:tcPr>
            <w:tcW w:w="780" w:type="dxa"/>
            <w:vAlign w:val="bottom"/>
            <w:gridSpan w:val="2"/>
          </w:tcPr>
          <w:p>
            <w:pPr>
              <w:spacing w:after="0"/>
              <w:rPr>
                <w:sz w:val="20"/>
                <w:szCs w:val="20"/>
                <w:color w:val="auto"/>
              </w:rPr>
            </w:pPr>
            <w:r>
              <w:rPr>
                <w:rFonts w:ascii="Arial" w:cs="Arial" w:eastAsia="Arial" w:hAnsi="Arial"/>
                <w:sz w:val="13"/>
                <w:szCs w:val="13"/>
                <w:color w:val="auto"/>
              </w:rPr>
              <w:t>02/22/2014</w:t>
            </w:r>
          </w:p>
        </w:tc>
        <w:tc>
          <w:tcPr>
            <w:tcW w:w="3020" w:type="dxa"/>
            <w:vAlign w:val="bottom"/>
          </w:tcPr>
          <w:p>
            <w:pPr>
              <w:jc w:val="center"/>
              <w:spacing w:after="0"/>
              <w:rPr>
                <w:sz w:val="20"/>
                <w:szCs w:val="20"/>
                <w:color w:val="auto"/>
              </w:rPr>
            </w:pPr>
            <w:r>
              <w:rPr>
                <w:rFonts w:ascii="Arial" w:cs="Arial" w:eastAsia="Arial" w:hAnsi="Arial"/>
                <w:sz w:val="13"/>
                <w:szCs w:val="13"/>
                <w:color w:val="auto"/>
              </w:rPr>
              <w:t>Utilities</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7.34%</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L+200</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3,972,813</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3,971,545</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3,845,683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Mattress Holding Corp.</w:t>
            </w:r>
          </w:p>
        </w:tc>
        <w:tc>
          <w:tcPr>
            <w:tcW w:w="38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w w:val="95"/>
              </w:rPr>
              <w:t>01/18/2014  Home and Office Furnishings, Housewares and Durable</w:t>
            </w:r>
          </w:p>
        </w:tc>
        <w:tc>
          <w:tcPr>
            <w:tcW w:w="9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7.61%</w:t>
            </w: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L+225</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3,990,000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3,990,000</w:t>
            </w: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3,740,625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Consumer</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Products</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spacing w:after="0"/>
              <w:rPr>
                <w:sz w:val="20"/>
                <w:szCs w:val="20"/>
                <w:color w:val="auto"/>
              </w:rPr>
            </w:pPr>
            <w:r>
              <w:rPr>
                <w:rFonts w:ascii="Arial" w:cs="Arial" w:eastAsia="Arial" w:hAnsi="Arial"/>
                <w:sz w:val="13"/>
                <w:szCs w:val="13"/>
                <w:color w:val="auto"/>
              </w:rPr>
              <w:t>McJunkin Corp.</w:t>
            </w:r>
          </w:p>
        </w:tc>
        <w:tc>
          <w:tcPr>
            <w:tcW w:w="780" w:type="dxa"/>
            <w:vAlign w:val="bottom"/>
            <w:gridSpan w:val="2"/>
          </w:tcPr>
          <w:p>
            <w:pPr>
              <w:spacing w:after="0"/>
              <w:rPr>
                <w:sz w:val="20"/>
                <w:szCs w:val="20"/>
                <w:color w:val="auto"/>
              </w:rPr>
            </w:pPr>
            <w:r>
              <w:rPr>
                <w:rFonts w:ascii="Arial" w:cs="Arial" w:eastAsia="Arial" w:hAnsi="Arial"/>
                <w:sz w:val="13"/>
                <w:szCs w:val="13"/>
                <w:color w:val="auto"/>
              </w:rPr>
              <w:t>01/31/2014</w:t>
            </w:r>
          </w:p>
        </w:tc>
        <w:tc>
          <w:tcPr>
            <w:tcW w:w="3020" w:type="dxa"/>
            <w:vAlign w:val="bottom"/>
          </w:tcPr>
          <w:p>
            <w:pPr>
              <w:jc w:val="center"/>
              <w:spacing w:after="0"/>
              <w:rPr>
                <w:sz w:val="20"/>
                <w:szCs w:val="20"/>
                <w:color w:val="auto"/>
              </w:rPr>
            </w:pPr>
            <w:r>
              <w:rPr>
                <w:rFonts w:ascii="Arial" w:cs="Arial" w:eastAsia="Arial" w:hAnsi="Arial"/>
                <w:sz w:val="13"/>
                <w:szCs w:val="13"/>
                <w:color w:val="auto"/>
                <w:w w:val="96"/>
              </w:rPr>
              <w:t>Oil and Gas</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7.45%</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L+225</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982,525</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982,525</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965,331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Mitchell International, Inc.</w:t>
            </w:r>
          </w:p>
        </w:tc>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03/28/2014</w:t>
            </w:r>
          </w:p>
        </w:tc>
        <w:tc>
          <w:tcPr>
            <w:tcW w:w="3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7.20%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L+200</w:t>
            </w:r>
          </w:p>
        </w:tc>
        <w:tc>
          <w:tcPr>
            <w:tcW w:w="14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3,980,000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3,980,000</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3,835,725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220" w:type="dxa"/>
            <w:vAlign w:val="bottom"/>
            <w:gridSpan w:val="2"/>
          </w:tcPr>
          <w:p>
            <w:pPr>
              <w:spacing w:after="0"/>
              <w:rPr>
                <w:sz w:val="20"/>
                <w:szCs w:val="20"/>
                <w:color w:val="auto"/>
              </w:rPr>
            </w:pPr>
            <w:r>
              <w:rPr>
                <w:rFonts w:ascii="Arial" w:cs="Arial" w:eastAsia="Arial" w:hAnsi="Arial"/>
                <w:sz w:val="13"/>
                <w:szCs w:val="13"/>
                <w:color w:val="auto"/>
              </w:rPr>
              <w:t>National Bedding Co., L.L.C.</w:t>
            </w:r>
          </w:p>
        </w:tc>
        <w:tc>
          <w:tcPr>
            <w:tcW w:w="3800" w:type="dxa"/>
            <w:vAlign w:val="bottom"/>
            <w:gridSpan w:val="3"/>
          </w:tcPr>
          <w:p>
            <w:pPr>
              <w:ind w:left="20"/>
              <w:spacing w:after="0"/>
              <w:rPr>
                <w:sz w:val="20"/>
                <w:szCs w:val="20"/>
                <w:color w:val="auto"/>
              </w:rPr>
            </w:pPr>
            <w:r>
              <w:rPr>
                <w:rFonts w:ascii="Arial" w:cs="Arial" w:eastAsia="Arial" w:hAnsi="Arial"/>
                <w:sz w:val="13"/>
                <w:szCs w:val="13"/>
                <w:color w:val="auto"/>
                <w:w w:val="95"/>
              </w:rPr>
              <w:t>08/31/2011  Home and Office Furnishings, Housewares and Durable</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7.43%</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L+200</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6,965,000</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6,971,653</w:t>
            </w:r>
          </w:p>
        </w:tc>
        <w:tc>
          <w:tcPr>
            <w:tcW w:w="2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6,668,988</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2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Penton Media, Inc.</w:t>
            </w:r>
          </w:p>
        </w:tc>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02/01/2013</w:t>
            </w:r>
          </w:p>
        </w:tc>
        <w:tc>
          <w:tcPr>
            <w:tcW w:w="3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Other Media</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7.59%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L+225</w:t>
            </w:r>
          </w:p>
        </w:tc>
        <w:tc>
          <w:tcPr>
            <w:tcW w:w="14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4,975,000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4,975,000</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4,716,922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rPr>
                <w:sz w:val="20"/>
                <w:szCs w:val="20"/>
                <w:color w:val="auto"/>
              </w:rPr>
            </w:pPr>
            <w:r>
              <w:rPr>
                <w:rFonts w:ascii="Arial" w:cs="Arial" w:eastAsia="Arial" w:hAnsi="Arial"/>
                <w:sz w:val="13"/>
                <w:szCs w:val="13"/>
                <w:color w:val="auto"/>
              </w:rPr>
              <w:t>Philosophy, Inc.</w:t>
            </w:r>
          </w:p>
        </w:tc>
        <w:tc>
          <w:tcPr>
            <w:tcW w:w="780" w:type="dxa"/>
            <w:vAlign w:val="bottom"/>
            <w:gridSpan w:val="2"/>
          </w:tcPr>
          <w:p>
            <w:pPr>
              <w:spacing w:after="0"/>
              <w:rPr>
                <w:sz w:val="20"/>
                <w:szCs w:val="20"/>
                <w:color w:val="auto"/>
              </w:rPr>
            </w:pPr>
            <w:r>
              <w:rPr>
                <w:rFonts w:ascii="Arial" w:cs="Arial" w:eastAsia="Arial" w:hAnsi="Arial"/>
                <w:sz w:val="13"/>
                <w:szCs w:val="13"/>
                <w:color w:val="auto"/>
              </w:rPr>
              <w:t>03/16/2014</w:t>
            </w:r>
          </w:p>
        </w:tc>
        <w:tc>
          <w:tcPr>
            <w:tcW w:w="302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7.36%</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L+200</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1,493,333</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1,493,333</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Proquest CSA, L.L.C.</w:t>
            </w:r>
          </w:p>
        </w:tc>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02/09/2014</w:t>
            </w:r>
          </w:p>
        </w:tc>
        <w:tc>
          <w:tcPr>
            <w:tcW w:w="3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8.20%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L+300</w:t>
            </w:r>
          </w:p>
        </w:tc>
        <w:tc>
          <w:tcPr>
            <w:tcW w:w="14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955,833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955,833</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spacing w:after="0"/>
              <w:rPr>
                <w:sz w:val="20"/>
                <w:szCs w:val="20"/>
                <w:color w:val="auto"/>
              </w:rPr>
            </w:pPr>
            <w:r>
              <w:rPr>
                <w:rFonts w:ascii="Arial" w:cs="Arial" w:eastAsia="Arial" w:hAnsi="Arial"/>
                <w:sz w:val="13"/>
                <w:szCs w:val="13"/>
                <w:color w:val="auto"/>
              </w:rPr>
              <w:t>Questex Media Group, Inc.</w:t>
            </w:r>
          </w:p>
        </w:tc>
        <w:tc>
          <w:tcPr>
            <w:tcW w:w="780" w:type="dxa"/>
            <w:vAlign w:val="bottom"/>
            <w:gridSpan w:val="2"/>
          </w:tcPr>
          <w:p>
            <w:pPr>
              <w:spacing w:after="0"/>
              <w:rPr>
                <w:sz w:val="20"/>
                <w:szCs w:val="20"/>
                <w:color w:val="auto"/>
              </w:rPr>
            </w:pPr>
            <w:r>
              <w:rPr>
                <w:rFonts w:ascii="Arial" w:cs="Arial" w:eastAsia="Arial" w:hAnsi="Arial"/>
                <w:sz w:val="13"/>
                <w:szCs w:val="13"/>
                <w:color w:val="auto"/>
              </w:rPr>
              <w:t>05/04/2014</w:t>
            </w:r>
          </w:p>
        </w:tc>
        <w:tc>
          <w:tcPr>
            <w:tcW w:w="302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8.56%</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L+300</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4,974,167</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4,974,167</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4,839,742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Reader’s Digest Association, Inc.</w:t>
            </w:r>
          </w:p>
        </w:tc>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03/02/2014</w:t>
            </w:r>
          </w:p>
        </w:tc>
        <w:tc>
          <w:tcPr>
            <w:tcW w:w="3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Printing and Publishing</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7.43%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L+200</w:t>
            </w:r>
          </w:p>
        </w:tc>
        <w:tc>
          <w:tcPr>
            <w:tcW w:w="14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995,006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995,006</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spacing w:after="0"/>
              <w:rPr>
                <w:sz w:val="20"/>
                <w:szCs w:val="20"/>
                <w:color w:val="auto"/>
              </w:rPr>
            </w:pPr>
            <w:r>
              <w:rPr>
                <w:rFonts w:ascii="Arial" w:cs="Arial" w:eastAsia="Arial" w:hAnsi="Arial"/>
                <w:sz w:val="13"/>
                <w:szCs w:val="13"/>
                <w:color w:val="auto"/>
              </w:rPr>
              <w:t>Rexnord , L.L.C.</w:t>
            </w:r>
          </w:p>
        </w:tc>
        <w:tc>
          <w:tcPr>
            <w:tcW w:w="780" w:type="dxa"/>
            <w:vAlign w:val="bottom"/>
            <w:gridSpan w:val="2"/>
          </w:tcPr>
          <w:p>
            <w:pPr>
              <w:spacing w:after="0"/>
              <w:rPr>
                <w:sz w:val="20"/>
                <w:szCs w:val="20"/>
                <w:color w:val="auto"/>
              </w:rPr>
            </w:pPr>
            <w:r>
              <w:rPr>
                <w:rFonts w:ascii="Arial" w:cs="Arial" w:eastAsia="Arial" w:hAnsi="Arial"/>
                <w:sz w:val="13"/>
                <w:szCs w:val="13"/>
                <w:color w:val="auto"/>
              </w:rPr>
              <w:t>07/19/2013</w:t>
            </w:r>
          </w:p>
        </w:tc>
        <w:tc>
          <w:tcPr>
            <w:tcW w:w="3020" w:type="dxa"/>
            <w:vAlign w:val="bottom"/>
          </w:tcPr>
          <w:p>
            <w:pPr>
              <w:jc w:val="center"/>
              <w:spacing w:after="0"/>
              <w:rPr>
                <w:sz w:val="20"/>
                <w:szCs w:val="20"/>
                <w:color w:val="auto"/>
              </w:rPr>
            </w:pPr>
            <w:r>
              <w:rPr>
                <w:rFonts w:ascii="Arial" w:cs="Arial" w:eastAsia="Arial" w:hAnsi="Arial"/>
                <w:sz w:val="13"/>
                <w:szCs w:val="13"/>
                <w:color w:val="auto"/>
                <w:w w:val="96"/>
              </w:rPr>
              <w:t>Manufacturing and Basic Industry</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7.64%</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L+225</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4,937,500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4,937,500</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4,835,664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Sitel, L.L.C.</w:t>
            </w:r>
          </w:p>
        </w:tc>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01/30/2014</w:t>
            </w:r>
          </w:p>
        </w:tc>
        <w:tc>
          <w:tcPr>
            <w:tcW w:w="3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7.78%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L+250</w:t>
            </w:r>
          </w:p>
        </w:tc>
        <w:tc>
          <w:tcPr>
            <w:tcW w:w="14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2,867,302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2,867,302</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2,680,927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spacing w:after="0"/>
              <w:rPr>
                <w:sz w:val="20"/>
                <w:szCs w:val="20"/>
                <w:color w:val="auto"/>
              </w:rPr>
            </w:pPr>
            <w:r>
              <w:rPr>
                <w:rFonts w:ascii="Arial" w:cs="Arial" w:eastAsia="Arial" w:hAnsi="Arial"/>
                <w:sz w:val="13"/>
                <w:szCs w:val="13"/>
                <w:color w:val="auto"/>
              </w:rPr>
              <w:t>Univision Communications Inc.</w:t>
            </w:r>
          </w:p>
        </w:tc>
        <w:tc>
          <w:tcPr>
            <w:tcW w:w="780" w:type="dxa"/>
            <w:vAlign w:val="bottom"/>
            <w:gridSpan w:val="2"/>
          </w:tcPr>
          <w:p>
            <w:pPr>
              <w:spacing w:after="0"/>
              <w:rPr>
                <w:sz w:val="20"/>
                <w:szCs w:val="20"/>
                <w:color w:val="auto"/>
              </w:rPr>
            </w:pPr>
            <w:r>
              <w:rPr>
                <w:rFonts w:ascii="Arial" w:cs="Arial" w:eastAsia="Arial" w:hAnsi="Arial"/>
                <w:sz w:val="13"/>
                <w:szCs w:val="13"/>
                <w:color w:val="auto"/>
              </w:rPr>
              <w:t>09/29/2014</w:t>
            </w:r>
          </w:p>
        </w:tc>
        <w:tc>
          <w:tcPr>
            <w:tcW w:w="3020" w:type="dxa"/>
            <w:vAlign w:val="bottom"/>
          </w:tcPr>
          <w:p>
            <w:pPr>
              <w:jc w:val="center"/>
              <w:spacing w:after="0"/>
              <w:rPr>
                <w:sz w:val="20"/>
                <w:szCs w:val="20"/>
                <w:color w:val="auto"/>
              </w:rPr>
            </w:pPr>
            <w:r>
              <w:rPr>
                <w:rFonts w:ascii="Arial" w:cs="Arial" w:eastAsia="Arial" w:hAnsi="Arial"/>
                <w:sz w:val="13"/>
                <w:szCs w:val="13"/>
                <w:color w:val="auto"/>
                <w:w w:val="93"/>
              </w:rPr>
              <w:t>Broadcasting and Entertainment</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7.57%</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L+225</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14,093,960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14,093,960</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13,389,262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2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Univision Communications Inc.</w:t>
            </w:r>
            <w:r>
              <w:rPr>
                <w:rFonts w:ascii="Arial" w:cs="Arial" w:eastAsia="Arial" w:hAnsi="Arial"/>
                <w:sz w:val="20"/>
                <w:szCs w:val="20"/>
                <w:color w:val="auto"/>
                <w:vertAlign w:val="superscript"/>
              </w:rPr>
              <w:t>(5)</w:t>
            </w:r>
          </w:p>
        </w:tc>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09/29/2014</w:t>
            </w:r>
          </w:p>
        </w:tc>
        <w:tc>
          <w:tcPr>
            <w:tcW w:w="3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Broadcasting and Entertainment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906,040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906,040</w:t>
            </w:r>
          </w:p>
        </w:tc>
        <w:tc>
          <w:tcPr>
            <w:tcW w:w="2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860,738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rPr>
                <w:sz w:val="20"/>
                <w:szCs w:val="20"/>
                <w:color w:val="auto"/>
              </w:rPr>
            </w:pPr>
            <w:r>
              <w:rPr>
                <w:rFonts w:ascii="Arial" w:cs="Arial" w:eastAsia="Arial" w:hAnsi="Arial"/>
                <w:sz w:val="13"/>
                <w:szCs w:val="13"/>
                <w:color w:val="auto"/>
              </w:rPr>
              <w:t>Valassis Communications, Inc.</w:t>
            </w:r>
          </w:p>
        </w:tc>
        <w:tc>
          <w:tcPr>
            <w:tcW w:w="780" w:type="dxa"/>
            <w:vAlign w:val="bottom"/>
            <w:gridSpan w:val="2"/>
          </w:tcPr>
          <w:p>
            <w:pPr>
              <w:spacing w:after="0"/>
              <w:rPr>
                <w:sz w:val="20"/>
                <w:szCs w:val="20"/>
                <w:color w:val="auto"/>
              </w:rPr>
            </w:pPr>
            <w:r>
              <w:rPr>
                <w:rFonts w:ascii="Arial" w:cs="Arial" w:eastAsia="Arial" w:hAnsi="Arial"/>
                <w:sz w:val="13"/>
                <w:szCs w:val="13"/>
                <w:color w:val="auto"/>
              </w:rPr>
              <w:t>03/02/2014</w:t>
            </w:r>
          </w:p>
        </w:tc>
        <w:tc>
          <w:tcPr>
            <w:tcW w:w="3020" w:type="dxa"/>
            <w:vAlign w:val="bottom"/>
          </w:tcPr>
          <w:p>
            <w:pPr>
              <w:jc w:val="center"/>
              <w:spacing w:after="0"/>
              <w:rPr>
                <w:sz w:val="20"/>
                <w:szCs w:val="20"/>
                <w:color w:val="auto"/>
              </w:rPr>
            </w:pPr>
            <w:r>
              <w:rPr>
                <w:rFonts w:ascii="Arial" w:cs="Arial" w:eastAsia="Arial" w:hAnsi="Arial"/>
                <w:sz w:val="13"/>
                <w:szCs w:val="13"/>
                <w:color w:val="auto"/>
                <w:w w:val="94"/>
              </w:rPr>
              <w:t>Printing and Publishing</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6.95%</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L+175</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7,061,899</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7,061,899</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6,549,911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2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Valassis Communications, Inc.</w:t>
            </w:r>
            <w:r>
              <w:rPr>
                <w:rFonts w:ascii="Arial" w:cs="Arial" w:eastAsia="Arial" w:hAnsi="Arial"/>
                <w:sz w:val="20"/>
                <w:szCs w:val="20"/>
                <w:color w:val="auto"/>
                <w:vertAlign w:val="superscript"/>
              </w:rPr>
              <w:t>(5)</w:t>
            </w:r>
          </w:p>
        </w:tc>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03/02/2014</w:t>
            </w:r>
          </w:p>
        </w:tc>
        <w:tc>
          <w:tcPr>
            <w:tcW w:w="3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Printing and Publishing</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2,103,908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2,103,908</w:t>
            </w:r>
          </w:p>
        </w:tc>
        <w:tc>
          <w:tcPr>
            <w:tcW w:w="2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1,951,375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20" w:type="dxa"/>
            <w:vAlign w:val="bottom"/>
            <w:gridSpan w:val="2"/>
          </w:tcPr>
          <w:p>
            <w:pPr>
              <w:spacing w:after="0"/>
              <w:rPr>
                <w:sz w:val="20"/>
                <w:szCs w:val="20"/>
                <w:color w:val="auto"/>
              </w:rPr>
            </w:pPr>
            <w:r>
              <w:rPr>
                <w:rFonts w:ascii="Arial" w:cs="Arial" w:eastAsia="Arial" w:hAnsi="Arial"/>
                <w:sz w:val="13"/>
                <w:szCs w:val="13"/>
                <w:color w:val="auto"/>
              </w:rPr>
              <w:t>Western Refining, Inc.</w:t>
            </w:r>
          </w:p>
        </w:tc>
        <w:tc>
          <w:tcPr>
            <w:tcW w:w="780" w:type="dxa"/>
            <w:vAlign w:val="bottom"/>
            <w:gridSpan w:val="2"/>
          </w:tcPr>
          <w:p>
            <w:pPr>
              <w:spacing w:after="0"/>
              <w:rPr>
                <w:sz w:val="20"/>
                <w:szCs w:val="20"/>
                <w:color w:val="auto"/>
              </w:rPr>
            </w:pPr>
            <w:r>
              <w:rPr>
                <w:rFonts w:ascii="Arial" w:cs="Arial" w:eastAsia="Arial" w:hAnsi="Arial"/>
                <w:sz w:val="13"/>
                <w:szCs w:val="13"/>
                <w:color w:val="auto"/>
              </w:rPr>
              <w:t>05/30/2014</w:t>
            </w:r>
          </w:p>
        </w:tc>
        <w:tc>
          <w:tcPr>
            <w:tcW w:w="3020" w:type="dxa"/>
            <w:vAlign w:val="bottom"/>
          </w:tcPr>
          <w:p>
            <w:pPr>
              <w:jc w:val="center"/>
              <w:spacing w:after="0"/>
              <w:rPr>
                <w:sz w:val="20"/>
                <w:szCs w:val="20"/>
                <w:color w:val="auto"/>
              </w:rPr>
            </w:pPr>
            <w:r>
              <w:rPr>
                <w:rFonts w:ascii="Arial" w:cs="Arial" w:eastAsia="Arial" w:hAnsi="Arial"/>
                <w:sz w:val="13"/>
                <w:szCs w:val="13"/>
                <w:color w:val="auto"/>
                <w:w w:val="96"/>
              </w:rPr>
              <w:t>Oil and Gas</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6.88%</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L+175</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3,714,286</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3,714,286</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170,481,009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170,474,236</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158,929,905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Investments in Non-Controlled, Non-Affiliated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20" w:type="dxa"/>
            <w:vAlign w:val="bottom"/>
            <w:gridSpan w:val="2"/>
          </w:tcPr>
          <w:p>
            <w:pPr>
              <w:ind w:left="220"/>
              <w:spacing w:after="0"/>
              <w:rPr>
                <w:sz w:val="20"/>
                <w:szCs w:val="20"/>
                <w:color w:val="auto"/>
              </w:rPr>
            </w:pPr>
            <w:r>
              <w:rPr>
                <w:rFonts w:ascii="Arial" w:cs="Arial" w:eastAsia="Arial" w:hAnsi="Arial"/>
                <w:sz w:val="13"/>
                <w:szCs w:val="13"/>
                <w:b w:val="1"/>
                <w:bCs w:val="1"/>
                <w:color w:val="auto"/>
              </w:rPr>
              <w:t>Portfolio Companies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u w:val="single" w:color="auto"/>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88"/>
              </w:rPr>
              <w:t>298,789,297</w:t>
            </w:r>
          </w:p>
        </w:tc>
        <w:tc>
          <w:tcPr>
            <w:tcW w:w="220" w:type="dxa"/>
            <w:vAlign w:val="bottom"/>
          </w:tcPr>
          <w:p>
            <w:pPr>
              <w:jc w:val="right"/>
              <w:spacing w:after="0"/>
              <w:rPr>
                <w:sz w:val="20"/>
                <w:szCs w:val="20"/>
                <w:color w:val="auto"/>
              </w:rPr>
            </w:pPr>
            <w:r>
              <w:rPr>
                <w:rFonts w:ascii="Arial" w:cs="Arial" w:eastAsia="Arial" w:hAnsi="Arial"/>
                <w:sz w:val="13"/>
                <w:szCs w:val="13"/>
                <w:u w:val="single" w:color="auto"/>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w w:val="91"/>
              </w:rPr>
              <w:t>274,679,030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Basis Point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Spread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Current</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Above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Arial" w:cs="Arial" w:eastAsia="Arial" w:hAnsi="Arial"/>
                <w:sz w:val="13"/>
                <w:szCs w:val="13"/>
                <w:b w:val="1"/>
                <w:bCs w:val="1"/>
                <w:color w:val="auto"/>
                <w:w w:val="95"/>
              </w:rPr>
              <w:t>Issuer Name</w:t>
            </w:r>
          </w:p>
        </w:tc>
        <w:tc>
          <w:tcPr>
            <w:tcW w:w="4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9"/>
              </w:rPr>
              <w:t>Coupon</w:t>
            </w:r>
          </w:p>
        </w:tc>
        <w:tc>
          <w:tcPr>
            <w:tcW w:w="700" w:type="dxa"/>
            <w:vAlign w:val="bottom"/>
            <w:gridSpan w:val="2"/>
          </w:tcPr>
          <w:p>
            <w:pPr>
              <w:jc w:val="center"/>
              <w:ind w:right="80"/>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Par</w:t>
            </w:r>
          </w:p>
        </w:tc>
        <w:tc>
          <w:tcPr>
            <w:tcW w:w="6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6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Investments in Non-Controlled, Affiliated Portfolio Companies—6.0%</w:t>
            </w:r>
            <w:r>
              <w:rPr>
                <w:rFonts w:ascii="Arial" w:cs="Arial" w:eastAsia="Arial" w:hAnsi="Arial"/>
                <w:sz w:val="19"/>
                <w:szCs w:val="19"/>
                <w:b w:val="1"/>
                <w:bCs w:val="1"/>
                <w:color w:val="auto"/>
                <w:vertAlign w:val="superscript"/>
              </w:rPr>
              <w:t>(2)</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86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Notes—1.4%</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Performance Holdings, Inc.</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07/02/2014</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Leisure, Amusement,</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0"/>
                <w:szCs w:val="10"/>
                <w:color w:val="auto"/>
              </w:rPr>
              <w:t>14.25</w:t>
            </w:r>
            <w:r>
              <w:rPr>
                <w:rFonts w:ascii="Arial" w:cs="Arial" w:eastAsia="Arial" w:hAnsi="Arial"/>
                <w:sz w:val="17"/>
                <w:szCs w:val="17"/>
                <w:color w:val="auto"/>
                <w:vertAlign w:val="subscript"/>
              </w:rPr>
              <w:t>%</w:t>
            </w:r>
            <w:r>
              <w:rPr>
                <w:rFonts w:ascii="Arial" w:cs="Arial" w:eastAsia="Arial" w:hAnsi="Arial"/>
                <w:sz w:val="15"/>
                <w:szCs w:val="15"/>
                <w:color w:val="auto"/>
                <w:vertAlign w:val="superscript"/>
              </w:rPr>
              <w:t>(7)</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3,837,578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3,592,573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3,837,578</w:t>
            </w:r>
          </w:p>
        </w:tc>
        <w:tc>
          <w:tcPr>
            <w:tcW w:w="0" w:type="dxa"/>
            <w:vAlign w:val="bottom"/>
          </w:tcPr>
          <w:p>
            <w:pPr>
              <w:spacing w:after="0"/>
              <w:rPr>
                <w:sz w:val="1"/>
                <w:szCs w:val="1"/>
                <w:color w:val="auto"/>
              </w:rPr>
            </w:pPr>
          </w:p>
        </w:tc>
      </w:tr>
      <w:tr>
        <w:trPr>
          <w:trHeight w:val="138"/>
        </w:trPr>
        <w:tc>
          <w:tcPr>
            <w:tcW w:w="760" w:type="dxa"/>
            <w:vAlign w:val="bottom"/>
            <w:shd w:val="clear" w:color="auto" w:fill="CCEEFF"/>
          </w:tcPr>
          <w:p>
            <w:pPr>
              <w:spacing w:after="0"/>
              <w:rPr>
                <w:sz w:val="11"/>
                <w:szCs w:val="11"/>
                <w:color w:val="auto"/>
              </w:rPr>
            </w:pPr>
          </w:p>
        </w:tc>
        <w:tc>
          <w:tcPr>
            <w:tcW w:w="4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Motion Pictures,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Debt—3.2%</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Inc.</w:t>
            </w:r>
          </w:p>
        </w:tc>
        <w:tc>
          <w:tcPr>
            <w:tcW w:w="7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5"/>
              </w:rPr>
              <w:t>07/02/2013</w:t>
            </w: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96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11.11%</w:t>
            </w:r>
          </w:p>
        </w:tc>
        <w:tc>
          <w:tcPr>
            <w:tcW w:w="7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L+575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8,750,000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8,750,000</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Shares</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6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Common Equity/Partnership Interest</w:t>
            </w:r>
            <w:r>
              <w:rPr>
                <w:rFonts w:ascii="Arial" w:cs="Arial" w:eastAsia="Arial" w:hAnsi="Arial"/>
                <w:sz w:val="19"/>
                <w:szCs w:val="19"/>
                <w:b w:val="1"/>
                <w:bCs w:val="1"/>
                <w:color w:val="auto"/>
                <w:vertAlign w:val="superscript"/>
              </w:rPr>
              <w:t>(8)</w:t>
            </w:r>
            <w:r>
              <w:rPr>
                <w:rFonts w:ascii="Arial" w:cs="Arial" w:eastAsia="Arial" w:hAnsi="Arial"/>
                <w:sz w:val="12"/>
                <w:szCs w:val="12"/>
                <w:b w:val="1"/>
                <w:bCs w:val="1"/>
                <w:color w:val="auto"/>
              </w:rPr>
              <w:t>—1.4%</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860" w:type="dxa"/>
            <w:vAlign w:val="bottom"/>
            <w:gridSpan w:val="2"/>
          </w:tcPr>
          <w:p>
            <w:pPr>
              <w:spacing w:after="0" w:line="138" w:lineRule="exact"/>
              <w:rPr>
                <w:sz w:val="20"/>
                <w:szCs w:val="20"/>
                <w:color w:val="auto"/>
              </w:rPr>
            </w:pPr>
            <w:r>
              <w:rPr>
                <w:rFonts w:ascii="Arial" w:cs="Arial" w:eastAsia="Arial" w:hAnsi="Arial"/>
                <w:sz w:val="13"/>
                <w:szCs w:val="13"/>
                <w:color w:val="auto"/>
              </w:rPr>
              <w:t>NCP-Performance (Performance Holdings, Inc.)</w:t>
            </w:r>
          </w:p>
        </w:tc>
        <w:tc>
          <w:tcPr>
            <w:tcW w:w="72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1400" w:type="dxa"/>
            <w:vAlign w:val="bottom"/>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120" w:type="dxa"/>
            <w:vAlign w:val="bottom"/>
          </w:tcPr>
          <w:p>
            <w:pPr>
              <w:spacing w:after="0"/>
              <w:rPr>
                <w:sz w:val="11"/>
                <w:szCs w:val="11"/>
                <w:color w:val="auto"/>
              </w:rPr>
            </w:pPr>
          </w:p>
        </w:tc>
        <w:tc>
          <w:tcPr>
            <w:tcW w:w="840" w:type="dxa"/>
            <w:vAlign w:val="bottom"/>
            <w:gridSpan w:val="2"/>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37,500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3,750,000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3,750,000</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6"/>
              </w:rPr>
              <w:t>Motion Pictures,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Entertainment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16,092,573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16,337,578</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Investments—107.6%</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314,881,870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291,016,608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Par</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6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Equivalents—95.4%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spacing w:after="0"/>
              <w:rPr>
                <w:sz w:val="20"/>
                <w:szCs w:val="20"/>
                <w:color w:val="auto"/>
              </w:rPr>
            </w:pPr>
            <w:r>
              <w:rPr>
                <w:rFonts w:ascii="Arial" w:cs="Arial" w:eastAsia="Arial" w:hAnsi="Arial"/>
                <w:sz w:val="13"/>
                <w:szCs w:val="13"/>
                <w:color w:val="auto"/>
              </w:rPr>
              <w:t>U.S. Treasury Bill</w:t>
            </w:r>
          </w:p>
        </w:tc>
        <w:tc>
          <w:tcPr>
            <w:tcW w:w="72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12/27/2007</w:t>
            </w:r>
          </w:p>
        </w:tc>
        <w:tc>
          <w:tcPr>
            <w:tcW w:w="1400" w:type="dxa"/>
            <w:vAlign w:val="bottom"/>
          </w:tcPr>
          <w:p>
            <w:pPr>
              <w:spacing w:after="0"/>
              <w:rPr>
                <w:sz w:val="12"/>
                <w:szCs w:val="1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3.64%</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w w:val="91"/>
              </w:rPr>
              <w:t>255,000,000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1"/>
              </w:rPr>
              <w:t>252,759,931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252,703,215</w:t>
            </w: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Money Market—Mutual Fund</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5,256,420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5,256,420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5,256,420</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Cash Equivalents</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1"/>
              </w:rPr>
              <w:t>260,256,420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1"/>
              </w:rPr>
              <w:t>258,016,351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257,959,635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Equivalents—203.0%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572,898,221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548,976,243</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Assets—(103.0%)</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3"/>
                <w:szCs w:val="13"/>
                <w:u w:val="single" w:color="auto"/>
                <w:color w:val="auto"/>
                <w:w w:val="82"/>
              </w:rPr>
              <w:t>$</w:t>
            </w:r>
          </w:p>
        </w:tc>
        <w:tc>
          <w:tcPr>
            <w:tcW w:w="78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93"/>
              </w:rPr>
              <w:t>(278,583,149)</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270,393,094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1" w:lineRule="exact"/>
        <w:rPr>
          <w:sz w:val="20"/>
          <w:szCs w:val="20"/>
          <w:color w:val="auto"/>
        </w:rPr>
      </w:pPr>
    </w:p>
    <w:p>
      <w:pPr>
        <w:ind w:left="340" w:right="140" w:hanging="332"/>
        <w:spacing w:after="0" w:line="248"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Investment Company Act of 1940 (the “1940 Act”) “non-controlled” means we own less than 25% of a portfolio company’s voting securities.</w:t>
      </w:r>
    </w:p>
    <w:p>
      <w:pPr>
        <w:ind w:left="340" w:right="80" w:hanging="332"/>
        <w:spacing w:after="0" w:line="238"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financial statements).</w:t>
      </w: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 Rate (LIBOR or “L”).</w:t>
      </w: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purchases of securities with delayed draws. These securities do not have a basis point spread above index.</w:t>
      </w:r>
    </w:p>
    <w:p>
      <w:pPr>
        <w:ind w:left="340" w:right="120" w:hanging="332"/>
        <w:spacing w:after="0" w:line="238"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Coupon payable in cash and/or payment-in-kind (“PIK”).</w:t>
      </w: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Non-income producing.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20"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20" w:lineRule="exact"/>
        <w:rPr>
          <w:sz w:val="20"/>
          <w:szCs w:val="20"/>
          <w:color w:val="auto"/>
        </w:rPr>
      </w:pPr>
    </w:p>
    <w:p>
      <w:pPr>
        <w:ind w:right="260" w:firstLine="449"/>
        <w:spacing w:after="0" w:line="331" w:lineRule="auto"/>
        <w:rPr>
          <w:sz w:val="20"/>
          <w:szCs w:val="20"/>
          <w:color w:val="auto"/>
        </w:rPr>
      </w:pPr>
      <w:r>
        <w:rPr>
          <w:rFonts w:ascii="Arial" w:cs="Arial" w:eastAsia="Arial" w:hAnsi="Arial"/>
          <w:sz w:val="16"/>
          <w:szCs w:val="16"/>
          <w:color w:val="auto"/>
        </w:rPr>
        <w:t>The consolidated financial statements include the accounts of PennantPark Investment and its wholly owned special purpose subsidiary, Pennant SPV Company, LLC (“Pennant SPV”) a Delaware corporation. On April 24, 2007, Pennant SPV transferred all of its assets to PennantPark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40" w:hanging="447"/>
        <w:spacing w:after="0" w:line="28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We expect that there will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spacing w:after="0" w:line="288" w:lineRule="auto"/>
        <w:rPr>
          <w:sz w:val="20"/>
          <w:szCs w:val="20"/>
          <w:color w:val="auto"/>
        </w:rPr>
      </w:pPr>
      <w:r>
        <w:rPr>
          <w:rFonts w:ascii="Arial" w:cs="Arial" w:eastAsia="Arial" w:hAnsi="Arial"/>
          <w:sz w:val="16"/>
          <w:szCs w:val="16"/>
          <w:color w:val="auto"/>
        </w:rPr>
        <w:t>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include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5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are believed to be inaccurate, our board of directors undertakes a multi-step valuation process each quarter, as described below:</w:t>
      </w:r>
    </w:p>
    <w:p>
      <w:pPr>
        <w:spacing w:after="0" w:line="51" w:lineRule="exact"/>
        <w:rPr>
          <w:sz w:val="20"/>
          <w:szCs w:val="20"/>
          <w:color w:val="auto"/>
        </w:rPr>
      </w:pPr>
    </w:p>
    <w:p>
      <w:pPr>
        <w:ind w:left="1460" w:hanging="561"/>
        <w:spacing w:after="0" w:line="268"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300" w:hanging="561"/>
        <w:spacing w:after="0" w:line="298" w:lineRule="auto"/>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60" w:right="40" w:hanging="561"/>
        <w:spacing w:after="0" w:line="259"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right="180" w:hanging="561"/>
        <w:spacing w:after="0" w:line="331" w:lineRule="auto"/>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6"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right="320" w:hanging="447"/>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purchased within 60 days of maturity are valued at cost plus accreted discount, or minus amortized premium, which approximates value.</w:t>
      </w:r>
    </w:p>
    <w:p>
      <w:pPr>
        <w:spacing w:after="0" w:line="50" w:lineRule="exact"/>
        <w:rPr>
          <w:rFonts w:ascii="Arial" w:cs="Arial" w:eastAsia="Arial" w:hAnsi="Arial"/>
          <w:sz w:val="18"/>
          <w:szCs w:val="18"/>
          <w:color w:val="auto"/>
        </w:rPr>
      </w:pPr>
    </w:p>
    <w:p>
      <w:pPr>
        <w:ind w:left="900" w:right="360" w:hanging="447"/>
        <w:spacing w:after="0" w:line="25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65" w:lineRule="exact"/>
        <w:rPr>
          <w:rFonts w:ascii="Arial" w:cs="Arial" w:eastAsia="Arial" w:hAnsi="Arial"/>
          <w:sz w:val="18"/>
          <w:szCs w:val="18"/>
          <w:color w:val="auto"/>
        </w:rPr>
      </w:pPr>
    </w:p>
    <w:p>
      <w:pPr>
        <w:jc w:val="both"/>
        <w:ind w:left="900" w:hanging="447"/>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100"/>
        <w:spacing w:after="0" w:line="298" w:lineRule="auto"/>
        <w:rPr>
          <w:sz w:val="20"/>
          <w:szCs w:val="20"/>
          <w:color w:val="auto"/>
        </w:rPr>
      </w:pPr>
      <w:r>
        <w:rPr>
          <w:rFonts w:ascii="Arial" w:cs="Arial" w:eastAsia="Arial" w:hAnsi="Arial"/>
          <w:sz w:val="16"/>
          <w:szCs w:val="16"/>
          <w:color w:val="auto"/>
        </w:rPr>
        <w:t>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to the extent that we expect to collect such amounts.</w:t>
      </w:r>
    </w:p>
    <w:p>
      <w:pPr>
        <w:spacing w:after="0" w:line="45" w:lineRule="exact"/>
        <w:rPr>
          <w:sz w:val="20"/>
          <w:szCs w:val="20"/>
          <w:color w:val="auto"/>
        </w:rPr>
      </w:pPr>
    </w:p>
    <w:p>
      <w:pPr>
        <w:ind w:left="900" w:right="80" w:hanging="447"/>
        <w:spacing w:after="0" w:line="306"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as of its next taxable year-end,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2007 or September 30, 2008. Although we file federal and state tax returns, our major tax jurisdiction is federal. Our 2008 and 2007 federal tax year remains subject to examination by the IRS.</w:t>
      </w:r>
    </w:p>
    <w:p>
      <w:pPr>
        <w:spacing w:after="0" w:line="34" w:lineRule="exact"/>
        <w:rPr>
          <w:rFonts w:ascii="Arial" w:cs="Arial" w:eastAsia="Arial" w:hAnsi="Arial"/>
          <w:sz w:val="15"/>
          <w:szCs w:val="15"/>
          <w:color w:val="auto"/>
        </w:rPr>
      </w:pPr>
    </w:p>
    <w:p>
      <w:pPr>
        <w:ind w:left="900" w:hanging="447"/>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8" w:lineRule="exact"/>
        <w:rPr>
          <w:rFonts w:ascii="Arial" w:cs="Arial" w:eastAsia="Arial" w:hAnsi="Arial"/>
          <w:sz w:val="18"/>
          <w:szCs w:val="18"/>
          <w:color w:val="auto"/>
        </w:rPr>
      </w:pPr>
    </w:p>
    <w:p>
      <w:pPr>
        <w:ind w:left="900" w:right="180" w:hanging="447"/>
        <w:spacing w:after="0" w:line="323"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6" w:lineRule="exact"/>
        <w:rPr>
          <w:rFonts w:ascii="Arial" w:cs="Arial" w:eastAsia="Arial" w:hAnsi="Arial"/>
          <w:sz w:val="15"/>
          <w:szCs w:val="15"/>
          <w:color w:val="auto"/>
        </w:rPr>
      </w:pPr>
    </w:p>
    <w:p>
      <w:pPr>
        <w:ind w:left="900" w:right="20" w:hanging="447"/>
        <w:spacing w:after="0" w:line="314"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have adopted SFAS 157 on October 1, 2008. This adoption does not affect the Company’s financial position or its results of operations.</w:t>
      </w:r>
    </w:p>
    <w:p>
      <w:pPr>
        <w:spacing w:after="0" w:line="23" w:lineRule="exact"/>
        <w:rPr>
          <w:rFonts w:ascii="Arial" w:cs="Arial" w:eastAsia="Arial" w:hAnsi="Arial"/>
          <w:sz w:val="15"/>
          <w:szCs w:val="15"/>
          <w:color w:val="auto"/>
        </w:rPr>
      </w:pPr>
    </w:p>
    <w:p>
      <w:pPr>
        <w:ind w:left="900" w:hanging="447"/>
        <w:spacing w:after="0" w:line="291"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SFAS 159 on October 1, 2008 and have made an irrevocable election to apply the fair value option to our credit facility liability. Upon our adoption our Net Asset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459" w:right="3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spacing w:after="0" w:line="306" w:lineRule="auto"/>
        <w:rPr>
          <w:sz w:val="20"/>
          <w:szCs w:val="20"/>
          <w:color w:val="auto"/>
        </w:rPr>
      </w:pPr>
      <w:r>
        <w:rPr>
          <w:rFonts w:ascii="Arial" w:cs="Arial" w:eastAsia="Arial" w:hAnsi="Arial"/>
          <w:sz w:val="16"/>
          <w:szCs w:val="16"/>
          <w:color w:val="auto"/>
        </w:rPr>
        <w:t>Value increased by $41.8 million, or $1.98 per share, due to the fair value adjustment related to our credit facility. After adoption, subsequent changes in the fair value of our credit facility will be recorded in the Statement of Operations. We have not elected to apply the fair value option to any other financial assets or liabilities. The balances in the September 30, 2008 financial statements as reported do not reflect such adoption.</w:t>
      </w:r>
    </w:p>
    <w:p>
      <w:pPr>
        <w:spacing w:after="0" w:line="39" w:lineRule="exact"/>
        <w:rPr>
          <w:sz w:val="20"/>
          <w:szCs w:val="20"/>
          <w:color w:val="auto"/>
        </w:rPr>
      </w:pPr>
    </w:p>
    <w:p>
      <w:pPr>
        <w:ind w:left="900" w:hanging="447"/>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246"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w:t>
      </w:r>
    </w:p>
    <w:p>
      <w:pPr>
        <w:spacing w:after="0" w:line="96"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9).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after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 ended September 30, 2008, the Investment Adviser received a net base management fee of $6.7 million from the Company. For the period from April 24, 2007 (initial public offering) through September 30, 2007, the Investment Adviser received a net base management fee of approximately $1.9 million from the Company.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49"/>
        <w:spacing w:after="0" w:line="307" w:lineRule="auto"/>
        <w:rPr>
          <w:sz w:val="20"/>
          <w:szCs w:val="20"/>
          <w:color w:val="auto"/>
        </w:rPr>
      </w:pPr>
      <w:r>
        <w:rPr>
          <w:rFonts w:ascii="Arial" w:cs="Arial" w:eastAsia="Arial" w:hAnsi="Arial"/>
          <w:sz w:val="15"/>
          <w:szCs w:val="15"/>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30" w:lineRule="exact"/>
        <w:rPr>
          <w:sz w:val="20"/>
          <w:szCs w:val="20"/>
          <w:color w:val="auto"/>
        </w:rPr>
      </w:pPr>
    </w:p>
    <w:p>
      <w:pPr>
        <w:ind w:firstLine="457"/>
        <w:spacing w:after="0" w:line="306" w:lineRule="auto"/>
        <w:tabs>
          <w:tab w:leader="none" w:pos="698"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459" w:right="3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87" w:lineRule="exact"/>
        <w:rPr>
          <w:sz w:val="20"/>
          <w:szCs w:val="20"/>
          <w:color w:val="auto"/>
        </w:rPr>
      </w:pPr>
    </w:p>
    <w:p>
      <w:pPr>
        <w:ind w:right="140" w:firstLine="449"/>
        <w:spacing w:after="0" w:line="288"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 ended September 30, 2008, the Adviser received an incentive fee of $3.8 million from the Company. For the period from April 24, 2007 (initial public offering) through September 30, 2007, the Investment Adviser did not receive an incentive fee from the Company.</w:t>
      </w:r>
    </w:p>
    <w:p>
      <w:pPr>
        <w:spacing w:after="0" w:line="124"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 ended September 30, 2008, the Investment Adviser was reimbursed $2.0 million from the Company, including expenses it incurred on behalf of the Administrator, for services described above. For the period from April 24, 2007 (initial public offering) through September 30, 2007, the Investment Adviser was reimbursed approximately $490,000 from the Company for services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 portion of the net proceeds of the Company’s initial public offering was used for organizational, offering and other expenses. Organizational expenses were treated as expenses incurred. Offering costs of $21.3 million were charged to net assets after the completion of the initial public offering on April 24,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right="560" w:firstLine="449"/>
        <w:spacing w:after="0" w:line="331" w:lineRule="auto"/>
        <w:rPr>
          <w:sz w:val="20"/>
          <w:szCs w:val="20"/>
          <w:color w:val="auto"/>
        </w:rPr>
      </w:pPr>
      <w:r>
        <w:rPr>
          <w:rFonts w:ascii="Arial" w:cs="Arial" w:eastAsia="Arial" w:hAnsi="Arial"/>
          <w:sz w:val="16"/>
          <w:szCs w:val="16"/>
          <w:color w:val="auto"/>
        </w:rPr>
        <w:t>On September 30, 2008, PennantPark Investment’s total net assets and net asset value per share were $210.7 million and $10.00, respectively. On September 30, 2007, PennantPark Investment’s total net assets and net asset value per share were $270.4 million and $12.83, respectively.</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January 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6"/>
              <w:spacing w:after="0"/>
              <w:rPr>
                <w:sz w:val="20"/>
                <w:szCs w:val="20"/>
                <w:color w:val="auto"/>
              </w:rPr>
            </w:pPr>
            <w:r>
              <w:rPr>
                <w:rFonts w:ascii="Arial" w:cs="Arial" w:eastAsia="Arial" w:hAnsi="Arial"/>
                <w:sz w:val="13"/>
                <w:szCs w:val="13"/>
                <w:b w:val="1"/>
                <w:bCs w:val="1"/>
                <w:color w:val="auto"/>
                <w:w w:val="89"/>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Year 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September 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1"/>
        </w:trPr>
        <w:tc>
          <w:tcPr>
            <w:tcW w:w="6660" w:type="dxa"/>
            <w:vAlign w:val="bottom"/>
            <w:gridSpan w:val="3"/>
          </w:tcPr>
          <w:p>
            <w:pPr>
              <w:spacing w:after="0"/>
              <w:rPr>
                <w:sz w:val="20"/>
                <w:szCs w:val="20"/>
                <w:color w:val="auto"/>
              </w:rPr>
            </w:pPr>
            <w:r>
              <w:rPr>
                <w:rFonts w:ascii="Arial" w:cs="Arial" w:eastAsia="Arial" w:hAnsi="Arial"/>
                <w:sz w:val="13"/>
                <w:szCs w:val="13"/>
                <w:b w:val="1"/>
                <w:bCs w:val="1"/>
                <w:color w:val="auto"/>
              </w:rPr>
              <w:t>Class and Year</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
              <w:spacing w:after="0"/>
              <w:rPr>
                <w:sz w:val="20"/>
                <w:szCs w:val="20"/>
                <w:color w:val="auto"/>
              </w:rPr>
            </w:pPr>
            <w:r>
              <w:rPr>
                <w:rFonts w:ascii="Arial" w:cs="Arial" w:eastAsia="Arial" w:hAnsi="Arial"/>
                <w:sz w:val="13"/>
                <w:szCs w:val="13"/>
                <w:b w:val="1"/>
                <w:bCs w:val="1"/>
                <w:color w:val="auto"/>
                <w:w w:val="96"/>
              </w:rPr>
              <w:t>2008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6"/>
              <w:spacing w:after="0"/>
              <w:rPr>
                <w:sz w:val="20"/>
                <w:szCs w:val="20"/>
                <w:color w:val="auto"/>
              </w:rPr>
            </w:pPr>
            <w:r>
              <w:rPr>
                <w:rFonts w:ascii="Arial" w:cs="Arial" w:eastAsia="Arial" w:hAnsi="Arial"/>
                <w:sz w:val="13"/>
                <w:szCs w:val="13"/>
                <w:b w:val="1"/>
                <w:bCs w:val="1"/>
                <w:color w:val="auto"/>
                <w:w w:val="89"/>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decrease in net assets resulting from operations: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(40,702,939)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21,068,772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20,936,149*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decrease in net assets per share resulting from operations: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Since completion of IPO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600" w:firstLine="449"/>
        <w:spacing w:after="0" w:line="268" w:lineRule="auto"/>
        <w:rPr>
          <w:sz w:val="20"/>
          <w:szCs w:val="20"/>
          <w:color w:val="auto"/>
        </w:rPr>
      </w:pPr>
      <w:r>
        <w:rPr>
          <w:rFonts w:ascii="Arial" w:cs="Arial" w:eastAsia="Arial" w:hAnsi="Arial"/>
          <w:sz w:val="18"/>
          <w:szCs w:val="18"/>
          <w:color w:val="auto"/>
        </w:rPr>
        <w:t>Purchases and sales/repayments of long-term investments for the fiscal year ended September 30, 2008 totaled $206.8 million and $70.1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655"/>
              <w:spacing w:after="0"/>
              <w:rPr>
                <w:sz w:val="20"/>
                <w:szCs w:val="20"/>
                <w:color w:val="auto"/>
              </w:rPr>
            </w:pPr>
            <w:r>
              <w:rPr>
                <w:rFonts w:ascii="Arial" w:cs="Arial" w:eastAsia="Arial" w:hAnsi="Arial"/>
                <w:sz w:val="13"/>
                <w:szCs w:val="13"/>
                <w:b w:val="1"/>
                <w:bCs w:val="1"/>
                <w:color w:val="auto"/>
              </w:rPr>
              <w:t>September 30, 2008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ind w:left="580"/>
              <w:spacing w:after="0"/>
              <w:rPr>
                <w:sz w:val="20"/>
                <w:szCs w:val="20"/>
                <w:color w:val="auto"/>
              </w:rPr>
            </w:pPr>
            <w:r>
              <w:rPr>
                <w:rFonts w:ascii="Arial" w:cs="Arial" w:eastAsia="Arial" w:hAnsi="Arial"/>
                <w:sz w:val="13"/>
                <w:szCs w:val="13"/>
                <w:b w:val="1"/>
                <w:bCs w:val="1"/>
                <w:color w:val="auto"/>
              </w:rPr>
              <w:t>September 30, 2007</w:t>
            </w:r>
          </w:p>
        </w:tc>
      </w:tr>
      <w:tr>
        <w:trPr>
          <w:trHeight w:val="142"/>
        </w:trPr>
        <w:tc>
          <w:tcPr>
            <w:tcW w:w="4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3"/>
                <w:szCs w:val="13"/>
                <w:b w:val="1"/>
                <w:bCs w:val="1"/>
                <w:color w:val="auto"/>
              </w:rPr>
              <w:t>Cost</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Fair Value</w:t>
            </w: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3"/>
                <w:szCs w:val="13"/>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2"/>
                <w:szCs w:val="12"/>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132,155,221</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104,242,000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75,260,488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67,748,750</w:t>
            </w:r>
          </w:p>
        </w:tc>
        <w:tc>
          <w:tcPr>
            <w:tcW w:w="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Subordinated debt / corporate notes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187,087,744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166,173,175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62,397,146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57,318,268</w:t>
            </w:r>
          </w:p>
        </w:tc>
        <w:tc>
          <w:tcPr>
            <w:tcW w:w="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9,298,819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9,298,819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Common equity</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10,409,360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13,588,897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6,750,000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105,222,862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170,474,236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158,929,905</w:t>
            </w:r>
          </w:p>
        </w:tc>
        <w:tc>
          <w:tcPr>
            <w:tcW w:w="20" w:type="dxa"/>
            <w:vAlign w:val="bottom"/>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Cash equivalents</w:t>
            </w:r>
          </w:p>
        </w:tc>
        <w:tc>
          <w:tcPr>
            <w:tcW w:w="1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258,016,351</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257,959,635</w:t>
            </w:r>
          </w:p>
        </w:tc>
        <w:tc>
          <w:tcPr>
            <w:tcW w:w="2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484,423,207</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412,397,021</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572,898,221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548,976,243</w:t>
            </w:r>
          </w:p>
        </w:tc>
        <w:tc>
          <w:tcPr>
            <w:tcW w:w="2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5540" w:right="1680" w:hanging="5078"/>
        <w:spacing w:after="0" w:line="440" w:lineRule="auto"/>
        <w:rPr>
          <w:sz w:val="20"/>
          <w:szCs w:val="20"/>
          <w:color w:val="auto"/>
        </w:rPr>
      </w:pPr>
      <w:r>
        <w:rPr>
          <w:rFonts w:ascii="Arial" w:cs="Arial" w:eastAsia="Arial" w:hAnsi="Arial"/>
          <w:sz w:val="18"/>
          <w:szCs w:val="18"/>
          <w:color w:val="auto"/>
        </w:rPr>
        <w:t>Cost represents the original cost adjusted for the accretion of discounts and amortization of premiums on debt investments, if any. 73</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2008 and September 30, 2007.</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gridSpan w:val="3"/>
          </w:tcPr>
          <w:p>
            <w:pPr>
              <w:spacing w:after="0"/>
              <w:rPr>
                <w:sz w:val="20"/>
                <w:szCs w:val="20"/>
                <w:color w:val="auto"/>
              </w:rPr>
            </w:pPr>
            <w:r>
              <w:rPr>
                <w:rFonts w:ascii="Arial" w:cs="Arial" w:eastAsia="Arial" w:hAnsi="Arial"/>
                <w:sz w:val="13"/>
                <w:szCs w:val="13"/>
                <w:b w:val="1"/>
                <w:bCs w:val="1"/>
                <w:color w:val="auto"/>
              </w:rPr>
              <w:t>Industry Classification</w:t>
            </w:r>
          </w:p>
        </w:tc>
        <w:tc>
          <w:tcPr>
            <w:tcW w:w="278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rPr>
              <w:t>September 30, 2008</w:t>
            </w:r>
          </w:p>
        </w:tc>
        <w:tc>
          <w:tcPr>
            <w:tcW w:w="19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September 30,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Energy /Utilities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Manufacturing / Basic Industry</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Broadcast and Entertainment</w:t>
            </w:r>
          </w:p>
        </w:tc>
        <w:tc>
          <w:tcPr>
            <w:tcW w:w="860" w:type="dxa"/>
            <w:vAlign w:val="bottom"/>
          </w:tcPr>
          <w:p>
            <w:pPr>
              <w:spacing w:after="0"/>
              <w:rPr>
                <w:sz w:val="18"/>
                <w:szCs w:val="18"/>
                <w:color w:val="auto"/>
              </w:rPr>
            </w:pP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8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860" w:type="dxa"/>
            <w:vAlign w:val="bottom"/>
          </w:tcPr>
          <w:p>
            <w:pPr>
              <w:spacing w:after="0"/>
              <w:rPr>
                <w:sz w:val="18"/>
                <w:szCs w:val="18"/>
                <w:color w:val="auto"/>
              </w:rPr>
            </w:pP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8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1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During the fiscal year ended September 30, 2008, there were no permanent book-to-tax differences present. Aggregate stockholders’ equity was not affected as a result of any reclassification. As of September 30, 2008, the cost of investments for federal income tax purposes was $444.2 million resulting in a gross unrealized appreciation and depreciation of $7.9 million and $79.9 million, respectively. The following reconciles net increase in stockholders’ equity resulting from operations to taxable income for the year ended September 30, 2008:</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stockholders’ equity resulting from operations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(40,702,939)</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unrealized depreciation on investments transactions not taxable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48,104,208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 not taxable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11,154,735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income derived from revenue recognition of contractual PIK interest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(295,894)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deductible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21"/>
        </w:trPr>
        <w:tc>
          <w:tcPr>
            <w:tcW w:w="674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18,246,302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620"/>
              <w:spacing w:after="0"/>
              <w:rPr>
                <w:sz w:val="20"/>
                <w:szCs w:val="20"/>
                <w:color w:val="auto"/>
              </w:rPr>
            </w:pPr>
            <w:r>
              <w:rPr>
                <w:rFonts w:ascii="Arial" w:cs="Arial" w:eastAsia="Arial" w:hAnsi="Arial"/>
                <w:sz w:val="18"/>
                <w:szCs w:val="18"/>
                <w:color w:val="auto"/>
              </w:rPr>
              <w:t>74</w:t>
            </w: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September 30, 2008, the components of accumulated losses on tax basis and reconciliation to accumulated losses on a book basis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Capital loss carry forward*</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(205,217)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2007 capital losses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(11,045,348)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Net unrealized appreciation (depreciation) of investments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(72,026,186)</w:t>
            </w: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earnings/(deficit)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(83,879,411)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Expires 2016.</w:t>
      </w:r>
    </w:p>
    <w:p>
      <w:pPr>
        <w:spacing w:after="0" w:line="17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Under federal tax law, foreign currency and capital losses realized after October 31 may be deferred and treated as having arisen on the first day of the following fiscal year. For the year ended September 30, 2008, the Corporation incurred post October capital losses of $11.0 million that will be deferred to the year ended September 30,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right="120" w:firstLine="449"/>
        <w:spacing w:after="0" w:line="288"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AGREEMENTS</w:t>
      </w:r>
    </w:p>
    <w:p>
      <w:pPr>
        <w:spacing w:after="0" w:line="9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2008 or September 30, 2007.</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32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Period from</w:t>
            </w:r>
          </w:p>
        </w:tc>
      </w:tr>
      <w:tr>
        <w:trPr>
          <w:trHeight w:val="148"/>
        </w:trPr>
        <w:tc>
          <w:tcPr>
            <w:tcW w:w="5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4"/>
              </w:rPr>
              <w:t>January 11,</w:t>
            </w:r>
          </w:p>
        </w:tc>
      </w:tr>
      <w:tr>
        <w:trPr>
          <w:trHeight w:val="148"/>
        </w:trPr>
        <w:tc>
          <w:tcPr>
            <w:tcW w:w="5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2007</w:t>
            </w:r>
          </w:p>
        </w:tc>
        <w:tc>
          <w:tcPr>
            <w:tcW w:w="340" w:type="dxa"/>
            <w:vAlign w:val="bottom"/>
          </w:tcPr>
          <w:p>
            <w:pPr>
              <w:spacing w:after="0"/>
              <w:rPr>
                <w:sz w:val="12"/>
                <w:szCs w:val="12"/>
                <w:color w:val="auto"/>
              </w:rPr>
            </w:pPr>
          </w:p>
        </w:tc>
      </w:tr>
      <w:tr>
        <w:trPr>
          <w:trHeight w:val="148"/>
        </w:trPr>
        <w:tc>
          <w:tcPr>
            <w:tcW w:w="5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(inception)</w:t>
            </w:r>
          </w:p>
        </w:tc>
      </w:tr>
      <w:tr>
        <w:trPr>
          <w:trHeight w:val="148"/>
        </w:trPr>
        <w:tc>
          <w:tcPr>
            <w:tcW w:w="5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1"/>
              </w:rPr>
              <w:t>Year 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through</w:t>
            </w:r>
          </w:p>
        </w:tc>
      </w:tr>
      <w:tr>
        <w:trPr>
          <w:trHeight w:val="149"/>
        </w:trPr>
        <w:tc>
          <w:tcPr>
            <w:tcW w:w="5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92"/>
              </w:rPr>
              <w:t>September 30,</w:t>
            </w:r>
          </w:p>
        </w:tc>
        <w:tc>
          <w:tcPr>
            <w:tcW w:w="320" w:type="dxa"/>
            <w:vAlign w:val="bottom"/>
          </w:tcPr>
          <w:p>
            <w:pPr>
              <w:spacing w:after="0"/>
              <w:rPr>
                <w:sz w:val="12"/>
                <w:szCs w:val="12"/>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2"/>
              </w:rPr>
              <w:t>September 30,</w:t>
            </w:r>
          </w:p>
        </w:tc>
      </w:tr>
      <w:tr>
        <w:trPr>
          <w:trHeight w:val="161"/>
        </w:trPr>
        <w:tc>
          <w:tcPr>
            <w:tcW w:w="5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6"/>
              </w:rPr>
              <w:t>2008</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2007</w:t>
            </w:r>
          </w:p>
        </w:tc>
        <w:tc>
          <w:tcPr>
            <w:tcW w:w="340" w:type="dxa"/>
            <w:vAlign w:val="bottom"/>
          </w:tcPr>
          <w:p>
            <w:pPr>
              <w:spacing w:after="0"/>
              <w:rPr>
                <w:sz w:val="14"/>
                <w:szCs w:val="14"/>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12.83</w:t>
            </w:r>
          </w:p>
        </w:tc>
        <w:tc>
          <w:tcPr>
            <w:tcW w:w="5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change in realized and unrealized loss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(0.80)</w:t>
            </w: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22"/>
                <w:szCs w:val="22"/>
                <w:color w:val="auto"/>
                <w:vertAlign w:val="superscript"/>
              </w:rPr>
              <w:t>(1)</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(0.90)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(0.36)</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34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7.41</w:t>
            </w:r>
          </w:p>
        </w:tc>
        <w:tc>
          <w:tcPr>
            <w:tcW w:w="5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13.40</w:t>
            </w:r>
          </w:p>
        </w:tc>
        <w:tc>
          <w:tcPr>
            <w:tcW w:w="34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18"/>
                <w:szCs w:val="18"/>
                <w:color w:val="auto"/>
              </w:rPr>
              <w:t>(8.29)%</w:t>
            </w:r>
            <w:r>
              <w:rPr>
                <w:rFonts w:ascii="Arial" w:cs="Arial" w:eastAsia="Arial" w:hAnsi="Arial"/>
                <w:sz w:val="22"/>
                <w:szCs w:val="22"/>
                <w:color w:val="auto"/>
                <w:vertAlign w:val="superscript"/>
              </w:rPr>
              <w:t>(4)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21,068,772</w:t>
            </w:r>
          </w:p>
        </w:tc>
        <w:tc>
          <w:tcPr>
            <w:tcW w:w="34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22"/>
                <w:szCs w:val="22"/>
                <w:color w:val="auto"/>
                <w:vertAlign w:val="superscript"/>
              </w:rPr>
              <w:t>(3)</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6.30%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80"/>
              <w:spacing w:after="0" w:line="216" w:lineRule="exact"/>
              <w:rPr>
                <w:sz w:val="20"/>
                <w:szCs w:val="20"/>
                <w:color w:val="auto"/>
              </w:rPr>
            </w:pPr>
            <w:r>
              <w:rPr>
                <w:rFonts w:ascii="Arial" w:cs="Arial" w:eastAsia="Arial" w:hAnsi="Arial"/>
                <w:sz w:val="18"/>
                <w:szCs w:val="18"/>
                <w:color w:val="auto"/>
              </w:rPr>
              <w:t>3.76%</w:t>
            </w:r>
            <w:r>
              <w:rPr>
                <w:rFonts w:ascii="Arial" w:cs="Arial" w:eastAsia="Arial" w:hAnsi="Arial"/>
                <w:sz w:val="22"/>
                <w:szCs w:val="22"/>
                <w:color w:val="auto"/>
                <w:vertAlign w:val="superscript"/>
              </w:rPr>
              <w:t>(4)</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8"/>
                <w:szCs w:val="18"/>
                <w:color w:val="auto"/>
              </w:rPr>
              <w:t>1.50%</w:t>
            </w:r>
            <w:r>
              <w:rPr>
                <w:rFonts w:ascii="Arial" w:cs="Arial" w:eastAsia="Arial" w:hAnsi="Arial"/>
                <w:sz w:val="22"/>
                <w:szCs w:val="22"/>
                <w:color w:val="auto"/>
                <w:vertAlign w:val="superscript"/>
              </w:rPr>
              <w:t>(4)</w:t>
            </w: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22"/>
                <w:szCs w:val="22"/>
                <w:color w:val="auto"/>
                <w:vertAlign w:val="superscript"/>
              </w:rPr>
              <w:t>(3)</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8.96%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80"/>
              <w:spacing w:after="0" w:line="216" w:lineRule="exact"/>
              <w:rPr>
                <w:sz w:val="20"/>
                <w:szCs w:val="20"/>
                <w:color w:val="auto"/>
              </w:rPr>
            </w:pPr>
            <w:r>
              <w:rPr>
                <w:rFonts w:ascii="Arial" w:cs="Arial" w:eastAsia="Arial" w:hAnsi="Arial"/>
                <w:sz w:val="18"/>
                <w:szCs w:val="18"/>
                <w:color w:val="auto"/>
              </w:rPr>
              <w:t>5.26%</w:t>
            </w:r>
            <w:r>
              <w:rPr>
                <w:rFonts w:ascii="Arial" w:cs="Arial" w:eastAsia="Arial" w:hAnsi="Arial"/>
                <w:sz w:val="22"/>
                <w:szCs w:val="22"/>
                <w:color w:val="auto"/>
                <w:vertAlign w:val="superscript"/>
              </w:rPr>
              <w:t>(4)</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8"/>
                <w:szCs w:val="18"/>
                <w:color w:val="auto"/>
              </w:rPr>
              <w:t>5.96%</w:t>
            </w:r>
            <w:r>
              <w:rPr>
                <w:rFonts w:ascii="Arial" w:cs="Arial" w:eastAsia="Arial" w:hAnsi="Arial"/>
                <w:sz w:val="22"/>
                <w:szCs w:val="22"/>
                <w:color w:val="auto"/>
                <w:vertAlign w:val="superscript"/>
              </w:rPr>
              <w:t>(4)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210,728,260</w:t>
            </w:r>
          </w:p>
        </w:tc>
        <w:tc>
          <w:tcPr>
            <w:tcW w:w="5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270,393,094</w:t>
            </w:r>
          </w:p>
        </w:tc>
        <w:tc>
          <w:tcPr>
            <w:tcW w:w="34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119,472,732</w:t>
            </w: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5.67</w:t>
            </w:r>
          </w:p>
        </w:tc>
        <w:tc>
          <w:tcPr>
            <w:tcW w:w="5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(4)</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15" w:lineRule="exact"/>
        <w:rPr>
          <w:sz w:val="20"/>
          <w:szCs w:val="20"/>
          <w:color w:val="auto"/>
        </w:rPr>
      </w:pPr>
    </w:p>
    <w:p>
      <w:pPr>
        <w:ind w:left="460" w:right="40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10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ind w:left="460" w:right="6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the fiscal year ended September 30, 2008, the ratio of operating expenses before management fee waiver to average net assets was 6.47%, and the ratio of total expenses before management fee waiver to average net assets was 9.13%. For the period from April 24, 2007 (initial public offering) through September 30, 2007, the ratio of operating expenses before management fee waiver to average net assets was 4.28%, and the ratio of total expenses before management fee waiver to average net assets was 5.78%.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96" w:lineRule="exact"/>
        <w:rPr>
          <w:sz w:val="20"/>
          <w:szCs w:val="20"/>
          <w:color w:val="auto"/>
        </w:rPr>
      </w:pPr>
    </w:p>
    <w:p>
      <w:pPr>
        <w:ind w:firstLine="449"/>
        <w:spacing w:after="0" w:line="323" w:lineRule="auto"/>
        <w:rPr>
          <w:sz w:val="20"/>
          <w:szCs w:val="20"/>
          <w:color w:val="auto"/>
        </w:rPr>
      </w:pPr>
      <w:r>
        <w:rPr>
          <w:rFonts w:ascii="Arial" w:cs="Arial" w:eastAsia="Arial" w:hAnsi="Arial"/>
          <w:sz w:val="15"/>
          <w:szCs w:val="15"/>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September 30, 2008, there was $202.0 million in outstanding borrowings under the Credit Agreement (including $40.0 million temporary draw), with an average interest rate of 3.93%.</w:t>
      </w:r>
    </w:p>
    <w:p>
      <w:pPr>
        <w:spacing w:after="0" w:line="97" w:lineRule="exact"/>
        <w:rPr>
          <w:sz w:val="20"/>
          <w:szCs w:val="20"/>
          <w:color w:val="auto"/>
        </w:rPr>
      </w:pPr>
    </w:p>
    <w:p>
      <w:pPr>
        <w:ind w:right="560" w:firstLine="449"/>
        <w:spacing w:after="0" w:line="268" w:lineRule="auto"/>
        <w:rPr>
          <w:sz w:val="20"/>
          <w:szCs w:val="20"/>
          <w:color w:val="auto"/>
        </w:rPr>
      </w:pPr>
      <w:r>
        <w:rPr>
          <w:rFonts w:ascii="Arial" w:cs="Arial" w:eastAsia="Arial" w:hAnsi="Arial"/>
          <w:sz w:val="18"/>
          <w:szCs w:val="18"/>
          <w:color w:val="auto"/>
        </w:rPr>
        <w:t>Under the Credit Agreement, the lenders agreed to extend credit to PennantPark Investment in an initial aggregate principal or face amount not exceeding $300,000,000 at any one time outstanding. The Credit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9" w:right="5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Agreement is a five-year revolving facility (with a stated maturity date of June 25, 2012) and is secured by substantially all of the assets in PennantPark Investment’s portfolio. Pricing is set at 100 basis points over LIBOR.</w:t>
      </w:r>
    </w:p>
    <w:p>
      <w:pPr>
        <w:spacing w:after="0" w:line="13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Separately, Pennant SPV Company, LLC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44" w:lineRule="exact"/>
        <w:rPr>
          <w:sz w:val="20"/>
          <w:szCs w:val="20"/>
          <w:color w:val="auto"/>
        </w:rPr>
      </w:pPr>
    </w:p>
    <w:p>
      <w:pPr>
        <w:ind w:right="320" w:firstLine="449"/>
        <w:spacing w:after="0" w:line="298" w:lineRule="auto"/>
        <w:rPr>
          <w:sz w:val="20"/>
          <w:szCs w:val="20"/>
          <w:color w:val="auto"/>
        </w:rPr>
      </w:pPr>
      <w:r>
        <w:rPr>
          <w:rFonts w:ascii="Arial" w:cs="Arial" w:eastAsia="Arial" w:hAnsi="Arial"/>
          <w:sz w:val="16"/>
          <w:szCs w:val="16"/>
          <w:color w:val="auto"/>
        </w:rPr>
        <w:t>The Credit Agreement contains customary affirmative and negative covenants, including the maintenance of a minimum stockholders’ equity, the maintenance of a ratio not less than 200% of total assets (less total liabilities other than indebtedness) to total indebtedness (approximately 204% including temporary draw as of September 30, 2008 or 230% excluding such draws), and restrictions on certain payments and issuance of debt. For a complete list of such covenants, see our current report on Form 8-K, filed June 28, 2007.</w:t>
      </w:r>
    </w:p>
    <w:p>
      <w:pPr>
        <w:spacing w:after="0" w:line="112"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Subsequent to September 30, 2008 and through the date of this report, conditions in the public debt and equity markets have continued to deteriorate and our net asset value has continued to decline. The Credit Agreement requires the Company to maintain a minimum amount of shareholder’s equity and requires that the Company’s outstanding borrowings under the Credit Agreement not exceed a certain percentage of the values of its portfolio companies. The Company’s continued compliance with these covenants depends on many factors, some of which are beyond the Company’s control. For example, during the fiscal year ended September 30, 2008, net unrealized depreciation in the Company’s portfolio increased and, given the further deterioration in public capital markets and pricing levels subsequent to this period, net unrealized depreciation in the portfolio may continue to increase in the future. Further material net asset devaluation could have a material adverse effect on the Company’s operations, and could require the Company to reduce its borrowings under the Credit Agreement in order to comply with certain of the Credit Agreement covenants, including the ratio of total assets to total indebtedness.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49"/>
        <w:spacing w:after="0" w:line="310" w:lineRule="auto"/>
        <w:rPr>
          <w:sz w:val="20"/>
          <w:szCs w:val="20"/>
          <w:color w:val="auto"/>
        </w:rPr>
      </w:pPr>
      <w:r>
        <w:rPr>
          <w:rFonts w:ascii="Arial" w:cs="Arial" w:eastAsia="Arial" w:hAnsi="Arial"/>
          <w:sz w:val="15"/>
          <w:szCs w:val="15"/>
          <w:color w:val="auto"/>
        </w:rPr>
        <w:t>As of September 30, 2008, we, including our Chief Executive Officer and Chief Financial Officer, evaluated the effectiveness of the design and operation of our disclosure controls and procedures (as defined in Rule 13a-15(e) of the 1934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Management’s Report on Internal Control Over Financial Reporting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Management’s Report on Internal Control Over Financial Reporting, which appears on page 68 of this Form 10-K, is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Changes in Internal Controls Over Financial Reporting.</w:t>
      </w:r>
    </w:p>
    <w:p>
      <w:pPr>
        <w:spacing w:after="0" w:line="90" w:lineRule="exact"/>
        <w:rPr>
          <w:sz w:val="20"/>
          <w:szCs w:val="20"/>
          <w:color w:val="auto"/>
        </w:rPr>
      </w:pPr>
    </w:p>
    <w:p>
      <w:pPr>
        <w:ind w:right="40" w:firstLine="449"/>
        <w:spacing w:after="0" w:line="331"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2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We will file a definitive Proxy Statement for our 2009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22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The information required by Item 10 is hereby incorporated by reference from our definitive Proxy Statement relating to our 2009 Annual Meeting of Stockholders, to be filed with the Securities and Exchange Commission within 120 days following the end of our fiscal year.</w:t>
      </w:r>
    </w:p>
    <w:p>
      <w:pPr>
        <w:spacing w:after="0" w:line="2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The information required by Item 11 is hereby incorporated by reference from our definitive Proxy Statement relating to our 2009 Annual Meeting of Stockholders, to be filed with the Securities and Exchange Commission within 120 days following the end of our fiscal year.</w:t>
      </w:r>
    </w:p>
    <w:p>
      <w:pPr>
        <w:spacing w:after="0" w:line="2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The information required by Item 12 is hereby incorporated by reference from our definitive Proxy Statement relating to our 2009 Annual Meeting of Stockholders, to be filed with the Securities and Exchange Commission within 120 days following the end of our fiscal year.</w:t>
      </w:r>
    </w:p>
    <w:p>
      <w:pPr>
        <w:spacing w:after="0" w:line="2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The information required by Item 13 is hereby incorporated by reference from our definitive Proxy Statement relating to our 2009 Annual Meeting of Stockholders, to be filed with the Securities and Exchange Commission within 120 days following the end of our fiscal year.</w:t>
      </w:r>
    </w:p>
    <w:p>
      <w:pPr>
        <w:spacing w:after="0" w:line="2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The information required by Item 14 is hereby incorporated by reference from our definitive Proxy Statement relating to our 2009 Annual Meeting of Stockholders, to be filed with the Securities and Exchange Commission within 120 days following the end of our fiscal year.</w:t>
      </w:r>
    </w:p>
    <w:p>
      <w:pPr>
        <w:spacing w:after="0" w:line="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60"/>
          </w:cols>
          <w:pgMar w:left="32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90" w:lineRule="exact"/>
        <w:rPr>
          <w:sz w:val="20"/>
          <w:szCs w:val="20"/>
          <w:color w:val="auto"/>
        </w:rPr>
      </w:pPr>
    </w:p>
    <w:p>
      <w:pPr>
        <w:ind w:left="900" w:hanging="44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Statements—Refer to Item 8 above</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Statement Schedules—None.</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jc w:val="right"/>
              <w:ind w:right="292"/>
              <w:spacing w:after="0"/>
              <w:rPr>
                <w:sz w:val="20"/>
                <w:szCs w:val="20"/>
                <w:color w:val="auto"/>
              </w:rPr>
            </w:pPr>
            <w:r>
              <w:rPr>
                <w:rFonts w:ascii="Arial" w:cs="Arial" w:eastAsia="Arial" w:hAnsi="Arial"/>
                <w:sz w:val="18"/>
                <w:szCs w:val="18"/>
                <w:color w:val="auto"/>
              </w:rPr>
              <w:t>3.1</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Articles of Incorporation (Incorporated by reference to the Registrant’s Pre-Effective Amendment No. 1 to the Registration Statement on Form</w:t>
            </w:r>
          </w:p>
        </w:tc>
      </w:tr>
      <w:tr>
        <w:trPr>
          <w:trHeight w:val="222"/>
        </w:trPr>
        <w:tc>
          <w:tcPr>
            <w:tcW w:w="68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N-2 (File No. 333-140092), filed on March 5, 2007).</w:t>
            </w:r>
          </w:p>
        </w:tc>
      </w:tr>
      <w:tr>
        <w:trPr>
          <w:trHeight w:val="318"/>
        </w:trPr>
        <w:tc>
          <w:tcPr>
            <w:tcW w:w="68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Amended and Restated Bylaws (Incorporated by reference to Exhibit 3.2 to the Registrant’s Annual Report on Form 10-K (File No. 814-00736),</w:t>
            </w:r>
          </w:p>
        </w:tc>
      </w:tr>
      <w:tr>
        <w:trPr>
          <w:trHeight w:val="222"/>
        </w:trPr>
        <w:tc>
          <w:tcPr>
            <w:tcW w:w="68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filed on December 13, 2007).</w:t>
            </w:r>
          </w:p>
        </w:tc>
      </w:tr>
      <w:tr>
        <w:trPr>
          <w:trHeight w:val="318"/>
        </w:trPr>
        <w:tc>
          <w:tcPr>
            <w:tcW w:w="68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Form of Share Certificate (Incorporated by reference to Exhibit 99(d)(1) to the Registrant’s Registration Statement on Form N-2 (File No. 333-</w:t>
            </w:r>
          </w:p>
        </w:tc>
      </w:tr>
      <w:tr>
        <w:trPr>
          <w:trHeight w:val="222"/>
        </w:trPr>
        <w:tc>
          <w:tcPr>
            <w:tcW w:w="68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150033), filed on April 2, 2008).</w:t>
            </w:r>
          </w:p>
        </w:tc>
      </w:tr>
      <w:tr>
        <w:trPr>
          <w:trHeight w:val="318"/>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10.1</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Form of Investment Management Agreement between the Registrant and PennantPark Investment Advisers, LLC (Incorporated by reference to</w:t>
            </w:r>
          </w:p>
        </w:tc>
      </w:tr>
      <w:tr>
        <w:trPr>
          <w:trHeight w:val="222"/>
        </w:trPr>
        <w:tc>
          <w:tcPr>
            <w:tcW w:w="68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Exhibit 99(g) to the Registrant’s Registration Statement on Form N-2 (File No. 333-150033), filed on April 2, 2008).</w:t>
            </w:r>
          </w:p>
        </w:tc>
      </w:tr>
      <w:tr>
        <w:trPr>
          <w:trHeight w:val="318"/>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10.2</w:t>
            </w:r>
          </w:p>
        </w:tc>
        <w:tc>
          <w:tcPr>
            <w:tcW w:w="10460" w:type="dxa"/>
            <w:vAlign w:val="bottom"/>
          </w:tcPr>
          <w:p>
            <w:pPr>
              <w:ind w:left="300"/>
              <w:spacing w:after="0"/>
              <w:rPr>
                <w:sz w:val="20"/>
                <w:szCs w:val="20"/>
                <w:color w:val="auto"/>
              </w:rPr>
            </w:pPr>
            <w:r>
              <w:rPr>
                <w:rFonts w:ascii="Arial" w:cs="Arial" w:eastAsia="Arial" w:hAnsi="Arial"/>
                <w:sz w:val="18"/>
                <w:szCs w:val="18"/>
                <w:color w:val="auto"/>
                <w:w w:val="95"/>
              </w:rPr>
              <w:t>Form of Custodian Agreement between the Registrant and PFPC Trust Company (Incorporated by reference to Exhibit 99(j)(1) to the</w:t>
            </w:r>
          </w:p>
        </w:tc>
      </w:tr>
      <w:tr>
        <w:trPr>
          <w:trHeight w:val="222"/>
        </w:trPr>
        <w:tc>
          <w:tcPr>
            <w:tcW w:w="68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Registrant’s Registration Statement on Form N-2 (File No. 333-150033), filed on April 2, 2008).</w:t>
            </w:r>
          </w:p>
        </w:tc>
      </w:tr>
      <w:tr>
        <w:trPr>
          <w:trHeight w:val="318"/>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10.3</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Form of Administration Agreement between the Registrant and various lenders (Incorporated by reference to Exhibit 99(k)(1) to the Registrant’s</w:t>
            </w:r>
          </w:p>
        </w:tc>
      </w:tr>
      <w:tr>
        <w:trPr>
          <w:trHeight w:val="222"/>
        </w:trPr>
        <w:tc>
          <w:tcPr>
            <w:tcW w:w="68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Registration Statement on Form N-2 (File No. 333-150033), filed on April 2, 2008).</w:t>
            </w:r>
          </w:p>
        </w:tc>
      </w:tr>
      <w:tr>
        <w:trPr>
          <w:trHeight w:val="318"/>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10.4</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Dividend Reinvestment Plan (Incorporated by reference to Exhibit 99(e) to the Registrant’s Registration Statement on Form N-2 (File No. 333-</w:t>
            </w:r>
          </w:p>
        </w:tc>
      </w:tr>
      <w:tr>
        <w:trPr>
          <w:trHeight w:val="222"/>
        </w:trPr>
        <w:tc>
          <w:tcPr>
            <w:tcW w:w="68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150033), filed on April 2, 2008).</w:t>
            </w:r>
          </w:p>
        </w:tc>
      </w:tr>
      <w:tr>
        <w:trPr>
          <w:trHeight w:val="318"/>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10.5</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Senior Secured Revolving Credit Agreement between Registrant and various lenders (Incorporated by reference to the Report on Form 8-K.</w:t>
            </w:r>
          </w:p>
        </w:tc>
      </w:tr>
      <w:tr>
        <w:trPr>
          <w:trHeight w:val="222"/>
        </w:trPr>
        <w:tc>
          <w:tcPr>
            <w:tcW w:w="68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Exhibit 99.2 (File No. 814-00736), filed on June 28, 2007).</w:t>
            </w:r>
          </w:p>
        </w:tc>
      </w:tr>
      <w:tr>
        <w:trPr>
          <w:trHeight w:val="324"/>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99"/>
              </w:rPr>
              <w:t>11</w:t>
            </w:r>
          </w:p>
        </w:tc>
        <w:tc>
          <w:tcPr>
            <w:tcW w:w="10460" w:type="dxa"/>
            <w:vAlign w:val="bottom"/>
          </w:tcPr>
          <w:p>
            <w:pPr>
              <w:ind w:left="300"/>
              <w:spacing w:after="0"/>
              <w:rPr>
                <w:sz w:val="20"/>
                <w:szCs w:val="20"/>
                <w:color w:val="auto"/>
              </w:rPr>
            </w:pPr>
            <w:r>
              <w:rPr>
                <w:rFonts w:ascii="Arial" w:cs="Arial" w:eastAsia="Arial" w:hAnsi="Arial"/>
                <w:sz w:val="18"/>
                <w:szCs w:val="18"/>
                <w:color w:val="auto"/>
              </w:rPr>
              <w:t>Computation of Per Share Earnings (included in the notes to the unaudited financial statements contained in this Report).</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90"/>
              </w:rPr>
              <w:t>31.1*</w:t>
            </w:r>
          </w:p>
        </w:tc>
        <w:tc>
          <w:tcPr>
            <w:tcW w:w="1046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pursuant to Rule 13a-14 of the Securities Exchange Act of 1934, as amended.</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90"/>
              </w:rPr>
              <w:t>31.2*</w:t>
            </w:r>
          </w:p>
        </w:tc>
        <w:tc>
          <w:tcPr>
            <w:tcW w:w="1046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 Rule 13a-14 of the Securities Exchange Act of 1934, as amended.</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90"/>
              </w:rPr>
              <w:t>32.1*</w:t>
            </w:r>
          </w:p>
        </w:tc>
        <w:tc>
          <w:tcPr>
            <w:tcW w:w="1046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90"/>
              </w:rPr>
              <w:t>32.2*</w:t>
            </w:r>
          </w:p>
        </w:tc>
        <w:tc>
          <w:tcPr>
            <w:tcW w:w="1046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24"/>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99.1</w:t>
            </w: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Privacy Policy of the Registrant (Incorporated by reference to Exhibit 99.1 to the Registrant’s Annual Report on Form 10-K (File No. 814-</w:t>
            </w:r>
          </w:p>
        </w:tc>
      </w:tr>
    </w:tbl>
    <w:p>
      <w:pPr>
        <w:ind w:left="1020"/>
        <w:spacing w:after="0"/>
        <w:rPr>
          <w:sz w:val="20"/>
          <w:szCs w:val="20"/>
          <w:color w:val="auto"/>
        </w:rPr>
      </w:pPr>
      <w:r>
        <w:rPr>
          <w:rFonts w:ascii="Arial" w:cs="Arial" w:eastAsia="Arial" w:hAnsi="Arial"/>
          <w:sz w:val="18"/>
          <w:szCs w:val="18"/>
          <w:color w:val="auto"/>
        </w:rPr>
        <w:t>00736), filed on December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12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320" w:top="459" w:right="3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20" w:firstLine="449"/>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67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3940" w:type="dxa"/>
            <w:vAlign w:val="bottom"/>
          </w:tcPr>
          <w:p>
            <w:pPr>
              <w:jc w:val="center"/>
              <w:spacing w:after="0"/>
              <w:rPr>
                <w:sz w:val="20"/>
                <w:szCs w:val="20"/>
                <w:color w:val="auto"/>
              </w:rPr>
            </w:pPr>
            <w:r>
              <w:rPr>
                <w:rFonts w:ascii="Arial" w:cs="Arial" w:eastAsia="Arial" w:hAnsi="Arial"/>
                <w:sz w:val="13"/>
                <w:szCs w:val="13"/>
                <w:b w:val="1"/>
                <w:bCs w:val="1"/>
                <w:color w:val="auto"/>
              </w:rPr>
              <w:t>Arthur H. Penn</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jc w:val="center"/>
              <w:spacing w:after="0"/>
              <w:rPr>
                <w:sz w:val="20"/>
                <w:szCs w:val="20"/>
                <w:color w:val="auto"/>
              </w:rPr>
            </w:pPr>
            <w:r>
              <w:rPr>
                <w:rFonts w:ascii="Arial" w:cs="Arial" w:eastAsia="Arial" w:hAnsi="Arial"/>
                <w:sz w:val="13"/>
                <w:szCs w:val="13"/>
                <w:b w:val="1"/>
                <w:bCs w:val="1"/>
                <w:color w:val="auto"/>
                <w:w w:val="95"/>
              </w:rPr>
              <w:t>Chief Executive Officer and Chairman of the Board</w:t>
            </w:r>
          </w:p>
        </w:tc>
      </w:tr>
    </w:tbl>
    <w:p>
      <w:pPr>
        <w:spacing w:after="0" w:line="141" w:lineRule="exact"/>
        <w:rPr>
          <w:sz w:val="20"/>
          <w:szCs w:val="20"/>
          <w:color w:val="auto"/>
        </w:rPr>
      </w:pPr>
    </w:p>
    <w:p>
      <w:pPr>
        <w:ind w:right="600"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2180" w:type="dxa"/>
            <w:vAlign w:val="bottom"/>
          </w:tcPr>
          <w:p>
            <w:pPr>
              <w:spacing w:after="0"/>
              <w:rPr>
                <w:sz w:val="14"/>
                <w:szCs w:val="14"/>
                <w:color w:val="auto"/>
              </w:rPr>
            </w:pPr>
          </w:p>
        </w:tc>
        <w:tc>
          <w:tcPr>
            <w:tcW w:w="4200" w:type="dxa"/>
            <w:vAlign w:val="bottom"/>
            <w:gridSpan w:val="3"/>
          </w:tcPr>
          <w:p>
            <w:pPr>
              <w:jc w:val="center"/>
              <w:spacing w:after="0"/>
              <w:rPr>
                <w:sz w:val="20"/>
                <w:szCs w:val="20"/>
                <w:color w:val="auto"/>
              </w:rPr>
            </w:pPr>
            <w:r>
              <w:rPr>
                <w:rFonts w:ascii="Arial" w:cs="Arial" w:eastAsia="Arial" w:hAnsi="Arial"/>
                <w:sz w:val="13"/>
                <w:szCs w:val="13"/>
                <w:b w:val="1"/>
                <w:bCs w:val="1"/>
                <w:color w:val="auto"/>
              </w:rPr>
              <w:t>Title</w:t>
            </w:r>
          </w:p>
        </w:tc>
        <w:tc>
          <w:tcPr>
            <w:tcW w:w="940" w:type="dxa"/>
            <w:vAlign w:val="bottom"/>
          </w:tcPr>
          <w:p>
            <w:pPr>
              <w:spacing w:after="0"/>
              <w:rPr>
                <w:sz w:val="14"/>
                <w:szCs w:val="14"/>
                <w:color w:val="auto"/>
              </w:rPr>
            </w:pPr>
          </w:p>
        </w:tc>
        <w:tc>
          <w:tcPr>
            <w:tcW w:w="84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2"/>
              </w:rPr>
              <w:t>Date</w:t>
            </w:r>
          </w:p>
        </w:tc>
      </w:tr>
      <w:tr>
        <w:trPr>
          <w:trHeight w:val="20"/>
        </w:trPr>
        <w:tc>
          <w:tcPr>
            <w:tcW w:w="17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3"/>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3"/>
              </w:rPr>
              <w:t>/s/</w:t>
            </w:r>
          </w:p>
        </w:tc>
        <w:tc>
          <w:tcPr>
            <w:tcW w:w="3240" w:type="dxa"/>
            <w:vAlign w:val="bottom"/>
            <w:tcBorders>
              <w:bottom w:val="single" w:sz="8" w:color="auto"/>
            </w:tcBorders>
            <w:gridSpan w:val="4"/>
          </w:tcPr>
          <w:p>
            <w:pPr>
              <w:jc w:val="center"/>
              <w:ind w:right="1660"/>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RTHUR</w:t>
            </w:r>
            <w:r>
              <w:rPr>
                <w:rFonts w:ascii="Arial" w:cs="Arial" w:eastAsia="Arial" w:hAnsi="Arial"/>
                <w:sz w:val="18"/>
                <w:szCs w:val="18"/>
                <w:color w:val="auto"/>
                <w:w w:val="96"/>
              </w:rPr>
              <w:t xml:space="preserve"> H. P</w:t>
            </w:r>
            <w:r>
              <w:rPr>
                <w:rFonts w:ascii="Arial" w:cs="Arial" w:eastAsia="Arial" w:hAnsi="Arial"/>
                <w:sz w:val="14"/>
                <w:szCs w:val="14"/>
                <w:color w:val="auto"/>
                <w:w w:val="96"/>
              </w:rPr>
              <w:t>ENN</w:t>
            </w:r>
          </w:p>
        </w:tc>
        <w:tc>
          <w:tcPr>
            <w:tcW w:w="4200" w:type="dxa"/>
            <w:vAlign w:val="bottom"/>
            <w:gridSpan w:val="3"/>
          </w:tcPr>
          <w:p>
            <w:pPr>
              <w:jc w:val="center"/>
              <w:spacing w:after="0"/>
              <w:rPr>
                <w:sz w:val="20"/>
                <w:szCs w:val="20"/>
                <w:color w:val="auto"/>
              </w:rPr>
            </w:pPr>
            <w:r>
              <w:rPr>
                <w:rFonts w:ascii="Arial" w:cs="Arial" w:eastAsia="Arial" w:hAnsi="Arial"/>
                <w:sz w:val="18"/>
                <w:szCs w:val="18"/>
                <w:color w:val="auto"/>
                <w:w w:val="89"/>
              </w:rPr>
              <w:t>Chairman of the Board of Directors and Chief</w:t>
            </w:r>
          </w:p>
        </w:tc>
        <w:tc>
          <w:tcPr>
            <w:tcW w:w="178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November 20, 2008</w:t>
            </w:r>
          </w:p>
        </w:tc>
      </w:tr>
      <w:tr>
        <w:trPr>
          <w:trHeight w:val="202"/>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3"/>
          </w:tcPr>
          <w:p>
            <w:pPr>
              <w:jc w:val="center"/>
              <w:ind w:right="1920"/>
              <w:spacing w:after="0"/>
              <w:rPr>
                <w:sz w:val="20"/>
                <w:szCs w:val="20"/>
                <w:color w:val="auto"/>
              </w:rPr>
            </w:pPr>
            <w:r>
              <w:rPr>
                <w:rFonts w:ascii="Arial" w:cs="Arial" w:eastAsia="Arial" w:hAnsi="Arial"/>
                <w:sz w:val="13"/>
                <w:szCs w:val="13"/>
                <w:b w:val="1"/>
                <w:bCs w:val="1"/>
                <w:color w:val="auto"/>
              </w:rPr>
              <w:t>Arthur H. Penn</w:t>
            </w:r>
          </w:p>
        </w:tc>
        <w:tc>
          <w:tcPr>
            <w:tcW w:w="4200" w:type="dxa"/>
            <w:vAlign w:val="bottom"/>
            <w:gridSpan w:val="3"/>
          </w:tcPr>
          <w:p>
            <w:pPr>
              <w:jc w:val="center"/>
              <w:ind w:left="14"/>
              <w:spacing w:after="0" w:line="202" w:lineRule="exact"/>
              <w:rPr>
                <w:sz w:val="20"/>
                <w:szCs w:val="20"/>
                <w:color w:val="auto"/>
              </w:rPr>
            </w:pPr>
            <w:r>
              <w:rPr>
                <w:rFonts w:ascii="Arial" w:cs="Arial" w:eastAsia="Arial" w:hAnsi="Arial"/>
                <w:sz w:val="18"/>
                <w:szCs w:val="18"/>
                <w:color w:val="auto"/>
                <w:w w:val="91"/>
              </w:rPr>
              <w:t>Executive Officer (Principal Executive Officer)</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04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4200" w:type="dxa"/>
            <w:vAlign w:val="bottom"/>
            <w:gridSpan w:val="3"/>
          </w:tcPr>
          <w:p>
            <w:pPr>
              <w:jc w:val="center"/>
              <w:ind w:left="14"/>
              <w:spacing w:after="0"/>
              <w:rPr>
                <w:sz w:val="20"/>
                <w:szCs w:val="20"/>
                <w:color w:val="auto"/>
              </w:rPr>
            </w:pPr>
            <w:r>
              <w:rPr>
                <w:rFonts w:ascii="Arial" w:cs="Arial" w:eastAsia="Arial" w:hAnsi="Arial"/>
                <w:sz w:val="18"/>
                <w:szCs w:val="18"/>
                <w:color w:val="auto"/>
                <w:w w:val="90"/>
              </w:rPr>
              <w:t>Chief Financial Officer and Treasurer (Principal</w:t>
            </w:r>
          </w:p>
        </w:tc>
        <w:tc>
          <w:tcPr>
            <w:tcW w:w="178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November 20, 2008</w:t>
            </w:r>
          </w:p>
        </w:tc>
      </w:tr>
      <w:tr>
        <w:trPr>
          <w:trHeight w:val="202"/>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3"/>
          </w:tcPr>
          <w:p>
            <w:pPr>
              <w:jc w:val="center"/>
              <w:ind w:right="1920"/>
              <w:spacing w:after="0"/>
              <w:rPr>
                <w:sz w:val="20"/>
                <w:szCs w:val="20"/>
                <w:color w:val="auto"/>
              </w:rPr>
            </w:pPr>
            <w:r>
              <w:rPr>
                <w:rFonts w:ascii="Arial" w:cs="Arial" w:eastAsia="Arial" w:hAnsi="Arial"/>
                <w:sz w:val="13"/>
                <w:szCs w:val="13"/>
                <w:b w:val="1"/>
                <w:bCs w:val="1"/>
                <w:color w:val="auto"/>
                <w:w w:val="98"/>
              </w:rPr>
              <w:t>Aviv Efrat</w:t>
            </w:r>
          </w:p>
        </w:tc>
        <w:tc>
          <w:tcPr>
            <w:tcW w:w="4200" w:type="dxa"/>
            <w:vAlign w:val="bottom"/>
            <w:gridSpan w:val="3"/>
          </w:tcPr>
          <w:p>
            <w:pPr>
              <w:jc w:val="center"/>
              <w:ind w:left="14"/>
              <w:spacing w:after="0" w:line="202" w:lineRule="exact"/>
              <w:rPr>
                <w:sz w:val="20"/>
                <w:szCs w:val="20"/>
                <w:color w:val="auto"/>
              </w:rPr>
            </w:pPr>
            <w:r>
              <w:rPr>
                <w:rFonts w:ascii="Arial" w:cs="Arial" w:eastAsia="Arial" w:hAnsi="Arial"/>
                <w:sz w:val="18"/>
                <w:szCs w:val="18"/>
                <w:color w:val="auto"/>
                <w:w w:val="91"/>
              </w:rPr>
              <w:t>Financial and Accounting Officer)</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27"/>
        </w:trPr>
        <w:tc>
          <w:tcPr>
            <w:tcW w:w="172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gridSpan w:val="4"/>
          </w:tcPr>
          <w:p>
            <w:pPr>
              <w:jc w:val="center"/>
              <w:ind w:right="16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DAM</w:t>
            </w:r>
            <w:r>
              <w:rPr>
                <w:rFonts w:ascii="Arial" w:cs="Arial" w:eastAsia="Arial" w:hAnsi="Arial"/>
                <w:sz w:val="18"/>
                <w:szCs w:val="18"/>
                <w:color w:val="auto"/>
              </w:rPr>
              <w:t xml:space="preserve"> K. B</w:t>
            </w:r>
            <w:r>
              <w:rPr>
                <w:rFonts w:ascii="Arial" w:cs="Arial" w:eastAsia="Arial" w:hAnsi="Arial"/>
                <w:sz w:val="14"/>
                <w:szCs w:val="14"/>
                <w:color w:val="auto"/>
              </w:rPr>
              <w:t>ERNSTEIN</w:t>
            </w:r>
          </w:p>
        </w:tc>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November 20, 2008</w:t>
            </w:r>
          </w:p>
        </w:tc>
      </w:tr>
      <w:tr>
        <w:trPr>
          <w:trHeight w:val="169"/>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3"/>
          </w:tcPr>
          <w:p>
            <w:pPr>
              <w:jc w:val="center"/>
              <w:ind w:right="1920"/>
              <w:spacing w:after="0"/>
              <w:rPr>
                <w:sz w:val="20"/>
                <w:szCs w:val="20"/>
                <w:color w:val="auto"/>
              </w:rPr>
            </w:pPr>
            <w:r>
              <w:rPr>
                <w:rFonts w:ascii="Arial" w:cs="Arial" w:eastAsia="Arial" w:hAnsi="Arial"/>
                <w:sz w:val="13"/>
                <w:szCs w:val="13"/>
                <w:b w:val="1"/>
                <w:bCs w:val="1"/>
                <w:color w:val="auto"/>
                <w:w w:val="96"/>
              </w:rPr>
              <w:t>Adam K. Bernstein</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192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rPr>
              <w:t>/s/</w:t>
            </w:r>
          </w:p>
        </w:tc>
        <w:tc>
          <w:tcPr>
            <w:tcW w:w="304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EFFREY</w:t>
            </w:r>
            <w:r>
              <w:rPr>
                <w:rFonts w:ascii="Arial" w:cs="Arial" w:eastAsia="Arial" w:hAnsi="Arial"/>
                <w:sz w:val="18"/>
                <w:szCs w:val="18"/>
                <w:color w:val="auto"/>
                <w:w w:val="97"/>
              </w:rPr>
              <w:t xml:space="preserve"> F</w:t>
            </w:r>
            <w:r>
              <w:rPr>
                <w:rFonts w:ascii="Arial" w:cs="Arial" w:eastAsia="Arial" w:hAnsi="Arial"/>
                <w:sz w:val="14"/>
                <w:szCs w:val="14"/>
                <w:color w:val="auto"/>
                <w:w w:val="97"/>
              </w:rPr>
              <w:t>LUG</w:t>
            </w:r>
          </w:p>
        </w:tc>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November 20, 2008</w:t>
            </w:r>
          </w:p>
        </w:tc>
      </w:tr>
      <w:tr>
        <w:trPr>
          <w:trHeight w:val="169"/>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3"/>
          </w:tcPr>
          <w:p>
            <w:pPr>
              <w:jc w:val="center"/>
              <w:ind w:right="1900"/>
              <w:spacing w:after="0"/>
              <w:rPr>
                <w:sz w:val="20"/>
                <w:szCs w:val="20"/>
                <w:color w:val="auto"/>
              </w:rPr>
            </w:pPr>
            <w:r>
              <w:rPr>
                <w:rFonts w:ascii="Arial" w:cs="Arial" w:eastAsia="Arial" w:hAnsi="Arial"/>
                <w:sz w:val="13"/>
                <w:szCs w:val="13"/>
                <w:b w:val="1"/>
                <w:bCs w:val="1"/>
                <w:color w:val="auto"/>
                <w:w w:val="94"/>
              </w:rPr>
              <w:t>Jeffrey Flug</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ARSHALL</w:t>
            </w:r>
            <w:r>
              <w:rPr>
                <w:rFonts w:ascii="Arial" w:cs="Arial" w:eastAsia="Arial" w:hAnsi="Arial"/>
                <w:sz w:val="18"/>
                <w:szCs w:val="18"/>
                <w:color w:val="auto"/>
              </w:rPr>
              <w:t xml:space="preserve"> B</w:t>
            </w:r>
            <w:r>
              <w:rPr>
                <w:rFonts w:ascii="Arial" w:cs="Arial" w:eastAsia="Arial" w:hAnsi="Arial"/>
                <w:sz w:val="14"/>
                <w:szCs w:val="14"/>
                <w:color w:val="auto"/>
              </w:rPr>
              <w:t>ROZOST</w:t>
            </w:r>
          </w:p>
        </w:tc>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November 20, 2008</w:t>
            </w:r>
          </w:p>
        </w:tc>
      </w:tr>
      <w:tr>
        <w:trPr>
          <w:trHeight w:val="169"/>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3"/>
          </w:tcPr>
          <w:p>
            <w:pPr>
              <w:jc w:val="center"/>
              <w:ind w:right="1920"/>
              <w:spacing w:after="0"/>
              <w:rPr>
                <w:sz w:val="20"/>
                <w:szCs w:val="20"/>
                <w:color w:val="auto"/>
              </w:rPr>
            </w:pPr>
            <w:r>
              <w:rPr>
                <w:rFonts w:ascii="Arial" w:cs="Arial" w:eastAsia="Arial" w:hAnsi="Arial"/>
                <w:sz w:val="13"/>
                <w:szCs w:val="13"/>
                <w:b w:val="1"/>
                <w:bCs w:val="1"/>
                <w:color w:val="auto"/>
                <w:w w:val="95"/>
              </w:rPr>
              <w:t>Marshall Brozost</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3"/>
              </w:rPr>
              <w:t>/s/</w:t>
            </w:r>
          </w:p>
        </w:tc>
        <w:tc>
          <w:tcPr>
            <w:tcW w:w="3240" w:type="dxa"/>
            <w:vAlign w:val="bottom"/>
            <w:tcBorders>
              <w:bottom w:val="single" w:sz="8" w:color="auto"/>
            </w:tcBorders>
            <w:gridSpan w:val="4"/>
          </w:tcPr>
          <w:p>
            <w:pPr>
              <w:jc w:val="center"/>
              <w:ind w:right="16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AMUEL</w:t>
            </w:r>
            <w:r>
              <w:rPr>
                <w:rFonts w:ascii="Arial" w:cs="Arial" w:eastAsia="Arial" w:hAnsi="Arial"/>
                <w:sz w:val="18"/>
                <w:szCs w:val="18"/>
                <w:color w:val="auto"/>
              </w:rPr>
              <w:t xml:space="preserve"> L. K</w:t>
            </w:r>
            <w:r>
              <w:rPr>
                <w:rFonts w:ascii="Arial" w:cs="Arial" w:eastAsia="Arial" w:hAnsi="Arial"/>
                <w:sz w:val="14"/>
                <w:szCs w:val="14"/>
                <w:color w:val="auto"/>
              </w:rPr>
              <w:t>ATZ</w:t>
            </w:r>
          </w:p>
        </w:tc>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November 20, 2008</w:t>
            </w:r>
          </w:p>
        </w:tc>
      </w:tr>
      <w:tr>
        <w:trPr>
          <w:trHeight w:val="169"/>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3"/>
          </w:tcPr>
          <w:p>
            <w:pPr>
              <w:jc w:val="center"/>
              <w:ind w:right="1900"/>
              <w:spacing w:after="0"/>
              <w:rPr>
                <w:sz w:val="20"/>
                <w:szCs w:val="20"/>
                <w:color w:val="auto"/>
              </w:rPr>
            </w:pPr>
            <w:r>
              <w:rPr>
                <w:rFonts w:ascii="Arial" w:cs="Arial" w:eastAsia="Arial" w:hAnsi="Arial"/>
                <w:sz w:val="13"/>
                <w:szCs w:val="13"/>
                <w:b w:val="1"/>
                <w:bCs w:val="1"/>
                <w:color w:val="auto"/>
                <w:w w:val="97"/>
              </w:rPr>
              <w:t>Samuel L. Katz</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50"/>
        </w:trPr>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20" w:type="dxa"/>
            <w:vAlign w:val="bottom"/>
          </w:tcPr>
          <w:p>
            <w:pPr>
              <w:jc w:val="right"/>
              <w:ind w:right="1174"/>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Arthur H. Penn, Chairman of the Board and Chief Executive Officer of PennantPark Investment Corporation, certify that:</w:t>
      </w:r>
    </w:p>
    <w:p>
      <w:pPr>
        <w:spacing w:after="0" w:line="90" w:lineRule="exact"/>
        <w:rPr>
          <w:sz w:val="20"/>
          <w:szCs w:val="20"/>
          <w:color w:val="auto"/>
        </w:rPr>
      </w:pPr>
    </w:p>
    <w:p>
      <w:pPr>
        <w:ind w:left="640" w:hanging="183"/>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PennantPark Investment Corporation;</w:t>
      </w:r>
    </w:p>
    <w:p>
      <w:pPr>
        <w:spacing w:after="0" w:line="171" w:lineRule="exact"/>
        <w:rPr>
          <w:rFonts w:ascii="Arial" w:cs="Arial" w:eastAsia="Arial" w:hAnsi="Arial"/>
          <w:sz w:val="18"/>
          <w:szCs w:val="18"/>
          <w:color w:val="auto"/>
        </w:rPr>
      </w:pPr>
    </w:p>
    <w:p>
      <w:pPr>
        <w:ind w:right="400" w:firstLine="457"/>
        <w:spacing w:after="0" w:line="369" w:lineRule="auto"/>
        <w:tabs>
          <w:tab w:leader="none" w:pos="625"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60" w:firstLine="457"/>
        <w:spacing w:after="0" w:line="331" w:lineRule="auto"/>
        <w:tabs>
          <w:tab w:leader="none" w:pos="6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100" w:firstLine="457"/>
        <w:spacing w:after="0" w:line="259" w:lineRule="auto"/>
        <w:tabs>
          <w:tab w:leader="none" w:pos="62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Arial" w:cs="Arial" w:eastAsia="Arial" w:hAnsi="Arial"/>
          <w:sz w:val="18"/>
          <w:szCs w:val="18"/>
          <w:color w:val="auto"/>
        </w:rPr>
      </w:pPr>
    </w:p>
    <w:p>
      <w:pPr>
        <w:ind w:left="460" w:right="220" w:firstLine="428"/>
        <w:spacing w:after="0" w:line="259" w:lineRule="auto"/>
        <w:tabs>
          <w:tab w:leader="none" w:pos="107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58" w:lineRule="exact"/>
        <w:rPr>
          <w:rFonts w:ascii="Arial" w:cs="Arial" w:eastAsia="Arial" w:hAnsi="Arial"/>
          <w:sz w:val="18"/>
          <w:szCs w:val="18"/>
          <w:color w:val="auto"/>
        </w:rPr>
      </w:pPr>
    </w:p>
    <w:p>
      <w:pPr>
        <w:ind w:left="460" w:right="520" w:firstLine="428"/>
        <w:spacing w:after="0" w:line="259" w:lineRule="auto"/>
        <w:tabs>
          <w:tab w:leader="none" w:pos="108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58" w:lineRule="exact"/>
        <w:rPr>
          <w:rFonts w:ascii="Arial" w:cs="Arial" w:eastAsia="Arial" w:hAnsi="Arial"/>
          <w:sz w:val="18"/>
          <w:szCs w:val="18"/>
          <w:color w:val="auto"/>
        </w:rPr>
      </w:pPr>
    </w:p>
    <w:p>
      <w:pPr>
        <w:ind w:left="460" w:right="700" w:firstLine="428"/>
        <w:spacing w:after="0" w:line="331" w:lineRule="auto"/>
        <w:tabs>
          <w:tab w:leader="none" w:pos="1071"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6"/>
          <w:szCs w:val="16"/>
          <w:color w:val="auto"/>
        </w:rPr>
      </w:pPr>
    </w:p>
    <w:p>
      <w:pPr>
        <w:ind w:left="460" w:right="60" w:firstLine="428"/>
        <w:spacing w:after="0" w:line="259" w:lineRule="auto"/>
        <w:tabs>
          <w:tab w:leader="none" w:pos="108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8"/>
          <w:szCs w:val="18"/>
          <w:color w:val="auto"/>
        </w:rPr>
      </w:pPr>
    </w:p>
    <w:p>
      <w:pPr>
        <w:ind w:right="280" w:firstLine="457"/>
        <w:spacing w:after="0" w:line="331" w:lineRule="auto"/>
        <w:tabs>
          <w:tab w:leader="none" w:pos="6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6"/>
          <w:szCs w:val="16"/>
          <w:color w:val="auto"/>
        </w:rPr>
      </w:pPr>
    </w:p>
    <w:p>
      <w:pPr>
        <w:ind w:left="460" w:right="120" w:firstLine="428"/>
        <w:spacing w:after="0" w:line="268" w:lineRule="auto"/>
        <w:tabs>
          <w:tab w:leader="none" w:pos="107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60" w:firstLine="428"/>
        <w:spacing w:after="0" w:line="268" w:lineRule="auto"/>
        <w:tabs>
          <w:tab w:leader="none" w:pos="108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2008</w:t>
      </w:r>
    </w:p>
    <w:p>
      <w:pPr>
        <w:spacing w:after="0" w:line="212" w:lineRule="exact"/>
        <w:rPr>
          <w:sz w:val="20"/>
          <w:szCs w:val="20"/>
          <w:color w:val="auto"/>
        </w:rPr>
      </w:pPr>
    </w:p>
    <w:p>
      <w:pPr>
        <w:spacing w:after="0"/>
        <w:tabs>
          <w:tab w:leader="none" w:pos="1460" w:val="left"/>
          <w:tab w:leader="none" w:pos="1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RTHUR</w:t>
      </w:r>
      <w:r>
        <w:rPr>
          <w:rFonts w:ascii="Arial" w:cs="Arial" w:eastAsia="Arial" w:hAnsi="Arial"/>
          <w:sz w:val="16"/>
          <w:szCs w:val="16"/>
          <w:color w:val="auto"/>
        </w:rPr>
        <w:t xml:space="preserve"> H. P</w:t>
      </w:r>
      <w:r>
        <w:rPr>
          <w:rFonts w:ascii="Arial" w:cs="Arial" w:eastAsia="Arial" w:hAnsi="Arial"/>
          <w:sz w:val="13"/>
          <w:szCs w:val="13"/>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403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jc w:val="center"/>
        <w:ind w:right="6380"/>
        <w:spacing w:after="0"/>
        <w:rPr>
          <w:sz w:val="20"/>
          <w:szCs w:val="20"/>
          <w:color w:val="auto"/>
        </w:rPr>
      </w:pPr>
      <w:r>
        <w:rPr>
          <w:rFonts w:ascii="Arial" w:cs="Arial" w:eastAsia="Arial" w:hAnsi="Arial"/>
          <w:sz w:val="13"/>
          <w:szCs w:val="13"/>
          <w:b w:val="1"/>
          <w:bCs w:val="1"/>
          <w:color w:val="auto"/>
        </w:rPr>
        <w:t>Arthur H. Penn</w:t>
      </w:r>
    </w:p>
    <w:p>
      <w:pPr>
        <w:spacing w:after="0" w:line="12" w:lineRule="exact"/>
        <w:rPr>
          <w:sz w:val="20"/>
          <w:szCs w:val="20"/>
          <w:color w:val="auto"/>
        </w:rPr>
      </w:pPr>
    </w:p>
    <w:p>
      <w:pPr>
        <w:jc w:val="center"/>
        <w:ind w:right="6380"/>
        <w:spacing w:after="0"/>
        <w:rPr>
          <w:sz w:val="20"/>
          <w:szCs w:val="20"/>
          <w:color w:val="auto"/>
        </w:rPr>
      </w:pPr>
      <w:r>
        <w:rPr>
          <w:rFonts w:ascii="Arial" w:cs="Arial" w:eastAsia="Arial" w:hAnsi="Arial"/>
          <w:sz w:val="13"/>
          <w:szCs w:val="13"/>
          <w:b w:val="1"/>
          <w:bCs w:val="1"/>
          <w:color w:val="auto"/>
        </w:rPr>
        <w:t>Chairman of the Board and</w:t>
      </w:r>
    </w:p>
    <w:p>
      <w:pPr>
        <w:jc w:val="center"/>
        <w:ind w:right="638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240"/>
          </w:cols>
          <w:pgMar w:left="320" w:top="12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Aviv Efrat, Chairman of the Board and Chief Financial Officer of PennantPark Investment Corporation, certify that:</w:t>
      </w:r>
    </w:p>
    <w:p>
      <w:pPr>
        <w:spacing w:after="0" w:line="90" w:lineRule="exact"/>
        <w:rPr>
          <w:sz w:val="20"/>
          <w:szCs w:val="20"/>
          <w:color w:val="auto"/>
        </w:rPr>
      </w:pPr>
    </w:p>
    <w:p>
      <w:pPr>
        <w:ind w:left="640" w:hanging="18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PennantPark Investment Corporation;</w:t>
      </w:r>
    </w:p>
    <w:p>
      <w:pPr>
        <w:spacing w:after="0" w:line="171" w:lineRule="exact"/>
        <w:rPr>
          <w:rFonts w:ascii="Arial" w:cs="Arial" w:eastAsia="Arial" w:hAnsi="Arial"/>
          <w:sz w:val="18"/>
          <w:szCs w:val="18"/>
          <w:color w:val="auto"/>
        </w:rPr>
      </w:pPr>
    </w:p>
    <w:p>
      <w:pPr>
        <w:ind w:right="400" w:firstLine="457"/>
        <w:spacing w:after="0" w:line="369" w:lineRule="auto"/>
        <w:tabs>
          <w:tab w:leader="none" w:pos="625"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60" w:firstLine="457"/>
        <w:spacing w:after="0" w:line="331" w:lineRule="auto"/>
        <w:tabs>
          <w:tab w:leader="none" w:pos="625"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100" w:firstLine="457"/>
        <w:spacing w:after="0" w:line="259" w:lineRule="auto"/>
        <w:tabs>
          <w:tab w:leader="none" w:pos="6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Arial" w:cs="Arial" w:eastAsia="Arial" w:hAnsi="Arial"/>
          <w:sz w:val="18"/>
          <w:szCs w:val="18"/>
          <w:color w:val="auto"/>
        </w:rPr>
      </w:pPr>
    </w:p>
    <w:p>
      <w:pPr>
        <w:ind w:left="460" w:right="220" w:firstLine="428"/>
        <w:spacing w:after="0" w:line="259" w:lineRule="auto"/>
        <w:tabs>
          <w:tab w:leader="none" w:pos="10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58" w:lineRule="exact"/>
        <w:rPr>
          <w:rFonts w:ascii="Arial" w:cs="Arial" w:eastAsia="Arial" w:hAnsi="Arial"/>
          <w:sz w:val="18"/>
          <w:szCs w:val="18"/>
          <w:color w:val="auto"/>
        </w:rPr>
      </w:pPr>
    </w:p>
    <w:p>
      <w:pPr>
        <w:ind w:left="460" w:right="520" w:firstLine="428"/>
        <w:spacing w:after="0" w:line="259" w:lineRule="auto"/>
        <w:tabs>
          <w:tab w:leader="none" w:pos="108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58" w:lineRule="exact"/>
        <w:rPr>
          <w:rFonts w:ascii="Arial" w:cs="Arial" w:eastAsia="Arial" w:hAnsi="Arial"/>
          <w:sz w:val="18"/>
          <w:szCs w:val="18"/>
          <w:color w:val="auto"/>
        </w:rPr>
      </w:pPr>
    </w:p>
    <w:p>
      <w:pPr>
        <w:ind w:left="460" w:right="700" w:firstLine="428"/>
        <w:spacing w:after="0" w:line="331" w:lineRule="auto"/>
        <w:tabs>
          <w:tab w:leader="none" w:pos="1071"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6"/>
          <w:szCs w:val="16"/>
          <w:color w:val="auto"/>
        </w:rPr>
      </w:pPr>
    </w:p>
    <w:p>
      <w:pPr>
        <w:ind w:left="460" w:right="60" w:firstLine="428"/>
        <w:spacing w:after="0" w:line="259" w:lineRule="auto"/>
        <w:tabs>
          <w:tab w:leader="none" w:pos="108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8"/>
          <w:szCs w:val="18"/>
          <w:color w:val="auto"/>
        </w:rPr>
      </w:pPr>
    </w:p>
    <w:p>
      <w:pPr>
        <w:ind w:right="280" w:firstLine="457"/>
        <w:spacing w:after="0" w:line="331" w:lineRule="auto"/>
        <w:tabs>
          <w:tab w:leader="none" w:pos="62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6"/>
          <w:szCs w:val="16"/>
          <w:color w:val="auto"/>
        </w:rPr>
      </w:pPr>
    </w:p>
    <w:p>
      <w:pPr>
        <w:ind w:left="460" w:right="120" w:firstLine="428"/>
        <w:spacing w:after="0" w:line="268" w:lineRule="auto"/>
        <w:tabs>
          <w:tab w:leader="none" w:pos="10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60" w:firstLine="428"/>
        <w:spacing w:after="0" w:line="268" w:lineRule="auto"/>
        <w:tabs>
          <w:tab w:leader="none" w:pos="108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2008</w:t>
      </w:r>
    </w:p>
    <w:p>
      <w:pPr>
        <w:spacing w:after="0" w:line="212" w:lineRule="exact"/>
        <w:rPr>
          <w:sz w:val="20"/>
          <w:szCs w:val="20"/>
          <w:color w:val="auto"/>
        </w:rPr>
      </w:pPr>
    </w:p>
    <w:p>
      <w:pPr>
        <w:spacing w:after="0"/>
        <w:tabs>
          <w:tab w:leader="none" w:pos="1660" w:val="left"/>
          <w:tab w:leader="none" w:pos="1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403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jc w:val="center"/>
        <w:ind w:right="6380"/>
        <w:spacing w:after="0"/>
        <w:rPr>
          <w:sz w:val="20"/>
          <w:szCs w:val="20"/>
          <w:color w:val="auto"/>
        </w:rPr>
      </w:pPr>
      <w:r>
        <w:rPr>
          <w:rFonts w:ascii="Arial" w:cs="Arial" w:eastAsia="Arial" w:hAnsi="Arial"/>
          <w:sz w:val="13"/>
          <w:szCs w:val="13"/>
          <w:b w:val="1"/>
          <w:bCs w:val="1"/>
          <w:color w:val="auto"/>
        </w:rPr>
        <w:t>Aviv Efrat</w:t>
      </w:r>
    </w:p>
    <w:p>
      <w:pPr>
        <w:spacing w:after="0" w:line="13" w:lineRule="exact"/>
        <w:rPr>
          <w:sz w:val="20"/>
          <w:szCs w:val="20"/>
          <w:color w:val="auto"/>
        </w:rPr>
      </w:pPr>
    </w:p>
    <w:p>
      <w:pPr>
        <w:jc w:val="center"/>
        <w:ind w:right="638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Annual Report on Form 10-K of PennantPark Investment Corporation (the “Company”) for the annual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2008 as filed with the Securities and Exchange Commission on the date hereof (the “Report”), I, Arthur H. Penn, as Chief Executive Officer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certify, to the best of my knowledge that:</w:t>
      </w:r>
    </w:p>
    <w:p>
      <w:pPr>
        <w:spacing w:after="0" w:line="84" w:lineRule="exact"/>
        <w:rPr>
          <w:sz w:val="20"/>
          <w:szCs w:val="20"/>
          <w:color w:val="auto"/>
        </w:rPr>
      </w:pPr>
    </w:p>
    <w:p>
      <w:pPr>
        <w:ind w:left="1140" w:hanging="252"/>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680" w:firstLine="428"/>
        <w:spacing w:after="0" w:line="268"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0" w:type="dxa"/>
            <w:vAlign w:val="bottom"/>
          </w:tcPr>
          <w:p>
            <w:pPr>
              <w:spacing w:after="0"/>
              <w:rPr>
                <w:sz w:val="20"/>
                <w:szCs w:val="20"/>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2620" w:type="dxa"/>
            <w:vAlign w:val="bottom"/>
            <w:tcBorders>
              <w:bottom w:val="single" w:sz="8" w:color="auto"/>
            </w:tcBorders>
          </w:tcPr>
          <w:p>
            <w:pPr>
              <w:jc w:val="center"/>
              <w:ind w:right="1046"/>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RTHUR</w:t>
            </w:r>
            <w:r>
              <w:rPr>
                <w:rFonts w:ascii="Arial" w:cs="Arial" w:eastAsia="Arial" w:hAnsi="Arial"/>
                <w:sz w:val="18"/>
                <w:szCs w:val="18"/>
                <w:color w:val="auto"/>
                <w:w w:val="96"/>
              </w:rPr>
              <w:t xml:space="preserve"> H. P</w:t>
            </w:r>
            <w:r>
              <w:rPr>
                <w:rFonts w:ascii="Arial" w:cs="Arial" w:eastAsia="Arial" w:hAnsi="Arial"/>
                <w:sz w:val="14"/>
                <w:szCs w:val="14"/>
                <w:color w:val="auto"/>
                <w:w w:val="96"/>
              </w:rPr>
              <w:t>ENN</w:t>
            </w:r>
          </w:p>
        </w:tc>
      </w:tr>
      <w:tr>
        <w:trPr>
          <w:trHeight w:val="208"/>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1220" w:type="dxa"/>
            <w:vAlign w:val="bottom"/>
          </w:tcPr>
          <w:p>
            <w:pPr>
              <w:spacing w:after="0"/>
              <w:rPr>
                <w:sz w:val="18"/>
                <w:szCs w:val="18"/>
                <w:color w:val="auto"/>
              </w:rPr>
            </w:pPr>
          </w:p>
        </w:tc>
        <w:tc>
          <w:tcPr>
            <w:tcW w:w="2620" w:type="dxa"/>
            <w:vAlign w:val="bottom"/>
          </w:tcPr>
          <w:p>
            <w:pPr>
              <w:jc w:val="center"/>
              <w:ind w:right="1086"/>
              <w:spacing w:after="0"/>
              <w:rPr>
                <w:sz w:val="20"/>
                <w:szCs w:val="20"/>
                <w:color w:val="auto"/>
              </w:rPr>
            </w:pPr>
            <w:r>
              <w:rPr>
                <w:rFonts w:ascii="Arial" w:cs="Arial" w:eastAsia="Arial" w:hAnsi="Arial"/>
                <w:sz w:val="13"/>
                <w:szCs w:val="13"/>
                <w:b w:val="1"/>
                <w:bCs w:val="1"/>
                <w:color w:val="auto"/>
                <w:w w:val="98"/>
              </w:rPr>
              <w:t>Arthur H. Penn</w:t>
            </w:r>
          </w:p>
        </w:tc>
      </w:tr>
      <w:tr>
        <w:trPr>
          <w:trHeight w:val="237"/>
        </w:trPr>
        <w:tc>
          <w:tcPr>
            <w:tcW w:w="1860" w:type="dxa"/>
            <w:vAlign w:val="bottom"/>
            <w:gridSpan w:val="2"/>
          </w:tcPr>
          <w:p>
            <w:pPr>
              <w:spacing w:after="0"/>
              <w:rPr>
                <w:sz w:val="20"/>
                <w:szCs w:val="20"/>
                <w:color w:val="auto"/>
              </w:rPr>
            </w:pPr>
            <w:r>
              <w:rPr>
                <w:rFonts w:ascii="Arial" w:cs="Arial" w:eastAsia="Arial" w:hAnsi="Arial"/>
                <w:sz w:val="18"/>
                <w:szCs w:val="18"/>
                <w:color w:val="auto"/>
              </w:rPr>
              <w:t>Title:</w:t>
            </w:r>
          </w:p>
        </w:tc>
        <w:tc>
          <w:tcPr>
            <w:tcW w:w="2620" w:type="dxa"/>
            <w:vAlign w:val="bottom"/>
          </w:tcPr>
          <w:p>
            <w:pPr>
              <w:jc w:val="center"/>
              <w:ind w:right="1106"/>
              <w:spacing w:after="0"/>
              <w:rPr>
                <w:sz w:val="20"/>
                <w:szCs w:val="20"/>
                <w:color w:val="auto"/>
              </w:rPr>
            </w:pPr>
            <w:r>
              <w:rPr>
                <w:rFonts w:ascii="Arial" w:cs="Arial" w:eastAsia="Arial" w:hAnsi="Arial"/>
                <w:sz w:val="13"/>
                <w:szCs w:val="13"/>
                <w:b w:val="1"/>
                <w:bCs w:val="1"/>
                <w:color w:val="auto"/>
                <w:w w:val="95"/>
              </w:rPr>
              <w:t>Chief Executive Officer</w:t>
            </w:r>
          </w:p>
        </w:tc>
      </w:tr>
      <w:tr>
        <w:trPr>
          <w:trHeight w:val="309"/>
        </w:trPr>
        <w:tc>
          <w:tcPr>
            <w:tcW w:w="1860" w:type="dxa"/>
            <w:vAlign w:val="bottom"/>
            <w:gridSpan w:val="2"/>
          </w:tcPr>
          <w:p>
            <w:pPr>
              <w:spacing w:after="0"/>
              <w:rPr>
                <w:sz w:val="20"/>
                <w:szCs w:val="20"/>
                <w:color w:val="auto"/>
              </w:rPr>
            </w:pPr>
            <w:r>
              <w:rPr>
                <w:rFonts w:ascii="Arial" w:cs="Arial" w:eastAsia="Arial" w:hAnsi="Arial"/>
                <w:sz w:val="18"/>
                <w:szCs w:val="18"/>
                <w:color w:val="auto"/>
                <w:w w:val="89"/>
              </w:rPr>
              <w:t>Date: November 20, 2008</w:t>
            </w:r>
          </w:p>
        </w:tc>
        <w:tc>
          <w:tcPr>
            <w:tcW w:w="26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165"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In connection with the Annual Report on Form 10-K of PennantPark Investment Corporation (the “Company”) for the annual period ended September 30, 2008 as filed with the Securities and Exchange Commission on the date hereof (the “Report”), I, Aviv Efrat, as Chief Financial Officer of the Registrant hereby certify, to the best of my knowledge that:</w:t>
      </w:r>
    </w:p>
    <w:p>
      <w:pPr>
        <w:spacing w:after="0" w:line="59" w:lineRule="exact"/>
        <w:rPr>
          <w:sz w:val="20"/>
          <w:szCs w:val="20"/>
          <w:color w:val="auto"/>
        </w:rPr>
      </w:pPr>
    </w:p>
    <w:p>
      <w:pPr>
        <w:ind w:left="1140" w:hanging="252"/>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680" w:firstLine="428"/>
        <w:spacing w:after="0" w:line="268"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2" w:lineRule="exact"/>
        <w:rPr>
          <w:sz w:val="20"/>
          <w:szCs w:val="20"/>
          <w:color w:val="auto"/>
        </w:rPr>
      </w:pPr>
    </w:p>
    <w:p>
      <w:pPr>
        <w:ind w:left="1820"/>
        <w:spacing w:after="0"/>
        <w:tabs>
          <w:tab w:leader="none" w:pos="214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19685</wp:posOffset>
            </wp:positionV>
            <wp:extent cx="24428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20, 2008</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center"/>
        <w:ind w:right="7980"/>
        <w:spacing w:after="0"/>
        <w:rPr>
          <w:sz w:val="20"/>
          <w:szCs w:val="20"/>
          <w:color w:val="auto"/>
        </w:rPr>
      </w:pPr>
      <w:r>
        <w:rPr>
          <w:rFonts w:ascii="Arial" w:cs="Arial" w:eastAsia="Arial" w:hAnsi="Arial"/>
          <w:sz w:val="13"/>
          <w:szCs w:val="13"/>
          <w:b w:val="1"/>
          <w:bCs w:val="1"/>
          <w:color w:val="auto"/>
        </w:rPr>
        <w:t>Aviv Efrat</w:t>
      </w:r>
    </w:p>
    <w:p>
      <w:pPr>
        <w:spacing w:after="0" w:line="67" w:lineRule="exact"/>
        <w:rPr>
          <w:sz w:val="20"/>
          <w:szCs w:val="20"/>
          <w:color w:val="auto"/>
        </w:rPr>
      </w:pPr>
    </w:p>
    <w:p>
      <w:pPr>
        <w:jc w:val="center"/>
        <w:ind w:right="7980"/>
        <w:spacing w:after="0"/>
        <w:rPr>
          <w:sz w:val="20"/>
          <w:szCs w:val="20"/>
          <w:color w:val="auto"/>
        </w:rPr>
      </w:pPr>
      <w:r>
        <w:rPr>
          <w:rFonts w:ascii="Arial" w:cs="Arial" w:eastAsia="Arial" w:hAnsi="Arial"/>
          <w:sz w:val="12"/>
          <w:szCs w:val="12"/>
          <w:b w:val="1"/>
          <w:bCs w:val="1"/>
          <w:color w:val="auto"/>
        </w:rPr>
        <w:t>Chief Financial Officer</w:t>
      </w:r>
    </w:p>
    <w:sectPr>
      <w:pgSz w:w="11900" w:h="16838" w:orient="portrait"/>
      <w:cols w:equalWidth="0" w:num="2">
        <w:col w:w="1840" w:space="80"/>
        <w:col w:w="9320"/>
      </w:cols>
      <w:pgMar w:left="32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lvl w:ilvl="1">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lvl w:ilvl="1">
      <w:lvlJc w:val="left"/>
      <w:lvlText w:val="(%2)"/>
      <w:numFmt w:val="lowerLetter"/>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lvl w:ilvl="1">
      <w:lvlJc w:val="left"/>
      <w:lvlText w:val="%2)"/>
      <w:numFmt w:val="lowerLetter"/>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Roman"/>
      <w:start w:val="1"/>
    </w:lvl>
  </w:abstractNum>
  <w:abstractNum w:abstractNumId="41">
    <w:nsid w:val="38437FDB"/>
    <w:multiLevelType w:val="hybridMultilevel"/>
    <w:lvl w:ilvl="0">
      <w:lvlJc w:val="left"/>
      <w:lvlText w:val="(%1)"/>
      <w:numFmt w:val="lowerLetter"/>
      <w:start w:val="2"/>
    </w:lvl>
  </w:abstractNum>
  <w:abstractNum w:abstractNumId="42">
    <w:nsid w:val="7644A45C"/>
    <w:multiLevelType w:val="hybridMultilevel"/>
    <w:lvl w:ilvl="0">
      <w:lvlJc w:val="left"/>
      <w:lvlText w:val="(%1)"/>
      <w:numFmt w:val="lowerLetter"/>
      <w:start w:val="5"/>
    </w:lvl>
  </w:abstractNum>
  <w:abstractNum w:abstractNumId="43">
    <w:nsid w:val="32FFF902"/>
    <w:multiLevelType w:val="hybridMultilevel"/>
    <w:lvl w:ilvl="0">
      <w:lvlJc w:val="left"/>
      <w:lvlText w:val="%1"/>
      <w:numFmt w:val="decimal"/>
      <w:start w:val="1"/>
    </w:lvl>
    <w:lvl w:ilvl="1">
      <w:lvlJc w:val="left"/>
      <w:lvlText w:val="(%2)"/>
      <w:numFmt w:val="lowerLetter"/>
      <w:start w:val="10"/>
    </w:lvl>
  </w:abstractNum>
  <w:abstractNum w:abstractNumId="44">
    <w:nsid w:val="684A481A"/>
    <w:multiLevelType w:val="hybridMultilevel"/>
    <w:lvl w:ilvl="0">
      <w:lvlJc w:val="left"/>
      <w:lvlText w:val="%1."/>
      <w:numFmt w:val="decimal"/>
      <w:start w:val="3"/>
    </w:lvl>
    <w:lvl w:ilvl="1">
      <w:lvlJc w:val="left"/>
      <w:lvlText w:val="%2"/>
      <w:numFmt w:val="lowerLetter"/>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2020-05-05T15:11:47Z</dcterms:created>
  <dcterms:modified xsi:type="dcterms:W3CDTF">2020-05-05T15:11:47Z</dcterms:modified>
</cp:coreProperties>
</file>