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184150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203835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February 26, 2013</w:t>
      </w:r>
    </w:p>
    <w:p>
      <w:pPr>
        <w:spacing w:after="0" w:line="14"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175895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89" w:lineRule="exact"/>
        <w:rPr>
          <w:sz w:val="24"/>
          <w:szCs w:val="24"/>
          <w:color w:val="auto"/>
        </w:rPr>
      </w:pPr>
    </w:p>
    <w:p>
      <w:pPr>
        <w:jc w:val="center"/>
        <w:ind w:right="-499"/>
        <w:spacing w:after="0"/>
        <w:rPr>
          <w:sz w:val="20"/>
          <w:szCs w:val="20"/>
          <w:color w:val="auto"/>
        </w:rPr>
      </w:pPr>
      <w:r>
        <w:rPr>
          <w:rFonts w:ascii="Arial" w:cs="Arial" w:eastAsia="Arial" w:hAnsi="Arial"/>
          <w:sz w:val="43"/>
          <w:szCs w:val="43"/>
          <w:b w:val="1"/>
          <w:bCs w:val="1"/>
          <w:color w:val="auto"/>
        </w:rPr>
        <w:t>PennantPark Investment Corporation</w:t>
      </w:r>
    </w:p>
    <w:p>
      <w:pPr>
        <w:spacing w:after="0" w:line="54"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190500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4040" w:type="dxa"/>
            <w:vAlign w:val="bottom"/>
          </w:tcPr>
          <w:p>
            <w:pPr>
              <w:jc w:val="center"/>
              <w:ind w:right="2422"/>
              <w:spacing w:after="0"/>
              <w:rPr>
                <w:sz w:val="20"/>
                <w:szCs w:val="20"/>
                <w:color w:val="auto"/>
              </w:rPr>
            </w:pPr>
            <w:r>
              <w:rPr>
                <w:rFonts w:ascii="Arial" w:cs="Arial" w:eastAsia="Arial" w:hAnsi="Arial"/>
                <w:sz w:val="18"/>
                <w:szCs w:val="18"/>
                <w:b w:val="1"/>
                <w:bCs w:val="1"/>
                <w:color w:val="auto"/>
                <w:w w:val="93"/>
              </w:rPr>
              <w:t>Maryland</w:t>
            </w:r>
          </w:p>
        </w:tc>
        <w:tc>
          <w:tcPr>
            <w:tcW w:w="2340" w:type="dxa"/>
            <w:vAlign w:val="bottom"/>
          </w:tcPr>
          <w:p>
            <w:pPr>
              <w:ind w:left="180"/>
              <w:spacing w:after="0"/>
              <w:rPr>
                <w:sz w:val="20"/>
                <w:szCs w:val="20"/>
                <w:color w:val="auto"/>
              </w:rPr>
            </w:pPr>
            <w:r>
              <w:rPr>
                <w:rFonts w:ascii="Arial" w:cs="Arial" w:eastAsia="Arial" w:hAnsi="Arial"/>
                <w:sz w:val="18"/>
                <w:szCs w:val="18"/>
                <w:b w:val="1"/>
                <w:bCs w:val="1"/>
                <w:color w:val="auto"/>
              </w:rPr>
              <w:t>814-00736</w:t>
            </w:r>
          </w:p>
        </w:tc>
        <w:tc>
          <w:tcPr>
            <w:tcW w:w="2460" w:type="dxa"/>
            <w:vAlign w:val="bottom"/>
          </w:tcPr>
          <w:p>
            <w:pPr>
              <w:jc w:val="right"/>
              <w:ind w:right="44"/>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4040" w:type="dxa"/>
            <w:vAlign w:val="bottom"/>
          </w:tcPr>
          <w:p>
            <w:pPr>
              <w:jc w:val="center"/>
              <w:ind w:right="2422"/>
              <w:spacing w:after="0"/>
              <w:rPr>
                <w:sz w:val="20"/>
                <w:szCs w:val="20"/>
                <w:color w:val="auto"/>
              </w:rPr>
            </w:pPr>
            <w:r>
              <w:rPr>
                <w:rFonts w:ascii="Arial" w:cs="Arial" w:eastAsia="Arial" w:hAnsi="Arial"/>
                <w:sz w:val="13"/>
                <w:szCs w:val="13"/>
                <w:b w:val="1"/>
                <w:bCs w:val="1"/>
                <w:color w:val="auto"/>
                <w:w w:val="94"/>
              </w:rPr>
              <w:t>(State or other jurisdiction</w:t>
            </w:r>
          </w:p>
        </w:tc>
        <w:tc>
          <w:tcPr>
            <w:tcW w:w="2340" w:type="dxa"/>
            <w:vAlign w:val="bottom"/>
          </w:tcPr>
          <w:p>
            <w:pPr>
              <w:ind w:left="180"/>
              <w:spacing w:after="0"/>
              <w:rPr>
                <w:sz w:val="20"/>
                <w:szCs w:val="20"/>
                <w:color w:val="auto"/>
              </w:rPr>
            </w:pPr>
            <w:r>
              <w:rPr>
                <w:rFonts w:ascii="Arial" w:cs="Arial" w:eastAsia="Arial" w:hAnsi="Arial"/>
                <w:sz w:val="13"/>
                <w:szCs w:val="13"/>
                <w:b w:val="1"/>
                <w:bCs w:val="1"/>
                <w:color w:val="auto"/>
              </w:rPr>
              <w:t>(Commission</w:t>
            </w:r>
          </w:p>
        </w:tc>
        <w:tc>
          <w:tcPr>
            <w:tcW w:w="2460" w:type="dxa"/>
            <w:vAlign w:val="bottom"/>
          </w:tcPr>
          <w:p>
            <w:pPr>
              <w:jc w:val="center"/>
              <w:ind w:left="130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4040" w:type="dxa"/>
            <w:vAlign w:val="bottom"/>
          </w:tcPr>
          <w:p>
            <w:pPr>
              <w:jc w:val="center"/>
              <w:ind w:right="2422"/>
              <w:spacing w:after="0"/>
              <w:rPr>
                <w:sz w:val="20"/>
                <w:szCs w:val="20"/>
                <w:color w:val="auto"/>
              </w:rPr>
            </w:pPr>
            <w:r>
              <w:rPr>
                <w:rFonts w:ascii="Arial" w:cs="Arial" w:eastAsia="Arial" w:hAnsi="Arial"/>
                <w:sz w:val="13"/>
                <w:szCs w:val="13"/>
                <w:b w:val="1"/>
                <w:bCs w:val="1"/>
                <w:color w:val="auto"/>
                <w:w w:val="94"/>
              </w:rPr>
              <w:t>of incorporation)</w:t>
            </w:r>
          </w:p>
        </w:tc>
        <w:tc>
          <w:tcPr>
            <w:tcW w:w="2340" w:type="dxa"/>
            <w:vAlign w:val="bottom"/>
          </w:tcPr>
          <w:p>
            <w:pPr>
              <w:ind w:left="180"/>
              <w:spacing w:after="0"/>
              <w:rPr>
                <w:sz w:val="20"/>
                <w:szCs w:val="20"/>
                <w:color w:val="auto"/>
              </w:rPr>
            </w:pPr>
            <w:r>
              <w:rPr>
                <w:rFonts w:ascii="Arial" w:cs="Arial" w:eastAsia="Arial" w:hAnsi="Arial"/>
                <w:sz w:val="13"/>
                <w:szCs w:val="13"/>
                <w:b w:val="1"/>
                <w:bCs w:val="1"/>
                <w:color w:val="auto"/>
              </w:rPr>
              <w:t>File Number)</w:t>
            </w:r>
          </w:p>
        </w:tc>
        <w:tc>
          <w:tcPr>
            <w:tcW w:w="2460" w:type="dxa"/>
            <w:vAlign w:val="bottom"/>
          </w:tcPr>
          <w:p>
            <w:pPr>
              <w:jc w:val="center"/>
              <w:ind w:left="1324"/>
              <w:spacing w:after="0"/>
              <w:rPr>
                <w:sz w:val="20"/>
                <w:szCs w:val="20"/>
                <w:color w:val="auto"/>
              </w:rPr>
            </w:pPr>
            <w:r>
              <w:rPr>
                <w:rFonts w:ascii="Arial" w:cs="Arial" w:eastAsia="Arial" w:hAnsi="Arial"/>
                <w:sz w:val="13"/>
                <w:szCs w:val="13"/>
                <w:b w:val="1"/>
                <w:bCs w:val="1"/>
                <w:color w:val="auto"/>
                <w:w w:val="96"/>
              </w:rPr>
              <w:t>Identification No.)</w:t>
            </w:r>
          </w:p>
        </w:tc>
      </w:tr>
      <w:tr>
        <w:trPr>
          <w:trHeight w:val="418"/>
        </w:trPr>
        <w:tc>
          <w:tcPr>
            <w:tcW w:w="4040" w:type="dxa"/>
            <w:vAlign w:val="bottom"/>
          </w:tcPr>
          <w:p>
            <w:pPr>
              <w:jc w:val="center"/>
              <w:ind w:left="1142"/>
              <w:spacing w:after="0"/>
              <w:rPr>
                <w:sz w:val="20"/>
                <w:szCs w:val="20"/>
                <w:color w:val="auto"/>
              </w:rPr>
            </w:pPr>
            <w:r>
              <w:rPr>
                <w:rFonts w:ascii="Arial" w:cs="Arial" w:eastAsia="Arial" w:hAnsi="Arial"/>
                <w:sz w:val="18"/>
                <w:szCs w:val="18"/>
                <w:b w:val="1"/>
                <w:bCs w:val="1"/>
                <w:color w:val="auto"/>
                <w:w w:val="87"/>
              </w:rPr>
              <w:t>590 Madison Avenue, 15th Floor</w:t>
            </w:r>
          </w:p>
        </w:tc>
        <w:tc>
          <w:tcPr>
            <w:tcW w:w="234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31"/>
        </w:trPr>
        <w:tc>
          <w:tcPr>
            <w:tcW w:w="4040" w:type="dxa"/>
            <w:vAlign w:val="bottom"/>
          </w:tcPr>
          <w:p>
            <w:pPr>
              <w:jc w:val="center"/>
              <w:ind w:left="1162"/>
              <w:spacing w:after="0"/>
              <w:rPr>
                <w:sz w:val="20"/>
                <w:szCs w:val="20"/>
                <w:color w:val="auto"/>
              </w:rPr>
            </w:pPr>
            <w:r>
              <w:rPr>
                <w:rFonts w:ascii="Arial" w:cs="Arial" w:eastAsia="Arial" w:hAnsi="Arial"/>
                <w:sz w:val="18"/>
                <w:szCs w:val="18"/>
                <w:b w:val="1"/>
                <w:bCs w:val="1"/>
                <w:color w:val="auto"/>
                <w:w w:val="92"/>
              </w:rPr>
              <w:t>New York, NY</w:t>
            </w:r>
          </w:p>
        </w:tc>
        <w:tc>
          <w:tcPr>
            <w:tcW w:w="2340" w:type="dxa"/>
            <w:vAlign w:val="bottom"/>
          </w:tcPr>
          <w:p>
            <w:pPr>
              <w:spacing w:after="0"/>
              <w:rPr>
                <w:sz w:val="20"/>
                <w:szCs w:val="20"/>
                <w:color w:val="auto"/>
              </w:rPr>
            </w:pPr>
          </w:p>
        </w:tc>
        <w:tc>
          <w:tcPr>
            <w:tcW w:w="2460" w:type="dxa"/>
            <w:vAlign w:val="bottom"/>
          </w:tcPr>
          <w:p>
            <w:pPr>
              <w:jc w:val="right"/>
              <w:ind w:right="244"/>
              <w:spacing w:after="0"/>
              <w:rPr>
                <w:sz w:val="20"/>
                <w:szCs w:val="20"/>
                <w:color w:val="auto"/>
              </w:rPr>
            </w:pPr>
            <w:r>
              <w:rPr>
                <w:rFonts w:ascii="Arial" w:cs="Arial" w:eastAsia="Arial" w:hAnsi="Arial"/>
                <w:sz w:val="18"/>
                <w:szCs w:val="18"/>
                <w:b w:val="1"/>
                <w:bCs w:val="1"/>
                <w:color w:val="auto"/>
              </w:rPr>
              <w:t>10022</w:t>
            </w:r>
          </w:p>
        </w:tc>
      </w:tr>
      <w:tr>
        <w:trPr>
          <w:trHeight w:val="174"/>
        </w:trPr>
        <w:tc>
          <w:tcPr>
            <w:tcW w:w="4040" w:type="dxa"/>
            <w:vAlign w:val="bottom"/>
          </w:tcPr>
          <w:p>
            <w:pPr>
              <w:jc w:val="center"/>
              <w:ind w:left="1162"/>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2340" w:type="dxa"/>
            <w:vAlign w:val="bottom"/>
          </w:tcPr>
          <w:p>
            <w:pPr>
              <w:spacing w:after="0"/>
              <w:rPr>
                <w:sz w:val="15"/>
                <w:szCs w:val="15"/>
                <w:color w:val="auto"/>
              </w:rPr>
            </w:pPr>
          </w:p>
        </w:tc>
        <w:tc>
          <w:tcPr>
            <w:tcW w:w="2460" w:type="dxa"/>
            <w:vAlign w:val="bottom"/>
          </w:tcPr>
          <w:p>
            <w:pPr>
              <w:jc w:val="center"/>
              <w:ind w:left="1324"/>
              <w:spacing w:after="0"/>
              <w:rPr>
                <w:sz w:val="20"/>
                <w:szCs w:val="20"/>
                <w:color w:val="auto"/>
              </w:rPr>
            </w:pPr>
            <w:r>
              <w:rPr>
                <w:rFonts w:ascii="Arial" w:cs="Arial" w:eastAsia="Arial" w:hAnsi="Arial"/>
                <w:sz w:val="13"/>
                <w:szCs w:val="13"/>
                <w:b w:val="1"/>
                <w:bCs w:val="1"/>
                <w:color w:val="auto"/>
                <w:w w:val="96"/>
              </w:rPr>
              <w:t>(Zip Code)</w:t>
            </w:r>
          </w:p>
        </w:tc>
      </w:tr>
    </w:tbl>
    <w:p>
      <w:pPr>
        <w:spacing w:after="0" w:line="13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49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4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4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180975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firstLine="449"/>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314" w:right="8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183515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5.07 Submission of Matters to a Vote of Security Holders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February 26, 2013, PennantPark Investment Corporation (the “Company”) reconvened its annual meeting of stockholders to consider the proposal to elect one director of the Company. The proposal is described in detail in the Company’s definitive proxy statement filed with the Securities and Exchange Commission on December 7, 2012. As of December 11, 2012, the record date, 66,356,911 shares of common stock were eligible to vote. A summary of the matter voted upon by the stockholders is set forth below.</w:t>
      </w:r>
    </w:p>
    <w:p>
      <w:pPr>
        <w:spacing w:after="0" w:line="13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elected Arthur H. Penn as a Class III director of the Company, who will serve until the 2016 annual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or until his successor is duly elected and qualified or until his earlier resignation, removal from office, death or incapacity. The voting results are set forth below:</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360" w:type="dxa"/>
            <w:vAlign w:val="bottom"/>
            <w:vMerge w:val="restart"/>
          </w:tcPr>
          <w:p>
            <w:pPr>
              <w:spacing w:after="0"/>
              <w:rPr>
                <w:sz w:val="20"/>
                <w:szCs w:val="20"/>
                <w:color w:val="auto"/>
              </w:rPr>
            </w:pPr>
            <w:r>
              <w:rPr>
                <w:rFonts w:ascii="Arial" w:cs="Arial" w:eastAsia="Arial" w:hAnsi="Arial"/>
                <w:sz w:val="13"/>
                <w:szCs w:val="13"/>
                <w:b w:val="1"/>
                <w:bCs w:val="1"/>
                <w:color w:val="auto"/>
                <w:w w:val="95"/>
              </w:rPr>
              <w:t>Name</w:t>
            </w:r>
          </w:p>
        </w:tc>
        <w:tc>
          <w:tcPr>
            <w:tcW w:w="5540" w:type="dxa"/>
            <w:vAlign w:val="bottom"/>
            <w:vMerge w:val="restart"/>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Broker</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5540" w:type="dxa"/>
            <w:vAlign w:val="bottom"/>
            <w:vMerge w:val="continue"/>
          </w:tcPr>
          <w:p>
            <w:pPr>
              <w:spacing w:after="0"/>
              <w:rPr>
                <w:sz w:val="14"/>
                <w:szCs w:val="14"/>
                <w:color w:val="auto"/>
              </w:rPr>
            </w:pPr>
          </w:p>
        </w:tc>
        <w:tc>
          <w:tcPr>
            <w:tcW w:w="1400" w:type="dxa"/>
            <w:vAlign w:val="bottom"/>
            <w:gridSpan w:val="2"/>
          </w:tcPr>
          <w:p>
            <w:pPr>
              <w:jc w:val="right"/>
              <w:ind w:right="860"/>
              <w:spacing w:after="0" w:line="148" w:lineRule="exact"/>
              <w:rPr>
                <w:sz w:val="20"/>
                <w:szCs w:val="20"/>
                <w:color w:val="auto"/>
              </w:rPr>
            </w:pPr>
            <w:r>
              <w:rPr>
                <w:rFonts w:ascii="Arial" w:cs="Arial" w:eastAsia="Arial" w:hAnsi="Arial"/>
                <w:sz w:val="13"/>
                <w:szCs w:val="13"/>
                <w:b w:val="1"/>
                <w:bCs w:val="1"/>
                <w:color w:val="auto"/>
              </w:rPr>
              <w:t>For</w:t>
            </w:r>
          </w:p>
        </w:tc>
        <w:tc>
          <w:tcPr>
            <w:tcW w:w="1180" w:type="dxa"/>
            <w:vAlign w:val="bottom"/>
            <w:gridSpan w:val="2"/>
          </w:tcPr>
          <w:p>
            <w:pPr>
              <w:jc w:val="right"/>
              <w:ind w:right="600"/>
              <w:spacing w:after="0" w:line="148" w:lineRule="exact"/>
              <w:rPr>
                <w:sz w:val="20"/>
                <w:szCs w:val="20"/>
                <w:color w:val="auto"/>
              </w:rPr>
            </w:pPr>
            <w:r>
              <w:rPr>
                <w:rFonts w:ascii="Arial" w:cs="Arial" w:eastAsia="Arial" w:hAnsi="Arial"/>
                <w:sz w:val="13"/>
                <w:szCs w:val="13"/>
                <w:b w:val="1"/>
                <w:bCs w:val="1"/>
                <w:color w:val="auto"/>
              </w:rPr>
              <w:t>Withheld</w:t>
            </w: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3"/>
                <w:szCs w:val="13"/>
                <w:b w:val="1"/>
                <w:bCs w:val="1"/>
                <w:color w:val="auto"/>
              </w:rPr>
              <w:t>Non Vote</w:t>
            </w:r>
          </w:p>
        </w:tc>
        <w:tc>
          <w:tcPr>
            <w:tcW w:w="0" w:type="dxa"/>
            <w:vAlign w:val="bottom"/>
          </w:tcPr>
          <w:p>
            <w:pPr>
              <w:spacing w:after="0"/>
              <w:rPr>
                <w:sz w:val="1"/>
                <w:szCs w:val="1"/>
                <w:color w:val="auto"/>
              </w:rPr>
            </w:pPr>
          </w:p>
        </w:tc>
      </w:tr>
      <w:tr>
        <w:trPr>
          <w:trHeight w:val="203"/>
        </w:trPr>
        <w:tc>
          <w:tcPr>
            <w:tcW w:w="5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Arthur H. Penn</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33,629,717</w:t>
            </w:r>
          </w:p>
        </w:tc>
        <w:tc>
          <w:tcPr>
            <w:tcW w:w="5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554,514</w:t>
            </w:r>
          </w:p>
        </w:tc>
        <w:tc>
          <w:tcPr>
            <w:tcW w:w="5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25,546,009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5540" w:type="dxa"/>
            <w:vAlign w:val="bottom"/>
          </w:tcPr>
          <w:p>
            <w:pPr>
              <w:ind w:left="60"/>
              <w:spacing w:after="0"/>
              <w:rPr>
                <w:sz w:val="20"/>
                <w:szCs w:val="20"/>
                <w:color w:val="auto"/>
              </w:rPr>
            </w:pPr>
            <w:r>
              <w:rPr>
                <w:rFonts w:ascii="Arial" w:cs="Arial" w:eastAsia="Arial" w:hAnsi="Arial"/>
                <w:sz w:val="18"/>
                <w:szCs w:val="18"/>
                <w:color w:val="auto"/>
              </w:rPr>
              <w:t>% of Shares Voted</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98.38%</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1.62%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On February 26, 2013, the Company reconvened the special meeting of stockholders to consider one proposal as described in detail in the Company’s definitive proxy statement filed with the Securities and Exchange Commission on December 7, 2012. As of December 11, 2012, the record date, 66,356,911 shares of common stock were eligible to vote. A summary of the matter voted upon by the stockholders is set forth below.</w:t>
      </w:r>
    </w:p>
    <w:p>
      <w:pPr>
        <w:spacing w:after="0" w:line="10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approved a proposal to authorize flexibility for the Company, with the approval of its Board of Directors, to sell</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its common stock during the next 12 months at a price below its then current net asset value per share, subject to certain limitations as described the proxy statement. The voting results are set forth below:</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5"/>
              </w:rPr>
              <w:t>For</w:t>
            </w:r>
          </w:p>
        </w:tc>
        <w:tc>
          <w:tcPr>
            <w:tcW w:w="128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Against</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Abstain</w:t>
            </w:r>
          </w:p>
        </w:tc>
      </w:tr>
      <w:tr>
        <w:trPr>
          <w:trHeight w:val="210"/>
        </w:trPr>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With Affiliates</w:t>
            </w: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29,350,679</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4,277,654</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209,941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ind w:left="420"/>
              <w:spacing w:after="0"/>
              <w:rPr>
                <w:sz w:val="20"/>
                <w:szCs w:val="20"/>
                <w:color w:val="auto"/>
              </w:rPr>
            </w:pPr>
            <w:r>
              <w:rPr>
                <w:rFonts w:ascii="Arial" w:cs="Arial" w:eastAsia="Arial" w:hAnsi="Arial"/>
                <w:sz w:val="18"/>
                <w:szCs w:val="18"/>
                <w:color w:val="auto"/>
              </w:rPr>
              <w:t>% of Shares Voted</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86.74%</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12.64%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0.62%</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Without Affiliates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28,449,823</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4,277,654</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209,941</w:t>
            </w:r>
          </w:p>
        </w:tc>
      </w:tr>
      <w:tr>
        <w:trPr>
          <w:trHeight w:val="222"/>
        </w:trPr>
        <w:tc>
          <w:tcPr>
            <w:tcW w:w="5920" w:type="dxa"/>
            <w:vAlign w:val="bottom"/>
          </w:tcPr>
          <w:p>
            <w:pPr>
              <w:ind w:left="420"/>
              <w:spacing w:after="0"/>
              <w:rPr>
                <w:sz w:val="20"/>
                <w:szCs w:val="20"/>
                <w:color w:val="auto"/>
              </w:rPr>
            </w:pPr>
            <w:r>
              <w:rPr>
                <w:rFonts w:ascii="Arial" w:cs="Arial" w:eastAsia="Arial" w:hAnsi="Arial"/>
                <w:sz w:val="18"/>
                <w:szCs w:val="18"/>
                <w:color w:val="auto"/>
              </w:rPr>
              <w:t>% of Shares Voted</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86.38%</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12.99%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0.64%</w:t>
            </w:r>
          </w:p>
        </w:tc>
      </w:tr>
    </w:tbl>
    <w:p>
      <w:pPr>
        <w:sectPr>
          <w:pgSz w:w="11900" w:h="16838" w:orient="portrait"/>
          <w:cols w:equalWidth="0" w:num="1">
            <w:col w:w="11120"/>
          </w:cols>
          <w:pgMar w:left="320" w:top="530"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177" w:lineRule="exact"/>
        <w:rPr>
          <w:sz w:val="20"/>
          <w:szCs w:val="20"/>
          <w:color w:val="auto"/>
        </w:rPr>
      </w:pPr>
    </w:p>
    <w:p>
      <w:pPr>
        <w:ind w:right="40" w:firstLine="449"/>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Pr>
          <w:p>
            <w:pPr>
              <w:spacing w:after="0"/>
              <w:rPr>
                <w:sz w:val="19"/>
                <w:szCs w:val="19"/>
                <w:color w:val="auto"/>
              </w:rPr>
            </w:pPr>
          </w:p>
        </w:tc>
        <w:tc>
          <w:tcPr>
            <w:tcW w:w="5600" w:type="dxa"/>
            <w:vAlign w:val="bottom"/>
          </w:tcPr>
          <w:p>
            <w:pPr>
              <w:jc w:val="center"/>
              <w:ind w:left="12"/>
              <w:spacing w:after="0"/>
              <w:rPr>
                <w:sz w:val="20"/>
                <w:szCs w:val="20"/>
                <w:color w:val="auto"/>
              </w:rPr>
            </w:pPr>
            <w:r>
              <w:rPr>
                <w:rFonts w:ascii="Arial" w:cs="Arial" w:eastAsia="Arial" w:hAnsi="Arial"/>
                <w:sz w:val="18"/>
                <w:szCs w:val="18"/>
                <w:b w:val="1"/>
                <w:bCs w:val="1"/>
                <w:color w:val="auto"/>
                <w:w w:val="89"/>
              </w:rPr>
              <w:t>PennantPark Investment Corporation</w:t>
            </w:r>
          </w:p>
        </w:tc>
      </w:tr>
      <w:tr>
        <w:trPr>
          <w:trHeight w:val="433"/>
        </w:trPr>
        <w:tc>
          <w:tcPr>
            <w:tcW w:w="5640" w:type="dxa"/>
            <w:vAlign w:val="bottom"/>
          </w:tcPr>
          <w:p>
            <w:pPr>
              <w:spacing w:after="0"/>
              <w:rPr>
                <w:sz w:val="20"/>
                <w:szCs w:val="20"/>
                <w:color w:val="auto"/>
              </w:rPr>
            </w:pPr>
            <w:r>
              <w:rPr>
                <w:rFonts w:ascii="Arial" w:cs="Arial" w:eastAsia="Arial" w:hAnsi="Arial"/>
                <w:sz w:val="18"/>
                <w:szCs w:val="18"/>
                <w:color w:val="auto"/>
              </w:rPr>
              <w:t>Date: March 1, 2013</w:t>
            </w:r>
          </w:p>
        </w:tc>
        <w:tc>
          <w:tcPr>
            <w:tcW w:w="56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4"/>
              </w:rPr>
              <w:t>/s/ AVIV EFRAT</w:t>
            </w:r>
          </w:p>
        </w:tc>
      </w:tr>
      <w:tr>
        <w:trPr>
          <w:trHeight w:val="202"/>
        </w:trPr>
        <w:tc>
          <w:tcPr>
            <w:tcW w:w="5640" w:type="dxa"/>
            <w:vAlign w:val="bottom"/>
          </w:tcPr>
          <w:p>
            <w:pPr>
              <w:spacing w:after="0"/>
              <w:rPr>
                <w:sz w:val="17"/>
                <w:szCs w:val="17"/>
                <w:color w:val="auto"/>
              </w:rPr>
            </w:pPr>
          </w:p>
        </w:tc>
        <w:tc>
          <w:tcPr>
            <w:tcW w:w="5600" w:type="dxa"/>
            <w:vAlign w:val="bottom"/>
          </w:tcPr>
          <w:p>
            <w:pPr>
              <w:jc w:val="center"/>
              <w:ind w:left="12"/>
              <w:spacing w:after="0" w:line="202" w:lineRule="exact"/>
              <w:rPr>
                <w:sz w:val="20"/>
                <w:szCs w:val="20"/>
                <w:color w:val="auto"/>
              </w:rPr>
            </w:pPr>
            <w:r>
              <w:rPr>
                <w:rFonts w:ascii="Arial" w:cs="Arial" w:eastAsia="Arial" w:hAnsi="Arial"/>
                <w:sz w:val="18"/>
                <w:szCs w:val="18"/>
                <w:color w:val="auto"/>
                <w:w w:val="96"/>
              </w:rPr>
              <w:t>Aviv Efrat</w:t>
            </w:r>
          </w:p>
        </w:tc>
      </w:tr>
      <w:tr>
        <w:trPr>
          <w:trHeight w:val="222"/>
        </w:trPr>
        <w:tc>
          <w:tcPr>
            <w:tcW w:w="5640" w:type="dxa"/>
            <w:vAlign w:val="bottom"/>
          </w:tcPr>
          <w:p>
            <w:pPr>
              <w:spacing w:after="0"/>
              <w:rPr>
                <w:sz w:val="19"/>
                <w:szCs w:val="19"/>
                <w:color w:val="auto"/>
              </w:rPr>
            </w:pPr>
          </w:p>
        </w:tc>
        <w:tc>
          <w:tcPr>
            <w:tcW w:w="5600" w:type="dxa"/>
            <w:vAlign w:val="bottom"/>
          </w:tcPr>
          <w:p>
            <w:pPr>
              <w:jc w:val="center"/>
              <w:ind w:left="32"/>
              <w:spacing w:after="0"/>
              <w:rPr>
                <w:sz w:val="20"/>
                <w:szCs w:val="20"/>
                <w:color w:val="auto"/>
              </w:rPr>
            </w:pPr>
            <w:r>
              <w:rPr>
                <w:rFonts w:ascii="Arial" w:cs="Arial" w:eastAsia="Arial" w:hAnsi="Arial"/>
                <w:sz w:val="18"/>
                <w:szCs w:val="18"/>
                <w:color w:val="auto"/>
                <w:w w:val="90"/>
              </w:rPr>
              <w:t>Chief Financial Officer &amp; Treasurer</w:t>
            </w: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2020-05-05T15:17:49Z</dcterms:created>
  <dcterms:modified xsi:type="dcterms:W3CDTF">2020-05-05T15:17:49Z</dcterms:modified>
</cp:coreProperties>
</file>