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26, 2023</w:t>
      </w:r>
    </w:p>
    <w:p>
      <w:pPr>
        <w:spacing w:after="0" w:line="22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495" w:right="339" w:bottom="1440" w:gutter="0" w:footer="0" w:header="0"/>
        </w:sectPr>
      </w:pPr>
    </w:p>
    <w:p>
      <w:pPr>
        <w:spacing w:after="0" w:line="20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40" w:space="720"/>
            <w:col w:w="3160"/>
          </w:cols>
          <w:pgMar w:left="320" w:top="495"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495"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7"/>
              </w:rPr>
              <w:t>PNNT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July 26, 2023, PennantPark Investment Corporation (the "Company") issued a press release, a copy of which is furnished as Exhibit 99.1 to this report on Form 8-K.</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Exhibits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report on Form 8-K, including Exhibits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including Exhibits 99.1,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Shell company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99.1 Press Release of PennantPark Investment Corporation dated July 26,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960" w:type="dxa"/>
            <w:vAlign w:val="bottom"/>
            <w:gridSpan w:val="3"/>
          </w:tcPr>
          <w:p>
            <w:pPr>
              <w:ind w:left="202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88"/>
        </w:trPr>
        <w:tc>
          <w:tcPr>
            <w:tcW w:w="3440" w:type="dxa"/>
            <w:vAlign w:val="bottom"/>
          </w:tcPr>
          <w:p>
            <w:pPr>
              <w:spacing w:after="0"/>
              <w:rPr>
                <w:sz w:val="20"/>
                <w:szCs w:val="20"/>
                <w:color w:val="auto"/>
              </w:rPr>
            </w:pPr>
            <w:r>
              <w:rPr>
                <w:rFonts w:ascii="Arial" w:cs="Arial" w:eastAsia="Arial" w:hAnsi="Arial"/>
                <w:sz w:val="18"/>
                <w:szCs w:val="18"/>
                <w:color w:val="auto"/>
              </w:rPr>
              <w:t>Date: July 26, 2023</w:t>
            </w:r>
          </w:p>
        </w:tc>
        <w:tc>
          <w:tcPr>
            <w:tcW w:w="4960" w:type="dxa"/>
            <w:vAlign w:val="bottom"/>
            <w:gridSpan w:val="3"/>
          </w:tcPr>
          <w:p>
            <w:pPr>
              <w:ind w:left="2020"/>
              <w:spacing w:after="0"/>
              <w:rPr>
                <w:sz w:val="20"/>
                <w:szCs w:val="20"/>
                <w:color w:val="auto"/>
              </w:rPr>
            </w:pPr>
            <w:r>
              <w:rPr>
                <w:rFonts w:ascii="Arial" w:cs="Arial" w:eastAsia="Arial" w:hAnsi="Arial"/>
                <w:sz w:val="18"/>
                <w:szCs w:val="18"/>
                <w:color w:val="auto"/>
              </w:rPr>
              <w:t>By: /s/ Richard T. Allorto, Jr.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48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1200"/>
          </w:cols>
          <w:pgMar w:left="320" w:top="540"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PennantPark Investment Corporation’s Unconsolidated Joint Venture, PennantPark Senior Loan Fund, LLC Completes $300 Million CLO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Marking Continued Growth in PennantPark’s Middle Market CLO Platform with Seven CLOs Under Management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MIAMI, July 26, 2023 (GLOBE NEWSWIRE) -- PennantPark Investment Corporation (the “</w:t>
      </w:r>
      <w:r>
        <w:rPr>
          <w:rFonts w:ascii="Arial" w:cs="Arial" w:eastAsia="Arial" w:hAnsi="Arial"/>
          <w:sz w:val="22"/>
          <w:szCs w:val="22"/>
          <w:i w:val="1"/>
          <w:iCs w:val="1"/>
          <w:color w:val="auto"/>
        </w:rPr>
        <w:t>Company</w:t>
      </w:r>
      <w:r>
        <w:rPr>
          <w:rFonts w:ascii="Arial" w:cs="Arial" w:eastAsia="Arial" w:hAnsi="Arial"/>
          <w:sz w:val="22"/>
          <w:szCs w:val="22"/>
          <w:color w:val="auto"/>
        </w:rPr>
        <w:t>”) (NYSE: PNNT) today announced that PennantPark Senior Loan Fund, LLC (“</w:t>
      </w:r>
      <w:r>
        <w:rPr>
          <w:rFonts w:ascii="Arial" w:cs="Arial" w:eastAsia="Arial" w:hAnsi="Arial"/>
          <w:sz w:val="22"/>
          <w:szCs w:val="22"/>
          <w:i w:val="1"/>
          <w:iCs w:val="1"/>
          <w:color w:val="auto"/>
        </w:rPr>
        <w:t>PSLF</w:t>
      </w:r>
      <w:r>
        <w:rPr>
          <w:rFonts w:ascii="Arial" w:cs="Arial" w:eastAsia="Arial" w:hAnsi="Arial"/>
          <w:sz w:val="22"/>
          <w:szCs w:val="22"/>
          <w:color w:val="auto"/>
        </w:rPr>
        <w:t>”) through its wholly-owned and consolidated subsidiary, PennantPark CLO VII, LLC (“</w:t>
      </w:r>
      <w:r>
        <w:rPr>
          <w:rFonts w:ascii="Arial" w:cs="Arial" w:eastAsia="Arial" w:hAnsi="Arial"/>
          <w:sz w:val="22"/>
          <w:szCs w:val="22"/>
          <w:i w:val="1"/>
          <w:iCs w:val="1"/>
          <w:color w:val="auto"/>
        </w:rPr>
        <w:t>CLO VII</w:t>
      </w:r>
      <w:r>
        <w:rPr>
          <w:rFonts w:ascii="Arial" w:cs="Arial" w:eastAsia="Arial" w:hAnsi="Arial"/>
          <w:sz w:val="22"/>
          <w:szCs w:val="22"/>
          <w:color w:val="auto"/>
        </w:rPr>
        <w:t>”), has closed a $300 million debt securitization in the form of a collateralized loan obligation (“</w:t>
      </w:r>
      <w:r>
        <w:rPr>
          <w:rFonts w:ascii="Arial" w:cs="Arial" w:eastAsia="Arial" w:hAnsi="Arial"/>
          <w:sz w:val="22"/>
          <w:szCs w:val="22"/>
          <w:i w:val="1"/>
          <w:iCs w:val="1"/>
          <w:color w:val="auto"/>
        </w:rPr>
        <w:t>CLO</w:t>
      </w:r>
      <w:r>
        <w:rPr>
          <w:rFonts w:ascii="Arial" w:cs="Arial" w:eastAsia="Arial" w:hAnsi="Arial"/>
          <w:sz w:val="22"/>
          <w:szCs w:val="22"/>
          <w:color w:val="auto"/>
        </w:rPr>
        <w:t>”) with a four-year reinvestment period and twelve-year final maturity.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notes issued in the CLO (the “</w:t>
      </w:r>
      <w:r>
        <w:rPr>
          <w:rFonts w:ascii="Arial" w:cs="Arial" w:eastAsia="Arial" w:hAnsi="Arial"/>
          <w:sz w:val="22"/>
          <w:szCs w:val="22"/>
          <w:i w:val="1"/>
          <w:iCs w:val="1"/>
          <w:color w:val="auto"/>
        </w:rPr>
        <w:t>CLO Notes</w:t>
      </w:r>
      <w:r>
        <w:rPr>
          <w:rFonts w:ascii="Arial" w:cs="Arial" w:eastAsia="Arial" w:hAnsi="Arial"/>
          <w:sz w:val="22"/>
          <w:szCs w:val="22"/>
          <w:color w:val="auto"/>
        </w:rPr>
        <w:t>”) are structured in the following manner:</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400" w:type="dxa"/>
            <w:vAlign w:val="bottom"/>
          </w:tcPr>
          <w:p>
            <w:pPr>
              <w:jc w:val="center"/>
              <w:ind w:left="52"/>
              <w:spacing w:after="0"/>
              <w:rPr>
                <w:sz w:val="20"/>
                <w:szCs w:val="20"/>
                <w:color w:val="auto"/>
              </w:rPr>
            </w:pPr>
            <w:r>
              <w:rPr>
                <w:rFonts w:ascii="Arial" w:cs="Arial" w:eastAsia="Arial" w:hAnsi="Arial"/>
                <w:sz w:val="22"/>
                <w:szCs w:val="22"/>
                <w:color w:val="auto"/>
                <w:w w:val="87"/>
              </w:rPr>
              <w:t>Expected</w:t>
            </w:r>
          </w:p>
        </w:tc>
        <w:tc>
          <w:tcPr>
            <w:tcW w:w="1740" w:type="dxa"/>
            <w:vAlign w:val="bottom"/>
          </w:tcPr>
          <w:p>
            <w:pPr>
              <w:spacing w:after="0"/>
              <w:rPr>
                <w:sz w:val="21"/>
                <w:szCs w:val="21"/>
                <w:color w:val="auto"/>
              </w:rPr>
            </w:pPr>
          </w:p>
        </w:tc>
      </w:tr>
      <w:tr>
        <w:trPr>
          <w:trHeight w:val="243"/>
        </w:trPr>
        <w:tc>
          <w:tcPr>
            <w:tcW w:w="1740" w:type="dxa"/>
            <w:vAlign w:val="bottom"/>
          </w:tcPr>
          <w:p>
            <w:pPr>
              <w:spacing w:after="0"/>
              <w:rPr>
                <w:sz w:val="21"/>
                <w:szCs w:val="21"/>
                <w:color w:val="auto"/>
              </w:rPr>
            </w:pPr>
          </w:p>
        </w:tc>
        <w:tc>
          <w:tcPr>
            <w:tcW w:w="2420" w:type="dxa"/>
            <w:vAlign w:val="bottom"/>
          </w:tcPr>
          <w:p>
            <w:pPr>
              <w:jc w:val="right"/>
              <w:ind w:right="492"/>
              <w:spacing w:after="0" w:line="243" w:lineRule="exact"/>
              <w:rPr>
                <w:sz w:val="20"/>
                <w:szCs w:val="20"/>
                <w:color w:val="auto"/>
              </w:rPr>
            </w:pPr>
            <w:r>
              <w:rPr>
                <w:rFonts w:ascii="Arial" w:cs="Arial" w:eastAsia="Arial" w:hAnsi="Arial"/>
                <w:sz w:val="22"/>
                <w:szCs w:val="22"/>
                <w:color w:val="auto"/>
              </w:rPr>
              <w:t>Par Amount</w:t>
            </w:r>
          </w:p>
        </w:tc>
        <w:tc>
          <w:tcPr>
            <w:tcW w:w="1800" w:type="dxa"/>
            <w:vAlign w:val="bottom"/>
          </w:tcPr>
          <w:p>
            <w:pPr>
              <w:jc w:val="center"/>
              <w:ind w:right="192"/>
              <w:spacing w:after="0" w:line="243" w:lineRule="exact"/>
              <w:rPr>
                <w:sz w:val="20"/>
                <w:szCs w:val="20"/>
                <w:color w:val="auto"/>
              </w:rPr>
            </w:pPr>
            <w:r>
              <w:rPr>
                <w:rFonts w:ascii="Arial" w:cs="Arial" w:eastAsia="Arial" w:hAnsi="Arial"/>
                <w:sz w:val="22"/>
                <w:szCs w:val="22"/>
                <w:color w:val="auto"/>
                <w:w w:val="92"/>
              </w:rPr>
              <w:t>% of Capital</w:t>
            </w:r>
          </w:p>
        </w:tc>
        <w:tc>
          <w:tcPr>
            <w:tcW w:w="2140" w:type="dxa"/>
            <w:vAlign w:val="bottom"/>
          </w:tcPr>
          <w:p>
            <w:pPr>
              <w:spacing w:after="0"/>
              <w:rPr>
                <w:sz w:val="21"/>
                <w:szCs w:val="21"/>
                <w:color w:val="auto"/>
              </w:rPr>
            </w:pPr>
          </w:p>
        </w:tc>
        <w:tc>
          <w:tcPr>
            <w:tcW w:w="1400" w:type="dxa"/>
            <w:vAlign w:val="bottom"/>
          </w:tcPr>
          <w:p>
            <w:pPr>
              <w:jc w:val="center"/>
              <w:ind w:left="52"/>
              <w:spacing w:after="0" w:line="243" w:lineRule="exact"/>
              <w:rPr>
                <w:sz w:val="20"/>
                <w:szCs w:val="20"/>
                <w:color w:val="auto"/>
              </w:rPr>
            </w:pPr>
            <w:r>
              <w:rPr>
                <w:rFonts w:ascii="Arial" w:cs="Arial" w:eastAsia="Arial" w:hAnsi="Arial"/>
                <w:sz w:val="22"/>
                <w:szCs w:val="22"/>
                <w:color w:val="auto"/>
                <w:w w:val="88"/>
              </w:rPr>
              <w:t>Rating</w:t>
            </w:r>
          </w:p>
        </w:tc>
        <w:tc>
          <w:tcPr>
            <w:tcW w:w="1740" w:type="dxa"/>
            <w:vAlign w:val="bottom"/>
          </w:tcPr>
          <w:p>
            <w:pPr>
              <w:spacing w:after="0"/>
              <w:rPr>
                <w:sz w:val="21"/>
                <w:szCs w:val="21"/>
                <w:color w:val="auto"/>
              </w:rPr>
            </w:pPr>
          </w:p>
        </w:tc>
      </w:tr>
      <w:tr>
        <w:trPr>
          <w:trHeight w:val="276"/>
        </w:trPr>
        <w:tc>
          <w:tcPr>
            <w:tcW w:w="1740" w:type="dxa"/>
            <w:vAlign w:val="bottom"/>
            <w:tcBorders>
              <w:bottom w:val="single" w:sz="8" w:color="auto"/>
            </w:tcBorders>
          </w:tcPr>
          <w:p>
            <w:pPr>
              <w:ind w:left="420"/>
              <w:spacing w:after="0"/>
              <w:rPr>
                <w:sz w:val="20"/>
                <w:szCs w:val="20"/>
                <w:color w:val="auto"/>
              </w:rPr>
            </w:pPr>
            <w:r>
              <w:rPr>
                <w:rFonts w:ascii="Arial" w:cs="Arial" w:eastAsia="Arial" w:hAnsi="Arial"/>
                <w:sz w:val="22"/>
                <w:szCs w:val="22"/>
                <w:color w:val="auto"/>
              </w:rPr>
              <w:t>Class</w:t>
            </w:r>
          </w:p>
        </w:tc>
        <w:tc>
          <w:tcPr>
            <w:tcW w:w="242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 in millions)</w:t>
            </w:r>
          </w:p>
        </w:tc>
        <w:tc>
          <w:tcPr>
            <w:tcW w:w="1800" w:type="dxa"/>
            <w:vAlign w:val="bottom"/>
            <w:tcBorders>
              <w:bottom w:val="single" w:sz="8" w:color="auto"/>
            </w:tcBorders>
          </w:tcPr>
          <w:p>
            <w:pPr>
              <w:jc w:val="center"/>
              <w:ind w:right="212"/>
              <w:spacing w:after="0"/>
              <w:rPr>
                <w:sz w:val="20"/>
                <w:szCs w:val="20"/>
                <w:color w:val="auto"/>
              </w:rPr>
            </w:pPr>
            <w:r>
              <w:rPr>
                <w:rFonts w:ascii="Arial" w:cs="Arial" w:eastAsia="Arial" w:hAnsi="Arial"/>
                <w:sz w:val="22"/>
                <w:szCs w:val="22"/>
                <w:color w:val="auto"/>
                <w:w w:val="89"/>
              </w:rPr>
              <w:t>Structure</w:t>
            </w:r>
          </w:p>
        </w:tc>
        <w:tc>
          <w:tcPr>
            <w:tcW w:w="214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color w:val="auto"/>
                <w:w w:val="88"/>
              </w:rPr>
              <w:t>Coupon</w:t>
            </w:r>
          </w:p>
        </w:tc>
        <w:tc>
          <w:tcPr>
            <w:tcW w:w="1400" w:type="dxa"/>
            <w:vAlign w:val="bottom"/>
            <w:tcBorders>
              <w:bottom w:val="single" w:sz="8" w:color="auto"/>
            </w:tcBorders>
          </w:tcPr>
          <w:p>
            <w:pPr>
              <w:jc w:val="center"/>
              <w:ind w:left="52"/>
              <w:spacing w:after="0"/>
              <w:rPr>
                <w:sz w:val="20"/>
                <w:szCs w:val="20"/>
                <w:color w:val="auto"/>
              </w:rPr>
            </w:pPr>
            <w:r>
              <w:rPr>
                <w:rFonts w:ascii="Arial" w:cs="Arial" w:eastAsia="Arial" w:hAnsi="Arial"/>
                <w:sz w:val="22"/>
                <w:szCs w:val="22"/>
                <w:color w:val="auto"/>
                <w:w w:val="95"/>
              </w:rPr>
              <w:t>(S&amp;P)</w:t>
            </w:r>
          </w:p>
        </w:tc>
        <w:tc>
          <w:tcPr>
            <w:tcW w:w="17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Issuance Price</w:t>
            </w:r>
          </w:p>
        </w:tc>
      </w:tr>
      <w:tr>
        <w:trPr>
          <w:trHeight w:val="230"/>
        </w:trPr>
        <w:tc>
          <w:tcPr>
            <w:tcW w:w="17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140" w:type="dxa"/>
            <w:vAlign w:val="bottom"/>
          </w:tcPr>
          <w:p>
            <w:pPr>
              <w:jc w:val="center"/>
              <w:ind w:left="32"/>
              <w:spacing w:after="0" w:line="230" w:lineRule="exact"/>
              <w:rPr>
                <w:sz w:val="20"/>
                <w:szCs w:val="20"/>
                <w:color w:val="auto"/>
              </w:rPr>
            </w:pPr>
            <w:r>
              <w:rPr>
                <w:rFonts w:ascii="Arial" w:cs="Arial" w:eastAsia="Arial" w:hAnsi="Arial"/>
                <w:sz w:val="22"/>
                <w:szCs w:val="22"/>
                <w:color w:val="auto"/>
                <w:w w:val="91"/>
              </w:rPr>
              <w:t>3 Mo SOFR +</w:t>
            </w:r>
          </w:p>
        </w:tc>
        <w:tc>
          <w:tcPr>
            <w:tcW w:w="14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1740" w:type="dxa"/>
            <w:vAlign w:val="bottom"/>
          </w:tcPr>
          <w:p>
            <w:pPr>
              <w:ind w:left="20"/>
              <w:spacing w:after="0"/>
              <w:rPr>
                <w:sz w:val="20"/>
                <w:szCs w:val="20"/>
                <w:color w:val="auto"/>
              </w:rPr>
            </w:pPr>
            <w:r>
              <w:rPr>
                <w:rFonts w:ascii="Arial" w:cs="Arial" w:eastAsia="Arial" w:hAnsi="Arial"/>
                <w:sz w:val="22"/>
                <w:szCs w:val="22"/>
                <w:color w:val="auto"/>
              </w:rPr>
              <w:t>A-1A Notes</w:t>
            </w:r>
          </w:p>
        </w:tc>
        <w:tc>
          <w:tcPr>
            <w:tcW w:w="2420" w:type="dxa"/>
            <w:vAlign w:val="bottom"/>
          </w:tcPr>
          <w:p>
            <w:pPr>
              <w:jc w:val="right"/>
              <w:ind w:right="92"/>
              <w:spacing w:after="0"/>
              <w:rPr>
                <w:sz w:val="20"/>
                <w:szCs w:val="20"/>
                <w:color w:val="auto"/>
              </w:rPr>
            </w:pPr>
            <w:r>
              <w:rPr>
                <w:rFonts w:ascii="Arial" w:cs="Arial" w:eastAsia="Arial" w:hAnsi="Arial"/>
                <w:sz w:val="22"/>
                <w:szCs w:val="22"/>
                <w:color w:val="auto"/>
              </w:rPr>
              <w:t>$151,000,000</w:t>
            </w:r>
          </w:p>
        </w:tc>
        <w:tc>
          <w:tcPr>
            <w:tcW w:w="1800" w:type="dxa"/>
            <w:vAlign w:val="bottom"/>
          </w:tcPr>
          <w:p>
            <w:pPr>
              <w:jc w:val="center"/>
              <w:ind w:right="292"/>
              <w:spacing w:after="0"/>
              <w:rPr>
                <w:sz w:val="20"/>
                <w:szCs w:val="20"/>
                <w:color w:val="auto"/>
              </w:rPr>
            </w:pPr>
            <w:r>
              <w:rPr>
                <w:rFonts w:ascii="Arial" w:cs="Arial" w:eastAsia="Arial" w:hAnsi="Arial"/>
                <w:sz w:val="22"/>
                <w:szCs w:val="22"/>
                <w:color w:val="auto"/>
                <w:w w:val="89"/>
              </w:rPr>
              <w:t>50.3%</w:t>
            </w:r>
          </w:p>
        </w:tc>
        <w:tc>
          <w:tcPr>
            <w:tcW w:w="2140" w:type="dxa"/>
            <w:vAlign w:val="bottom"/>
          </w:tcPr>
          <w:p>
            <w:pPr>
              <w:jc w:val="center"/>
              <w:ind w:left="32"/>
              <w:spacing w:after="0"/>
              <w:rPr>
                <w:sz w:val="20"/>
                <w:szCs w:val="20"/>
                <w:color w:val="auto"/>
              </w:rPr>
            </w:pPr>
            <w:r>
              <w:rPr>
                <w:rFonts w:ascii="Arial" w:cs="Arial" w:eastAsia="Arial" w:hAnsi="Arial"/>
                <w:sz w:val="22"/>
                <w:szCs w:val="22"/>
                <w:color w:val="auto"/>
                <w:w w:val="89"/>
              </w:rPr>
              <w:t>2.70%</w:t>
            </w:r>
          </w:p>
        </w:tc>
        <w:tc>
          <w:tcPr>
            <w:tcW w:w="1400" w:type="dxa"/>
            <w:vAlign w:val="bottom"/>
          </w:tcPr>
          <w:p>
            <w:pPr>
              <w:jc w:val="center"/>
              <w:spacing w:after="0"/>
              <w:rPr>
                <w:sz w:val="20"/>
                <w:szCs w:val="20"/>
                <w:color w:val="auto"/>
              </w:rPr>
            </w:pPr>
            <w:r>
              <w:rPr>
                <w:rFonts w:ascii="Arial" w:cs="Arial" w:eastAsia="Arial" w:hAnsi="Arial"/>
                <w:sz w:val="22"/>
                <w:szCs w:val="22"/>
                <w:color w:val="auto"/>
              </w:rPr>
              <w:t>AAA</w:t>
            </w:r>
          </w:p>
        </w:tc>
        <w:tc>
          <w:tcPr>
            <w:tcW w:w="1740" w:type="dxa"/>
            <w:vAlign w:val="bottom"/>
          </w:tcPr>
          <w:p>
            <w:pPr>
              <w:jc w:val="right"/>
              <w:ind w:right="612"/>
              <w:spacing w:after="0"/>
              <w:rPr>
                <w:sz w:val="20"/>
                <w:szCs w:val="20"/>
                <w:color w:val="auto"/>
              </w:rPr>
            </w:pPr>
            <w:r>
              <w:rPr>
                <w:rFonts w:ascii="Arial" w:cs="Arial" w:eastAsia="Arial" w:hAnsi="Arial"/>
                <w:sz w:val="22"/>
                <w:szCs w:val="22"/>
                <w:color w:val="auto"/>
              </w:rPr>
              <w:t>100.0%</w:t>
            </w:r>
          </w:p>
        </w:tc>
      </w:tr>
      <w:tr>
        <w:trPr>
          <w:trHeight w:val="270"/>
        </w:trPr>
        <w:tc>
          <w:tcPr>
            <w:tcW w:w="1740" w:type="dxa"/>
            <w:vAlign w:val="bottom"/>
          </w:tcPr>
          <w:p>
            <w:pPr>
              <w:ind w:left="20"/>
              <w:spacing w:after="0"/>
              <w:rPr>
                <w:sz w:val="20"/>
                <w:szCs w:val="20"/>
                <w:color w:val="auto"/>
              </w:rPr>
            </w:pPr>
            <w:r>
              <w:rPr>
                <w:rFonts w:ascii="Arial" w:cs="Arial" w:eastAsia="Arial" w:hAnsi="Arial"/>
                <w:sz w:val="22"/>
                <w:szCs w:val="22"/>
                <w:color w:val="auto"/>
              </w:rPr>
              <w:t>A-1B Loans</w:t>
            </w:r>
          </w:p>
        </w:tc>
        <w:tc>
          <w:tcPr>
            <w:tcW w:w="2420" w:type="dxa"/>
            <w:vAlign w:val="bottom"/>
          </w:tcPr>
          <w:p>
            <w:pPr>
              <w:jc w:val="right"/>
              <w:ind w:right="92"/>
              <w:spacing w:after="0"/>
              <w:rPr>
                <w:sz w:val="20"/>
                <w:szCs w:val="20"/>
                <w:color w:val="auto"/>
              </w:rPr>
            </w:pPr>
            <w:r>
              <w:rPr>
                <w:rFonts w:ascii="Arial" w:cs="Arial" w:eastAsia="Arial" w:hAnsi="Arial"/>
                <w:sz w:val="22"/>
                <w:szCs w:val="22"/>
                <w:color w:val="auto"/>
              </w:rPr>
              <w:t>20,000,000</w:t>
            </w:r>
          </w:p>
        </w:tc>
        <w:tc>
          <w:tcPr>
            <w:tcW w:w="1800" w:type="dxa"/>
            <w:vAlign w:val="bottom"/>
          </w:tcPr>
          <w:p>
            <w:pPr>
              <w:jc w:val="center"/>
              <w:ind w:right="292"/>
              <w:spacing w:after="0"/>
              <w:rPr>
                <w:sz w:val="20"/>
                <w:szCs w:val="20"/>
                <w:color w:val="auto"/>
              </w:rPr>
            </w:pPr>
            <w:r>
              <w:rPr>
                <w:rFonts w:ascii="Arial" w:cs="Arial" w:eastAsia="Arial" w:hAnsi="Arial"/>
                <w:sz w:val="22"/>
                <w:szCs w:val="22"/>
                <w:color w:val="auto"/>
                <w:w w:val="87"/>
              </w:rPr>
              <w:t>6.7%</w:t>
            </w:r>
          </w:p>
        </w:tc>
        <w:tc>
          <w:tcPr>
            <w:tcW w:w="2140" w:type="dxa"/>
            <w:vAlign w:val="bottom"/>
          </w:tcPr>
          <w:p>
            <w:pPr>
              <w:jc w:val="right"/>
              <w:ind w:right="692"/>
              <w:spacing w:after="0"/>
              <w:rPr>
                <w:sz w:val="20"/>
                <w:szCs w:val="20"/>
                <w:color w:val="auto"/>
              </w:rPr>
            </w:pPr>
            <w:r>
              <w:rPr>
                <w:rFonts w:ascii="Arial" w:cs="Arial" w:eastAsia="Arial" w:hAnsi="Arial"/>
                <w:sz w:val="22"/>
                <w:szCs w:val="22"/>
                <w:color w:val="auto"/>
              </w:rPr>
              <w:t>6.5490%</w:t>
            </w:r>
          </w:p>
        </w:tc>
        <w:tc>
          <w:tcPr>
            <w:tcW w:w="1400" w:type="dxa"/>
            <w:vAlign w:val="bottom"/>
          </w:tcPr>
          <w:p>
            <w:pPr>
              <w:jc w:val="center"/>
              <w:spacing w:after="0"/>
              <w:rPr>
                <w:sz w:val="20"/>
                <w:szCs w:val="20"/>
                <w:color w:val="auto"/>
              </w:rPr>
            </w:pPr>
            <w:r>
              <w:rPr>
                <w:rFonts w:ascii="Arial" w:cs="Arial" w:eastAsia="Arial" w:hAnsi="Arial"/>
                <w:sz w:val="22"/>
                <w:szCs w:val="22"/>
                <w:color w:val="auto"/>
              </w:rPr>
              <w:t>AAA</w:t>
            </w:r>
          </w:p>
        </w:tc>
        <w:tc>
          <w:tcPr>
            <w:tcW w:w="1740" w:type="dxa"/>
            <w:vAlign w:val="bottom"/>
          </w:tcPr>
          <w:p>
            <w:pPr>
              <w:jc w:val="right"/>
              <w:ind w:right="612"/>
              <w:spacing w:after="0"/>
              <w:rPr>
                <w:sz w:val="20"/>
                <w:szCs w:val="20"/>
                <w:color w:val="auto"/>
              </w:rPr>
            </w:pPr>
            <w:r>
              <w:rPr>
                <w:rFonts w:ascii="Arial" w:cs="Arial" w:eastAsia="Arial" w:hAnsi="Arial"/>
                <w:sz w:val="22"/>
                <w:szCs w:val="22"/>
                <w:color w:val="auto"/>
              </w:rPr>
              <w:t>100.0%</w:t>
            </w:r>
          </w:p>
        </w:tc>
      </w:tr>
      <w:tr>
        <w:trPr>
          <w:trHeight w:val="243"/>
        </w:trPr>
        <w:tc>
          <w:tcPr>
            <w:tcW w:w="17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1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1"/>
              </w:rPr>
              <w:t>3 Mo SOFR +</w:t>
            </w:r>
          </w:p>
        </w:tc>
        <w:tc>
          <w:tcPr>
            <w:tcW w:w="14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0"/>
        </w:trPr>
        <w:tc>
          <w:tcPr>
            <w:tcW w:w="1740" w:type="dxa"/>
            <w:vAlign w:val="bottom"/>
          </w:tcPr>
          <w:p>
            <w:pPr>
              <w:ind w:left="20"/>
              <w:spacing w:after="0"/>
              <w:rPr>
                <w:sz w:val="20"/>
                <w:szCs w:val="20"/>
                <w:color w:val="auto"/>
              </w:rPr>
            </w:pPr>
            <w:r>
              <w:rPr>
                <w:rFonts w:ascii="Arial" w:cs="Arial" w:eastAsia="Arial" w:hAnsi="Arial"/>
                <w:sz w:val="22"/>
                <w:szCs w:val="22"/>
                <w:color w:val="auto"/>
              </w:rPr>
              <w:t>A-2</w:t>
            </w:r>
          </w:p>
        </w:tc>
        <w:tc>
          <w:tcPr>
            <w:tcW w:w="2420" w:type="dxa"/>
            <w:vAlign w:val="bottom"/>
          </w:tcPr>
          <w:p>
            <w:pPr>
              <w:jc w:val="right"/>
              <w:ind w:right="92"/>
              <w:spacing w:after="0"/>
              <w:rPr>
                <w:sz w:val="20"/>
                <w:szCs w:val="20"/>
                <w:color w:val="auto"/>
              </w:rPr>
            </w:pPr>
            <w:r>
              <w:rPr>
                <w:rFonts w:ascii="Arial" w:cs="Arial" w:eastAsia="Arial" w:hAnsi="Arial"/>
                <w:sz w:val="22"/>
                <w:szCs w:val="22"/>
                <w:color w:val="auto"/>
              </w:rPr>
              <w:t>12,000,000</w:t>
            </w:r>
          </w:p>
        </w:tc>
        <w:tc>
          <w:tcPr>
            <w:tcW w:w="1800" w:type="dxa"/>
            <w:vAlign w:val="bottom"/>
          </w:tcPr>
          <w:p>
            <w:pPr>
              <w:jc w:val="center"/>
              <w:ind w:right="292"/>
              <w:spacing w:after="0"/>
              <w:rPr>
                <w:sz w:val="20"/>
                <w:szCs w:val="20"/>
                <w:color w:val="auto"/>
              </w:rPr>
            </w:pPr>
            <w:r>
              <w:rPr>
                <w:rFonts w:ascii="Arial" w:cs="Arial" w:eastAsia="Arial" w:hAnsi="Arial"/>
                <w:sz w:val="22"/>
                <w:szCs w:val="22"/>
                <w:color w:val="auto"/>
                <w:w w:val="87"/>
              </w:rPr>
              <w:t>4.0%</w:t>
            </w:r>
          </w:p>
        </w:tc>
        <w:tc>
          <w:tcPr>
            <w:tcW w:w="2140" w:type="dxa"/>
            <w:vAlign w:val="bottom"/>
          </w:tcPr>
          <w:p>
            <w:pPr>
              <w:jc w:val="center"/>
              <w:ind w:left="32"/>
              <w:spacing w:after="0"/>
              <w:rPr>
                <w:sz w:val="20"/>
                <w:szCs w:val="20"/>
                <w:color w:val="auto"/>
              </w:rPr>
            </w:pPr>
            <w:r>
              <w:rPr>
                <w:rFonts w:ascii="Arial" w:cs="Arial" w:eastAsia="Arial" w:hAnsi="Arial"/>
                <w:sz w:val="22"/>
                <w:szCs w:val="22"/>
                <w:color w:val="auto"/>
                <w:w w:val="89"/>
              </w:rPr>
              <w:t>3.20%</w:t>
            </w:r>
          </w:p>
        </w:tc>
        <w:tc>
          <w:tcPr>
            <w:tcW w:w="1400" w:type="dxa"/>
            <w:vAlign w:val="bottom"/>
          </w:tcPr>
          <w:p>
            <w:pPr>
              <w:jc w:val="center"/>
              <w:spacing w:after="0"/>
              <w:rPr>
                <w:sz w:val="20"/>
                <w:szCs w:val="20"/>
                <w:color w:val="auto"/>
              </w:rPr>
            </w:pPr>
            <w:r>
              <w:rPr>
                <w:rFonts w:ascii="Arial" w:cs="Arial" w:eastAsia="Arial" w:hAnsi="Arial"/>
                <w:sz w:val="22"/>
                <w:szCs w:val="22"/>
                <w:color w:val="auto"/>
              </w:rPr>
              <w:t>AAA</w:t>
            </w:r>
          </w:p>
        </w:tc>
        <w:tc>
          <w:tcPr>
            <w:tcW w:w="1740" w:type="dxa"/>
            <w:vAlign w:val="bottom"/>
          </w:tcPr>
          <w:p>
            <w:pPr>
              <w:jc w:val="right"/>
              <w:ind w:right="612"/>
              <w:spacing w:after="0"/>
              <w:rPr>
                <w:sz w:val="20"/>
                <w:szCs w:val="20"/>
                <w:color w:val="auto"/>
              </w:rPr>
            </w:pPr>
            <w:r>
              <w:rPr>
                <w:rFonts w:ascii="Arial" w:cs="Arial" w:eastAsia="Arial" w:hAnsi="Arial"/>
                <w:sz w:val="22"/>
                <w:szCs w:val="22"/>
                <w:color w:val="auto"/>
              </w:rPr>
              <w:t>100.0%</w:t>
            </w:r>
          </w:p>
        </w:tc>
      </w:tr>
      <w:tr>
        <w:trPr>
          <w:trHeight w:val="243"/>
        </w:trPr>
        <w:tc>
          <w:tcPr>
            <w:tcW w:w="17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1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1"/>
              </w:rPr>
              <w:t>3 Mo SOFR +</w:t>
            </w:r>
          </w:p>
        </w:tc>
        <w:tc>
          <w:tcPr>
            <w:tcW w:w="14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0"/>
        </w:trPr>
        <w:tc>
          <w:tcPr>
            <w:tcW w:w="1740" w:type="dxa"/>
            <w:vAlign w:val="bottom"/>
          </w:tcPr>
          <w:p>
            <w:pPr>
              <w:ind w:left="20"/>
              <w:spacing w:after="0"/>
              <w:rPr>
                <w:sz w:val="20"/>
                <w:szCs w:val="20"/>
                <w:color w:val="auto"/>
              </w:rPr>
            </w:pPr>
            <w:r>
              <w:rPr>
                <w:rFonts w:ascii="Arial" w:cs="Arial" w:eastAsia="Arial" w:hAnsi="Arial"/>
                <w:sz w:val="22"/>
                <w:szCs w:val="22"/>
                <w:color w:val="auto"/>
              </w:rPr>
              <w:t>B</w:t>
            </w:r>
          </w:p>
        </w:tc>
        <w:tc>
          <w:tcPr>
            <w:tcW w:w="2420" w:type="dxa"/>
            <w:vAlign w:val="bottom"/>
          </w:tcPr>
          <w:p>
            <w:pPr>
              <w:jc w:val="right"/>
              <w:ind w:right="92"/>
              <w:spacing w:after="0"/>
              <w:rPr>
                <w:sz w:val="20"/>
                <w:szCs w:val="20"/>
                <w:color w:val="auto"/>
              </w:rPr>
            </w:pPr>
            <w:r>
              <w:rPr>
                <w:rFonts w:ascii="Arial" w:cs="Arial" w:eastAsia="Arial" w:hAnsi="Arial"/>
                <w:sz w:val="22"/>
                <w:szCs w:val="22"/>
                <w:color w:val="auto"/>
              </w:rPr>
              <w:t>21,000,000</w:t>
            </w:r>
          </w:p>
        </w:tc>
        <w:tc>
          <w:tcPr>
            <w:tcW w:w="1800" w:type="dxa"/>
            <w:vAlign w:val="bottom"/>
          </w:tcPr>
          <w:p>
            <w:pPr>
              <w:jc w:val="center"/>
              <w:ind w:right="292"/>
              <w:spacing w:after="0"/>
              <w:rPr>
                <w:sz w:val="20"/>
                <w:szCs w:val="20"/>
                <w:color w:val="auto"/>
              </w:rPr>
            </w:pPr>
            <w:r>
              <w:rPr>
                <w:rFonts w:ascii="Arial" w:cs="Arial" w:eastAsia="Arial" w:hAnsi="Arial"/>
                <w:sz w:val="22"/>
                <w:szCs w:val="22"/>
                <w:color w:val="auto"/>
                <w:w w:val="87"/>
              </w:rPr>
              <w:t>7.0%</w:t>
            </w:r>
          </w:p>
        </w:tc>
        <w:tc>
          <w:tcPr>
            <w:tcW w:w="2140" w:type="dxa"/>
            <w:vAlign w:val="bottom"/>
          </w:tcPr>
          <w:p>
            <w:pPr>
              <w:jc w:val="center"/>
              <w:ind w:left="32"/>
              <w:spacing w:after="0"/>
              <w:rPr>
                <w:sz w:val="20"/>
                <w:szCs w:val="20"/>
                <w:color w:val="auto"/>
              </w:rPr>
            </w:pPr>
            <w:r>
              <w:rPr>
                <w:rFonts w:ascii="Arial" w:cs="Arial" w:eastAsia="Arial" w:hAnsi="Arial"/>
                <w:sz w:val="22"/>
                <w:szCs w:val="22"/>
                <w:color w:val="auto"/>
                <w:w w:val="89"/>
              </w:rPr>
              <w:t>4.05%</w:t>
            </w:r>
          </w:p>
        </w:tc>
        <w:tc>
          <w:tcPr>
            <w:tcW w:w="1400" w:type="dxa"/>
            <w:vAlign w:val="bottom"/>
          </w:tcPr>
          <w:p>
            <w:pPr>
              <w:jc w:val="center"/>
              <w:spacing w:after="0"/>
              <w:rPr>
                <w:sz w:val="20"/>
                <w:szCs w:val="20"/>
                <w:color w:val="auto"/>
              </w:rPr>
            </w:pPr>
            <w:r>
              <w:rPr>
                <w:rFonts w:ascii="Arial" w:cs="Arial" w:eastAsia="Arial" w:hAnsi="Arial"/>
                <w:sz w:val="22"/>
                <w:szCs w:val="22"/>
                <w:color w:val="auto"/>
              </w:rPr>
              <w:t>AA</w:t>
            </w:r>
          </w:p>
        </w:tc>
        <w:tc>
          <w:tcPr>
            <w:tcW w:w="1740" w:type="dxa"/>
            <w:vAlign w:val="bottom"/>
          </w:tcPr>
          <w:p>
            <w:pPr>
              <w:jc w:val="right"/>
              <w:ind w:right="612"/>
              <w:spacing w:after="0"/>
              <w:rPr>
                <w:sz w:val="20"/>
                <w:szCs w:val="20"/>
                <w:color w:val="auto"/>
              </w:rPr>
            </w:pPr>
            <w:r>
              <w:rPr>
                <w:rFonts w:ascii="Arial" w:cs="Arial" w:eastAsia="Arial" w:hAnsi="Arial"/>
                <w:sz w:val="22"/>
                <w:szCs w:val="22"/>
                <w:color w:val="auto"/>
              </w:rPr>
              <w:t>100.0%</w:t>
            </w:r>
          </w:p>
        </w:tc>
      </w:tr>
      <w:tr>
        <w:trPr>
          <w:trHeight w:val="243"/>
        </w:trPr>
        <w:tc>
          <w:tcPr>
            <w:tcW w:w="17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1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1"/>
              </w:rPr>
              <w:t>3 Mo SOFR +</w:t>
            </w:r>
          </w:p>
        </w:tc>
        <w:tc>
          <w:tcPr>
            <w:tcW w:w="14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0"/>
        </w:trPr>
        <w:tc>
          <w:tcPr>
            <w:tcW w:w="1740" w:type="dxa"/>
            <w:vAlign w:val="bottom"/>
          </w:tcPr>
          <w:p>
            <w:pPr>
              <w:ind w:left="20"/>
              <w:spacing w:after="0"/>
              <w:rPr>
                <w:sz w:val="20"/>
                <w:szCs w:val="20"/>
                <w:color w:val="auto"/>
              </w:rPr>
            </w:pPr>
            <w:r>
              <w:rPr>
                <w:rFonts w:ascii="Arial" w:cs="Arial" w:eastAsia="Arial" w:hAnsi="Arial"/>
                <w:sz w:val="22"/>
                <w:szCs w:val="22"/>
                <w:color w:val="auto"/>
              </w:rPr>
              <w:t>C</w:t>
            </w:r>
          </w:p>
        </w:tc>
        <w:tc>
          <w:tcPr>
            <w:tcW w:w="2420" w:type="dxa"/>
            <w:vAlign w:val="bottom"/>
          </w:tcPr>
          <w:p>
            <w:pPr>
              <w:jc w:val="right"/>
              <w:ind w:right="92"/>
              <w:spacing w:after="0"/>
              <w:rPr>
                <w:sz w:val="20"/>
                <w:szCs w:val="20"/>
                <w:color w:val="auto"/>
              </w:rPr>
            </w:pPr>
            <w:r>
              <w:rPr>
                <w:rFonts w:ascii="Arial" w:cs="Arial" w:eastAsia="Arial" w:hAnsi="Arial"/>
                <w:sz w:val="22"/>
                <w:szCs w:val="22"/>
                <w:color w:val="auto"/>
              </w:rPr>
              <w:t>24,000,000</w:t>
            </w:r>
          </w:p>
        </w:tc>
        <w:tc>
          <w:tcPr>
            <w:tcW w:w="1800" w:type="dxa"/>
            <w:vAlign w:val="bottom"/>
          </w:tcPr>
          <w:p>
            <w:pPr>
              <w:jc w:val="center"/>
              <w:ind w:right="292"/>
              <w:spacing w:after="0"/>
              <w:rPr>
                <w:sz w:val="20"/>
                <w:szCs w:val="20"/>
                <w:color w:val="auto"/>
              </w:rPr>
            </w:pPr>
            <w:r>
              <w:rPr>
                <w:rFonts w:ascii="Arial" w:cs="Arial" w:eastAsia="Arial" w:hAnsi="Arial"/>
                <w:sz w:val="22"/>
                <w:szCs w:val="22"/>
                <w:color w:val="auto"/>
                <w:w w:val="87"/>
              </w:rPr>
              <w:t>8.0%</w:t>
            </w:r>
          </w:p>
        </w:tc>
        <w:tc>
          <w:tcPr>
            <w:tcW w:w="2140" w:type="dxa"/>
            <w:vAlign w:val="bottom"/>
          </w:tcPr>
          <w:p>
            <w:pPr>
              <w:jc w:val="center"/>
              <w:ind w:left="32"/>
              <w:spacing w:after="0"/>
              <w:rPr>
                <w:sz w:val="20"/>
                <w:szCs w:val="20"/>
                <w:color w:val="auto"/>
              </w:rPr>
            </w:pPr>
            <w:r>
              <w:rPr>
                <w:rFonts w:ascii="Arial" w:cs="Arial" w:eastAsia="Arial" w:hAnsi="Arial"/>
                <w:sz w:val="22"/>
                <w:szCs w:val="22"/>
                <w:color w:val="auto"/>
                <w:w w:val="89"/>
              </w:rPr>
              <w:t>4.70%</w:t>
            </w:r>
          </w:p>
        </w:tc>
        <w:tc>
          <w:tcPr>
            <w:tcW w:w="1400" w:type="dxa"/>
            <w:vAlign w:val="bottom"/>
          </w:tcPr>
          <w:p>
            <w:pPr>
              <w:jc w:val="center"/>
              <w:spacing w:after="0"/>
              <w:rPr>
                <w:sz w:val="20"/>
                <w:szCs w:val="20"/>
                <w:color w:val="auto"/>
              </w:rPr>
            </w:pPr>
            <w:r>
              <w:rPr>
                <w:rFonts w:ascii="Arial" w:cs="Arial" w:eastAsia="Arial" w:hAnsi="Arial"/>
                <w:sz w:val="22"/>
                <w:szCs w:val="22"/>
                <w:color w:val="auto"/>
                <w:w w:val="95"/>
              </w:rPr>
              <w:t>A</w:t>
            </w:r>
          </w:p>
        </w:tc>
        <w:tc>
          <w:tcPr>
            <w:tcW w:w="1740" w:type="dxa"/>
            <w:vAlign w:val="bottom"/>
          </w:tcPr>
          <w:p>
            <w:pPr>
              <w:jc w:val="right"/>
              <w:ind w:right="612"/>
              <w:spacing w:after="0"/>
              <w:rPr>
                <w:sz w:val="20"/>
                <w:szCs w:val="20"/>
                <w:color w:val="auto"/>
              </w:rPr>
            </w:pPr>
            <w:r>
              <w:rPr>
                <w:rFonts w:ascii="Arial" w:cs="Arial" w:eastAsia="Arial" w:hAnsi="Arial"/>
                <w:sz w:val="22"/>
                <w:szCs w:val="22"/>
                <w:color w:val="auto"/>
              </w:rPr>
              <w:t>100.0%</w:t>
            </w:r>
          </w:p>
        </w:tc>
      </w:tr>
      <w:tr>
        <w:trPr>
          <w:trHeight w:val="243"/>
        </w:trPr>
        <w:tc>
          <w:tcPr>
            <w:tcW w:w="17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1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1"/>
              </w:rPr>
              <w:t>3 Mo SOFR +</w:t>
            </w:r>
          </w:p>
        </w:tc>
        <w:tc>
          <w:tcPr>
            <w:tcW w:w="14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0"/>
        </w:trPr>
        <w:tc>
          <w:tcPr>
            <w:tcW w:w="1740" w:type="dxa"/>
            <w:vAlign w:val="bottom"/>
          </w:tcPr>
          <w:p>
            <w:pPr>
              <w:ind w:left="20"/>
              <w:spacing w:after="0"/>
              <w:rPr>
                <w:sz w:val="20"/>
                <w:szCs w:val="20"/>
                <w:color w:val="auto"/>
              </w:rPr>
            </w:pPr>
            <w:r>
              <w:rPr>
                <w:rFonts w:ascii="Arial" w:cs="Arial" w:eastAsia="Arial" w:hAnsi="Arial"/>
                <w:sz w:val="22"/>
                <w:szCs w:val="22"/>
                <w:color w:val="auto"/>
              </w:rPr>
              <w:t>D</w:t>
            </w:r>
          </w:p>
        </w:tc>
        <w:tc>
          <w:tcPr>
            <w:tcW w:w="2420" w:type="dxa"/>
            <w:vAlign w:val="bottom"/>
          </w:tcPr>
          <w:p>
            <w:pPr>
              <w:jc w:val="right"/>
              <w:ind w:right="92"/>
              <w:spacing w:after="0"/>
              <w:rPr>
                <w:sz w:val="20"/>
                <w:szCs w:val="20"/>
                <w:color w:val="auto"/>
              </w:rPr>
            </w:pPr>
            <w:r>
              <w:rPr>
                <w:rFonts w:ascii="Arial" w:cs="Arial" w:eastAsia="Arial" w:hAnsi="Arial"/>
                <w:sz w:val="22"/>
                <w:szCs w:val="22"/>
                <w:color w:val="auto"/>
              </w:rPr>
              <w:t>18,000,000</w:t>
            </w:r>
          </w:p>
        </w:tc>
        <w:tc>
          <w:tcPr>
            <w:tcW w:w="1800" w:type="dxa"/>
            <w:vAlign w:val="bottom"/>
          </w:tcPr>
          <w:p>
            <w:pPr>
              <w:jc w:val="center"/>
              <w:ind w:right="292"/>
              <w:spacing w:after="0"/>
              <w:rPr>
                <w:sz w:val="20"/>
                <w:szCs w:val="20"/>
                <w:color w:val="auto"/>
              </w:rPr>
            </w:pPr>
            <w:r>
              <w:rPr>
                <w:rFonts w:ascii="Arial" w:cs="Arial" w:eastAsia="Arial" w:hAnsi="Arial"/>
                <w:sz w:val="22"/>
                <w:szCs w:val="22"/>
                <w:color w:val="auto"/>
                <w:w w:val="87"/>
              </w:rPr>
              <w:t>6.0%</w:t>
            </w:r>
          </w:p>
        </w:tc>
        <w:tc>
          <w:tcPr>
            <w:tcW w:w="2140" w:type="dxa"/>
            <w:vAlign w:val="bottom"/>
          </w:tcPr>
          <w:p>
            <w:pPr>
              <w:jc w:val="center"/>
              <w:ind w:left="32"/>
              <w:spacing w:after="0"/>
              <w:rPr>
                <w:sz w:val="20"/>
                <w:szCs w:val="20"/>
                <w:color w:val="auto"/>
              </w:rPr>
            </w:pPr>
            <w:r>
              <w:rPr>
                <w:rFonts w:ascii="Arial" w:cs="Arial" w:eastAsia="Arial" w:hAnsi="Arial"/>
                <w:sz w:val="22"/>
                <w:szCs w:val="22"/>
                <w:color w:val="auto"/>
                <w:w w:val="89"/>
              </w:rPr>
              <w:t>7.00%</w:t>
            </w:r>
          </w:p>
        </w:tc>
        <w:tc>
          <w:tcPr>
            <w:tcW w:w="1400" w:type="dxa"/>
            <w:vAlign w:val="bottom"/>
          </w:tcPr>
          <w:p>
            <w:pPr>
              <w:jc w:val="center"/>
              <w:spacing w:after="0"/>
              <w:rPr>
                <w:sz w:val="20"/>
                <w:szCs w:val="20"/>
                <w:color w:val="auto"/>
              </w:rPr>
            </w:pPr>
            <w:r>
              <w:rPr>
                <w:rFonts w:ascii="Arial" w:cs="Arial" w:eastAsia="Arial" w:hAnsi="Arial"/>
                <w:sz w:val="22"/>
                <w:szCs w:val="22"/>
                <w:color w:val="auto"/>
                <w:w w:val="97"/>
              </w:rPr>
              <w:t>BBB-</w:t>
            </w:r>
          </w:p>
        </w:tc>
        <w:tc>
          <w:tcPr>
            <w:tcW w:w="1740" w:type="dxa"/>
            <w:vAlign w:val="bottom"/>
          </w:tcPr>
          <w:p>
            <w:pPr>
              <w:jc w:val="right"/>
              <w:ind w:right="612"/>
              <w:spacing w:after="0"/>
              <w:rPr>
                <w:sz w:val="20"/>
                <w:szCs w:val="20"/>
                <w:color w:val="auto"/>
              </w:rPr>
            </w:pPr>
            <w:r>
              <w:rPr>
                <w:rFonts w:ascii="Arial" w:cs="Arial" w:eastAsia="Arial" w:hAnsi="Arial"/>
                <w:sz w:val="22"/>
                <w:szCs w:val="22"/>
                <w:color w:val="auto"/>
              </w:rPr>
              <w:t>100.0%</w:t>
            </w:r>
          </w:p>
        </w:tc>
      </w:tr>
      <w:tr>
        <w:trPr>
          <w:trHeight w:val="276"/>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Sub Notes</w:t>
            </w:r>
          </w:p>
        </w:tc>
        <w:tc>
          <w:tcPr>
            <w:tcW w:w="24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54,000,000</w:t>
            </w:r>
          </w:p>
        </w:tc>
        <w:tc>
          <w:tcPr>
            <w:tcW w:w="1800" w:type="dxa"/>
            <w:vAlign w:val="bottom"/>
            <w:tcBorders>
              <w:bottom w:val="single" w:sz="8" w:color="auto"/>
            </w:tcBorders>
          </w:tcPr>
          <w:p>
            <w:pPr>
              <w:jc w:val="center"/>
              <w:ind w:right="292"/>
              <w:spacing w:after="0"/>
              <w:rPr>
                <w:sz w:val="20"/>
                <w:szCs w:val="20"/>
                <w:color w:val="auto"/>
              </w:rPr>
            </w:pPr>
            <w:r>
              <w:rPr>
                <w:rFonts w:ascii="Arial" w:cs="Arial" w:eastAsia="Arial" w:hAnsi="Arial"/>
                <w:sz w:val="22"/>
                <w:szCs w:val="22"/>
                <w:color w:val="auto"/>
                <w:w w:val="89"/>
              </w:rPr>
              <w:t>18.0%</w:t>
            </w:r>
          </w:p>
        </w:tc>
        <w:tc>
          <w:tcPr>
            <w:tcW w:w="2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4"/>
              </w:rPr>
              <w:t>NR</w:t>
            </w:r>
          </w:p>
        </w:tc>
        <w:tc>
          <w:tcPr>
            <w:tcW w:w="1740" w:type="dxa"/>
            <w:vAlign w:val="bottom"/>
            <w:tcBorders>
              <w:bottom w:val="single" w:sz="8" w:color="auto"/>
            </w:tcBorders>
          </w:tcPr>
          <w:p>
            <w:pPr>
              <w:jc w:val="right"/>
              <w:ind w:right="652"/>
              <w:spacing w:after="0"/>
              <w:rPr>
                <w:sz w:val="20"/>
                <w:szCs w:val="20"/>
                <w:color w:val="auto"/>
              </w:rPr>
            </w:pPr>
            <w:r>
              <w:rPr>
                <w:rFonts w:ascii="Arial" w:cs="Arial" w:eastAsia="Arial" w:hAnsi="Arial"/>
                <w:sz w:val="22"/>
                <w:szCs w:val="22"/>
                <w:color w:val="auto"/>
              </w:rPr>
              <w:t>NA</w:t>
            </w:r>
          </w:p>
        </w:tc>
      </w:tr>
      <w:tr>
        <w:trPr>
          <w:trHeight w:val="270"/>
        </w:trPr>
        <w:tc>
          <w:tcPr>
            <w:tcW w:w="1740" w:type="dxa"/>
            <w:vAlign w:val="bottom"/>
          </w:tcPr>
          <w:p>
            <w:pPr>
              <w:ind w:left="20"/>
              <w:spacing w:after="0"/>
              <w:rPr>
                <w:sz w:val="20"/>
                <w:szCs w:val="20"/>
                <w:color w:val="auto"/>
              </w:rPr>
            </w:pPr>
            <w:r>
              <w:rPr>
                <w:rFonts w:ascii="Arial" w:cs="Arial" w:eastAsia="Arial" w:hAnsi="Arial"/>
                <w:sz w:val="22"/>
                <w:szCs w:val="22"/>
                <w:color w:val="auto"/>
              </w:rPr>
              <w:t>Total</w:t>
            </w:r>
          </w:p>
        </w:tc>
        <w:tc>
          <w:tcPr>
            <w:tcW w:w="2420" w:type="dxa"/>
            <w:vAlign w:val="bottom"/>
          </w:tcPr>
          <w:p>
            <w:pPr>
              <w:jc w:val="right"/>
              <w:ind w:right="92"/>
              <w:spacing w:after="0"/>
              <w:rPr>
                <w:sz w:val="20"/>
                <w:szCs w:val="20"/>
                <w:color w:val="auto"/>
              </w:rPr>
            </w:pPr>
            <w:r>
              <w:rPr>
                <w:rFonts w:ascii="Arial" w:cs="Arial" w:eastAsia="Arial" w:hAnsi="Arial"/>
                <w:sz w:val="22"/>
                <w:szCs w:val="22"/>
                <w:color w:val="auto"/>
              </w:rPr>
              <w:t>$300,000,000</w:t>
            </w:r>
          </w:p>
        </w:tc>
        <w:tc>
          <w:tcPr>
            <w:tcW w:w="18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740" w:type="dxa"/>
            <w:vAlign w:val="bottom"/>
          </w:tcPr>
          <w:p>
            <w:pPr>
              <w:spacing w:after="0"/>
              <w:rPr>
                <w:sz w:val="23"/>
                <w:szCs w:val="23"/>
                <w:color w:val="auto"/>
              </w:rPr>
            </w:pPr>
          </w:p>
        </w:tc>
      </w:tr>
    </w:tbl>
    <w:p>
      <w:pPr>
        <w:spacing w:after="0" w:line="200" w:lineRule="exact"/>
        <w:rPr>
          <w:sz w:val="20"/>
          <w:szCs w:val="20"/>
          <w:color w:val="auto"/>
        </w:rPr>
      </w:pPr>
    </w:p>
    <w:p>
      <w:pPr>
        <w:spacing w:after="0" w:line="2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transaction demonstrates PennantPark’s continued ability to raise attractive long-term financing, even during challenging markets.” said Arthur Penn, Chief Executive Officer. “We are pleased to enhance the capital position of both PSLF and our platform and to participate in today’s excellent vintage of both primary and secondary opportunities. With the closing of CLO VII, PennantPark now manages approximately $2.1 billion in CLO middle market assets, and we look forward to continued growth with the support of our current and new investors.”</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PSLF will retain all the Subordinated Notes through a consolidated subsidiary. The reinvestment period for the term debt securitization ends in July 2027 and the CLO Notes are scheduled to mature in July 2035. The proceeds from the CLO Notes will be used to repay a portion of PSLF’s $325 million secured credit facility. In addition, PSLF acts as retention holder in the transaction to retain exposure to the performance of the securitized assets. BNP Paribas acted as lead placement agent in the CLO transaction.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CLO Notes offered as part of the term debt securitization have not been and will not be registered under the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or any state “blue sky” laws, and may not be offered or sold in the United States absent registration under Section 5 of the Securities Act or an applicable exemption from applicable registration requirements. The CLO is a form of secured financing incurred and consolidated by PSLF. This press release shall not constitute an offer to sell or a solicitation of an offer to buy nor shall there be any sale of the notes in any state or jurisdiction in which such offer, solicitation or sale would be unlawful prior to registration or qualification under the securities laws of any such state or jurisdiction.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primarily invests in U.S. middle 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SENIOR LOAN FUND, LLC</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Senior Loan Fund, LLC, is a joint venture between PennantPark Investment Corporation and Pantheon Ventures (UK), LLP and primarily invests in middle-market and other corporate debt securities with PennantPark Investment Corporation’s strategy.</w:t>
      </w:r>
    </w:p>
    <w:p>
      <w:pPr>
        <w:sectPr>
          <w:pgSz w:w="11900" w:h="16838" w:orient="portrait"/>
          <w:cols w:equalWidth="0" w:num="1">
            <w:col w:w="11240"/>
          </w:cols>
          <w:pgMar w:left="320" w:top="328"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ABOUT PENNANTPARK INVESTMENT ADVISERS, LLC</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PennantPark is a leading middle market credit platform, managing approximately $6.2 billion of investable capital, including potential leverage. Since its inception in 2007, PennantPark has provided investors access to middle market credit by offering private equity firms and their portfolio companies as well as other middle market borrowers a comprehensive range of creative and flexible financing solutions. PennantPark is headquartered in Miami, and has offices in New York, Chicago, Houston, and Los Angeles.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Securities Exchange Act of 1934, as amended (the “</w:t>
      </w:r>
      <w:r>
        <w:rPr>
          <w:rFonts w:ascii="Arial" w:cs="Arial" w:eastAsia="Arial" w:hAnsi="Arial"/>
          <w:sz w:val="19"/>
          <w:szCs w:val="19"/>
          <w:i w:val="1"/>
          <w:iCs w:val="1"/>
          <w:color w:val="auto"/>
        </w:rPr>
        <w:t>Exchange Act</w:t>
      </w:r>
      <w:r>
        <w:rPr>
          <w:rFonts w:ascii="Arial" w:cs="Arial" w:eastAsia="Arial" w:hAnsi="Arial"/>
          <w:sz w:val="19"/>
          <w:szCs w:val="19"/>
          <w:color w:val="auto"/>
        </w:rPr>
        <w: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Richard T. Allorto, Jr.</w:t>
      </w:r>
    </w:p>
    <w:p>
      <w:pPr>
        <w:spacing w:after="0" w:line="238" w:lineRule="auto"/>
        <w:rPr>
          <w:sz w:val="20"/>
          <w:szCs w:val="20"/>
          <w:color w:val="auto"/>
        </w:rPr>
      </w:pPr>
      <w:r>
        <w:rPr>
          <w:rFonts w:ascii="Arial" w:cs="Arial" w:eastAsia="Arial" w:hAnsi="Arial"/>
          <w:sz w:val="22"/>
          <w:szCs w:val="22"/>
          <w:color w:val="auto"/>
        </w:rPr>
        <w:t>PennantPark Investment Corporation</w:t>
      </w: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Source: PennantPark Investment Corporation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2023-07-26T15:12:20Z</dcterms:created>
  <dcterms:modified xsi:type="dcterms:W3CDTF">2023-07-26T15:12:20Z</dcterms:modified>
</cp:coreProperties>
</file>