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6908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085" cy="360045"/>
                    </a:xfrm>
                    <a:prstGeom prst="rect">
                      <a:avLst/>
                    </a:prstGeom>
                    <a:noFill/>
                  </pic:spPr>
                </pic:pic>
              </a:graphicData>
            </a:graphic>
          </wp:anchor>
        </w:drawing>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w:t>
      </w:r>
    </w:p>
    <w:p>
      <w:pPr>
        <w:spacing w:after="0" w:line="177"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New York, NY — March 2, 2010 — PennantPark Investment Corporation (the “Company”) (Nasdaq: PNNT) announced that it has entered into an agreement to sell 5,000,000 shares of common stock at a public offering price of $10.00 per share, raising approximately $50,000,000 in gross proceeds. J.P. Morgan Securities Inc., Robert W. Baird &amp; Co. Incorporated, Stifel, Nicolaus &amp; Company, Incorporated, and SunTrust Robinson Humphrey, Inc., are acting as joint bookrunning underwriters. BMO Capital Markets, FBR Capital Markets Corporation, Janney Montgomery Scott LLC, and Keefe, Bruyette &amp; Woods, Inc. are acting as co-managers.</w:t>
      </w:r>
    </w:p>
    <w:p>
      <w:pPr>
        <w:spacing w:after="0" w:line="143" w:lineRule="exact"/>
        <w:rPr>
          <w:sz w:val="24"/>
          <w:szCs w:val="24"/>
          <w:color w:val="auto"/>
        </w:rPr>
      </w:pPr>
    </w:p>
    <w:p>
      <w:pPr>
        <w:ind w:right="300"/>
        <w:spacing w:after="0" w:line="332" w:lineRule="auto"/>
        <w:rPr>
          <w:sz w:val="20"/>
          <w:szCs w:val="20"/>
          <w:color w:val="auto"/>
        </w:rPr>
      </w:pPr>
      <w:r>
        <w:rPr>
          <w:rFonts w:ascii="Arial" w:cs="Arial" w:eastAsia="Arial" w:hAnsi="Arial"/>
          <w:sz w:val="16"/>
          <w:szCs w:val="16"/>
          <w:color w:val="auto"/>
        </w:rPr>
        <w:t>The closing of the transaction is subject to customary closing conditions and the shares are expected to be delivered on March 8, 2010. The Company also has granted the underwriters an option to purchase up to an additional 750,000 shares of common stock to cover over-allotments, if any.</w:t>
      </w:r>
    </w:p>
    <w:p>
      <w:pPr>
        <w:spacing w:after="0" w:line="85" w:lineRule="exact"/>
        <w:rPr>
          <w:sz w:val="24"/>
          <w:szCs w:val="24"/>
          <w:color w:val="auto"/>
        </w:rPr>
      </w:pPr>
    </w:p>
    <w:p>
      <w:pPr>
        <w:ind w:right="560"/>
        <w:spacing w:after="0" w:line="268" w:lineRule="auto"/>
        <w:rPr>
          <w:sz w:val="20"/>
          <w:szCs w:val="20"/>
          <w:color w:val="auto"/>
        </w:rPr>
      </w:pPr>
      <w:r>
        <w:rPr>
          <w:rFonts w:ascii="Arial" w:cs="Arial" w:eastAsia="Arial" w:hAnsi="Arial"/>
          <w:sz w:val="18"/>
          <w:szCs w:val="18"/>
          <w:color w:val="auto"/>
        </w:rPr>
        <w:t>The Company expects to use the net proceeds for general corporate purposes, including repayment of outstanding indebtedness and to fund investments in accordance with its investment objectives.</w:t>
      </w:r>
    </w:p>
    <w:p>
      <w:pPr>
        <w:spacing w:after="0" w:line="126"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b w:val="1"/>
          <w:bCs w:val="1"/>
          <w:color w:val="auto"/>
        </w:rPr>
        <w:t>Investors are advised to carefully consider the investment objectives, risks and charges and expenses of the Company before investing. The prospectus supplement dated March 2, 2010 and the accompanying prospectus dated February 24, 2010 contain this and other information about the Company and should be read carefully before investing.</w:t>
      </w:r>
    </w:p>
    <w:p>
      <w:pPr>
        <w:spacing w:after="0" w:line="138"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01"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The offering may be made only by means of a prospectus and a related prospectus supplement, copies of which may be obtained from the joint bookrunners at the following address: J.P. Morgan Securities Inc. c/o Broadridge Financial Solutions, 1155 Long Island Avenue, Edgewood, NY 11717 or by calling toll-free (866) 803-9204, Robert W. Baird &amp; Company Incorporated at 777 East Wisconsin Avenue, Milwaukee, Wisconsin 53202, Stifel, Nicolaus &amp; Company, Incorporated at 501 North Broadway, St. Louis, Missouri 63102 and SunTrust Robinson Humphrey, Inc. at 3333 Peachtree Road NE, Atlanta, Georgia 30326.</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PENNANTPARK INVESTMENT CORPORATION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ectPr>
          <w:pgSz w:w="11900" w:h="16838" w:orient="portrait"/>
          <w:cols w:equalWidth="0" w:num="1">
            <w:col w:w="11320"/>
          </w:cols>
          <w:pgMar w:left="240" w:top="280" w:right="3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PennantPark Investment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www.pennantpark.com</w:t>
      </w:r>
    </w:p>
    <w:sectPr>
      <w:pgSz w:w="11900" w:h="16838" w:orient="portrait"/>
      <w:cols w:equalWidth="0" w:num="2">
        <w:col w:w="860" w:space="400"/>
        <w:col w:w="10060"/>
      </w:cols>
      <w:pgMar w:left="240" w:top="2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2019-12-11T02:53:26Z</dcterms:created>
  <dcterms:modified xsi:type="dcterms:W3CDTF">2019-12-11T02:53:26Z</dcterms:modified>
</cp:coreProperties>
</file>