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146050</wp:posOffset>
            </wp:positionV>
            <wp:extent cx="130746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7465" cy="209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158750</wp:posOffset>
            </wp:positionV>
            <wp:extent cx="13074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7465" cy="209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ind w:left="258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November 18,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146050</wp:posOffset>
            </wp:positionV>
            <wp:extent cx="130746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7465"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PennantPark Investment Corporation</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p>
      <w:pPr>
        <w:ind w:left="1440"/>
        <w:spacing w:after="0"/>
        <w:tabs>
          <w:tab w:leader="none" w:pos="5340" w:val="left"/>
          <w:tab w:leader="none" w:pos="9100" w:val="left"/>
        </w:tabs>
        <w:rPr>
          <w:sz w:val="20"/>
          <w:szCs w:val="20"/>
          <w:color w:val="auto"/>
        </w:rPr>
      </w:pPr>
      <w:r>
        <w:rPr>
          <w:rFonts w:ascii="Arial" w:cs="Arial" w:eastAsia="Arial" w:hAnsi="Arial"/>
          <w:sz w:val="18"/>
          <w:szCs w:val="18"/>
          <w:b w:val="1"/>
          <w:bCs w:val="1"/>
          <w:color w:val="auto"/>
        </w:rPr>
        <w:t>Maryland</w:t>
      </w:r>
      <w:r>
        <w:rPr>
          <w:sz w:val="20"/>
          <w:szCs w:val="20"/>
          <w:color w:val="auto"/>
        </w:rPr>
        <w:tab/>
      </w:r>
      <w:r>
        <w:rPr>
          <w:rFonts w:ascii="Arial" w:cs="Arial" w:eastAsia="Arial" w:hAnsi="Arial"/>
          <w:sz w:val="18"/>
          <w:szCs w:val="18"/>
          <w:b w:val="1"/>
          <w:bCs w:val="1"/>
          <w:color w:val="auto"/>
        </w:rPr>
        <w:t>814-00736</w:t>
      </w:r>
      <w:r>
        <w:rPr>
          <w:sz w:val="20"/>
          <w:szCs w:val="20"/>
          <w:color w:val="auto"/>
        </w:rPr>
        <w:tab/>
      </w:r>
      <w:r>
        <w:rPr>
          <w:rFonts w:ascii="Arial" w:cs="Arial" w:eastAsia="Arial" w:hAnsi="Arial"/>
          <w:sz w:val="16"/>
          <w:szCs w:val="16"/>
          <w:b w:val="1"/>
          <w:bCs w:val="1"/>
          <w:color w:val="auto"/>
        </w:rPr>
        <w:t>20-8250744</w:t>
      </w:r>
    </w:p>
    <w:p>
      <w:pPr>
        <w:spacing w:after="0" w:line="21" w:lineRule="exact"/>
        <w:rPr>
          <w:sz w:val="24"/>
          <w:szCs w:val="24"/>
          <w:color w:val="auto"/>
        </w:rPr>
      </w:pPr>
    </w:p>
    <w:p>
      <w:pPr>
        <w:ind w:left="880"/>
        <w:spacing w:after="0"/>
        <w:tabs>
          <w:tab w:leader="none" w:pos="4760" w:val="left"/>
          <w:tab w:leader="none" w:pos="8320" w:val="left"/>
        </w:tabs>
        <w:rPr>
          <w:sz w:val="20"/>
          <w:szCs w:val="20"/>
          <w:color w:val="auto"/>
        </w:rPr>
      </w:pPr>
      <w:r>
        <w:rPr>
          <w:rFonts w:ascii="Arial" w:cs="Arial" w:eastAsia="Arial" w:hAnsi="Arial"/>
          <w:sz w:val="18"/>
          <w:szCs w:val="18"/>
          <w:color w:val="auto"/>
        </w:rPr>
        <w:t>(State or other jurisdiction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No.)</w:t>
      </w:r>
    </w:p>
    <w:p>
      <w:pPr>
        <w:spacing w:after="0" w:line="9"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3000"/>
        <w:spacing w:after="0"/>
        <w:tabs>
          <w:tab w:leader="none" w:pos="8140" w:val="left"/>
        </w:tabs>
        <w:rPr>
          <w:sz w:val="20"/>
          <w:szCs w:val="20"/>
          <w:color w:val="auto"/>
        </w:rPr>
      </w:pPr>
      <w:r>
        <w:rPr>
          <w:rFonts w:ascii="Arial" w:cs="Arial" w:eastAsia="Arial" w:hAnsi="Arial"/>
          <w:sz w:val="18"/>
          <w:szCs w:val="18"/>
          <w:b w:val="1"/>
          <w:bCs w:val="1"/>
          <w:color w:val="auto"/>
        </w:rPr>
        <w:t>590 Madison Avenue, 15th Floor, New York, NY</w:t>
      </w:r>
      <w:r>
        <w:rPr>
          <w:sz w:val="20"/>
          <w:szCs w:val="20"/>
          <w:color w:val="auto"/>
        </w:rPr>
        <w:tab/>
      </w:r>
      <w:r>
        <w:rPr>
          <w:rFonts w:ascii="Arial" w:cs="Arial" w:eastAsia="Arial" w:hAnsi="Arial"/>
          <w:sz w:val="15"/>
          <w:szCs w:val="15"/>
          <w:b w:val="1"/>
          <w:bCs w:val="1"/>
          <w:color w:val="auto"/>
        </w:rPr>
        <w:t>10022</w:t>
      </w:r>
    </w:p>
    <w:p>
      <w:pPr>
        <w:spacing w:after="0" w:line="21" w:lineRule="exact"/>
        <w:rPr>
          <w:sz w:val="24"/>
          <w:szCs w:val="24"/>
          <w:color w:val="auto"/>
        </w:rPr>
      </w:pPr>
    </w:p>
    <w:p>
      <w:pPr>
        <w:ind w:left="3400"/>
        <w:spacing w:after="0"/>
        <w:tabs>
          <w:tab w:leader="none" w:pos="79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212-905-1000</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right="160"/>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9"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6"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6"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3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5" w:lineRule="exact"/>
        <w:rPr>
          <w:sz w:val="24"/>
          <w:szCs w:val="24"/>
          <w:color w:val="auto"/>
        </w:rPr>
      </w:pPr>
    </w:p>
    <w:p>
      <w:pPr>
        <w:ind w:right="740"/>
        <w:spacing w:after="0" w:line="331" w:lineRule="auto"/>
        <w:rPr>
          <w:sz w:val="20"/>
          <w:szCs w:val="20"/>
          <w:color w:val="auto"/>
        </w:rPr>
      </w:pPr>
      <w:r>
        <w:rPr>
          <w:rFonts w:ascii="Arial" w:cs="Arial" w:eastAsia="Arial" w:hAnsi="Arial"/>
          <w:sz w:val="16"/>
          <w:szCs w:val="16"/>
          <w:color w:val="auto"/>
        </w:rPr>
        <w:t>On November 18, 2009, PennantPark Investment Corporation issued a press release announcing its financial results for quarter and fiscal year ended September 30, 2009. A copy of the press release is furnished as exhibit 99.1 to this report pursuant to Item 2.02 and Regulation FD.</w:t>
      </w:r>
    </w:p>
    <w:p>
      <w:pPr>
        <w:spacing w:after="0" w:line="12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9" w:lineRule="exact"/>
        <w:rPr>
          <w:sz w:val="24"/>
          <w:szCs w:val="24"/>
          <w:color w:val="auto"/>
        </w:rPr>
      </w:pPr>
    </w:p>
    <w:p>
      <w:pPr>
        <w:ind w:left="360" w:right="9320" w:hanging="352"/>
        <w:spacing w:after="0" w:line="275" w:lineRule="auto"/>
        <w:tabs>
          <w:tab w:leader="none" w:pos="25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spacing w:after="0" w:line="173" w:lineRule="exact"/>
        <w:rPr>
          <w:rFonts w:ascii="Arial" w:cs="Arial" w:eastAsia="Arial" w:hAnsi="Arial"/>
          <w:sz w:val="18"/>
          <w:szCs w:val="18"/>
          <w:b w:val="1"/>
          <w:bCs w:val="1"/>
          <w:color w:val="auto"/>
        </w:rPr>
      </w:pPr>
    </w:p>
    <w:p>
      <w:pPr>
        <w:ind w:left="360" w:right="8440" w:hanging="352"/>
        <w:spacing w:after="0" w:line="275" w:lineRule="auto"/>
        <w:tabs>
          <w:tab w:leader="none" w:pos="26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73" w:lineRule="exact"/>
        <w:rPr>
          <w:rFonts w:ascii="Arial" w:cs="Arial" w:eastAsia="Arial" w:hAnsi="Arial"/>
          <w:sz w:val="18"/>
          <w:szCs w:val="18"/>
          <w:b w:val="1"/>
          <w:bCs w:val="1"/>
          <w:color w:val="auto"/>
        </w:rPr>
      </w:pPr>
    </w:p>
    <w:p>
      <w:pPr>
        <w:ind w:left="360" w:right="8820" w:hanging="352"/>
        <w:spacing w:after="0" w:line="275" w:lineRule="auto"/>
        <w:tabs>
          <w:tab w:leader="none" w:pos="24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33" w:lineRule="exact"/>
        <w:rPr>
          <w:rFonts w:ascii="Arial" w:cs="Arial" w:eastAsia="Arial" w:hAnsi="Arial"/>
          <w:sz w:val="18"/>
          <w:szCs w:val="18"/>
          <w:b w:val="1"/>
          <w:bCs w:val="1"/>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 w:lineRule="exact"/>
        <w:rPr>
          <w:sz w:val="24"/>
          <w:szCs w:val="24"/>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PennantPark Investment Corporation dated November 18,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SIGNATURE</w:t>
      </w:r>
    </w:p>
    <w:p>
      <w:pPr>
        <w:sectPr>
          <w:pgSz w:w="11900" w:h="16899" w:orient="portrait"/>
          <w:cols w:equalWidth="0" w:num="1">
            <w:col w:w="11180"/>
          </w:cols>
          <w:pgMar w:left="320" w:top="206" w:right="399" w:bottom="0" w:gutter="0" w:footer="0" w:header="0"/>
        </w:sectPr>
      </w:pPr>
    </w:p>
    <w:p>
      <w:pPr>
        <w:spacing w:after="0" w:line="225" w:lineRule="exact"/>
        <w:rPr>
          <w:sz w:val="24"/>
          <w:szCs w:val="24"/>
          <w:color w:val="auto"/>
        </w:rPr>
      </w:pPr>
    </w:p>
    <w:p>
      <w:pPr>
        <w:ind w:firstLine="175"/>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ectPr>
          <w:pgSz w:w="11900" w:h="16899" w:orient="portrait"/>
          <w:cols w:equalWidth="0" w:num="1">
            <w:col w:w="11180"/>
          </w:cols>
          <w:pgMar w:left="320" w:top="206" w:right="3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5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89"/>
              </w:rPr>
              <w:t>PennantPark Investment Corporation</w:t>
            </w:r>
          </w:p>
        </w:tc>
      </w:tr>
      <w:tr>
        <w:trPr>
          <w:trHeight w:val="120"/>
        </w:trPr>
        <w:tc>
          <w:tcPr>
            <w:tcW w:w="5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r>
        <w:trPr>
          <w:trHeight w:val="319"/>
        </w:trPr>
        <w:tc>
          <w:tcPr>
            <w:tcW w:w="5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89"/>
              </w:rPr>
              <w:t>(Registrant)</w:t>
            </w:r>
          </w:p>
        </w:tc>
      </w:tr>
      <w:tr>
        <w:trPr>
          <w:trHeight w:val="432"/>
        </w:trPr>
        <w:tc>
          <w:tcPr>
            <w:tcW w:w="59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November 18, 2009</w:t>
            </w: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7"/>
              </w:rPr>
              <w:t>/s/  AVIV EFRAT</w:t>
            </w:r>
          </w:p>
        </w:tc>
      </w:tr>
      <w:tr>
        <w:trPr>
          <w:trHeight w:val="120"/>
        </w:trPr>
        <w:tc>
          <w:tcPr>
            <w:tcW w:w="534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r>
        <w:trPr>
          <w:trHeight w:val="312"/>
        </w:trPr>
        <w:tc>
          <w:tcPr>
            <w:tcW w:w="590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(Date)</w:t>
            </w:r>
          </w:p>
        </w:tc>
        <w:tc>
          <w:tcPr>
            <w:tcW w:w="5340" w:type="dxa"/>
            <w:vAlign w:val="bottom"/>
          </w:tcPr>
          <w:p>
            <w:pPr>
              <w:jc w:val="center"/>
              <w:spacing w:after="0"/>
              <w:rPr>
                <w:sz w:val="20"/>
                <w:szCs w:val="20"/>
                <w:color w:val="auto"/>
              </w:rPr>
            </w:pPr>
            <w:r>
              <w:rPr>
                <w:rFonts w:ascii="Arial" w:cs="Arial" w:eastAsia="Arial" w:hAnsi="Arial"/>
                <w:sz w:val="18"/>
                <w:szCs w:val="18"/>
                <w:color w:val="auto"/>
                <w:w w:val="96"/>
              </w:rPr>
              <w:t>Aviv Efrat</w:t>
            </w:r>
          </w:p>
        </w:tc>
      </w:tr>
      <w:tr>
        <w:trPr>
          <w:trHeight w:val="222"/>
        </w:trPr>
        <w:tc>
          <w:tcPr>
            <w:tcW w:w="5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i w:val="1"/>
                <w:iCs w:val="1"/>
                <w:color w:val="auto"/>
                <w:w w:val="91"/>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-919480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-919480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-353695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-353695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-353695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361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0" w:type="dxa"/>
            <w:vAlign w:val="bottom"/>
          </w:tcPr>
          <w:p>
            <w:pPr>
              <w:ind w:left="2860"/>
              <w:spacing w:after="0"/>
              <w:rPr>
                <w:sz w:val="20"/>
                <w:szCs w:val="20"/>
                <w:color w:val="auto"/>
              </w:rPr>
            </w:pPr>
            <w:r>
              <w:rPr>
                <w:rFonts w:ascii="Arial" w:cs="Arial" w:eastAsia="Arial" w:hAnsi="Arial"/>
                <w:sz w:val="22"/>
                <w:szCs w:val="22"/>
                <w:b w:val="1"/>
                <w:bCs w:val="1"/>
                <w:color w:val="auto"/>
              </w:rPr>
              <w:t>Exhibit Index</w:t>
            </w:r>
          </w:p>
        </w:tc>
      </w:tr>
      <w:tr>
        <w:trPr>
          <w:trHeight w:val="382"/>
        </w:trPr>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Exhibit No.</w:t>
            </w: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477"/>
        </w:trPr>
        <w:tc>
          <w:tcPr>
            <w:tcW w:w="860" w:type="dxa"/>
            <w:vAlign w:val="bottom"/>
          </w:tcPr>
          <w:p>
            <w:pPr>
              <w:jc w:val="right"/>
              <w:ind w:right="172"/>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w w:val="86"/>
              </w:rPr>
              <w:t>Press Release of PennantPark Investment Corporation dated November 18, 2009</w:t>
            </w: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line="10" w:lineRule="exact"/>
        <w:rPr>
          <w:sz w:val="20"/>
          <w:szCs w:val="20"/>
          <w:color w:val="auto"/>
        </w:rPr>
      </w:pPr>
    </w:p>
    <w:p>
      <w:pPr>
        <w:ind w:left="9940"/>
        <w:spacing w:after="0"/>
        <w:rPr>
          <w:sz w:val="20"/>
          <w:szCs w:val="20"/>
          <w:color w:val="auto"/>
        </w:rPr>
      </w:pPr>
      <w:r>
        <w:rPr>
          <w:rFonts w:ascii="Arial" w:cs="Arial" w:eastAsia="Arial" w:hAnsi="Arial"/>
          <w:sz w:val="21"/>
          <w:szCs w:val="21"/>
          <w:color w:val="auto"/>
        </w:rPr>
        <w:t>EXHIBIT 99.1</w:t>
      </w:r>
    </w:p>
    <w:p>
      <w:pPr>
        <w:spacing w:after="0" w:line="256" w:lineRule="exact"/>
        <w:rPr>
          <w:sz w:val="20"/>
          <w:szCs w:val="20"/>
          <w:color w:val="auto"/>
        </w:rPr>
      </w:pPr>
    </w:p>
    <w:p>
      <w:pPr>
        <w:jc w:val="center"/>
        <w:ind w:left="340" w:right="400"/>
        <w:spacing w:after="0" w:line="282" w:lineRule="auto"/>
        <w:rPr>
          <w:sz w:val="20"/>
          <w:szCs w:val="20"/>
          <w:color w:val="auto"/>
        </w:rPr>
      </w:pPr>
      <w:r>
        <w:rPr>
          <w:rFonts w:ascii="Arial" w:cs="Arial" w:eastAsia="Arial" w:hAnsi="Arial"/>
          <w:sz w:val="25"/>
          <w:szCs w:val="25"/>
          <w:b w:val="1"/>
          <w:bCs w:val="1"/>
          <w:color w:val="auto"/>
        </w:rPr>
        <w:t>PennantPark Investment Corporation Announces Financial Results for Quarter and Year Ended September 30, 2009</w:t>
      </w:r>
    </w:p>
    <w:p>
      <w:pPr>
        <w:spacing w:after="0" w:line="164"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NEW YORK, Nov. 18, 2009 (GLOBE NEWSWIRE) -- PennantPark Investment Corporation (Nasdaq:PNNT) today announces financial results for its fourth quarter and fiscal year ended September 30, 2009.</w:t>
      </w:r>
    </w:p>
    <w:p>
      <w:pPr>
        <w:spacing w:after="0" w:line="200" w:lineRule="exact"/>
        <w:rPr>
          <w:sz w:val="20"/>
          <w:szCs w:val="20"/>
          <w:color w:val="auto"/>
        </w:rPr>
      </w:pP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780" w:type="dxa"/>
            <w:vAlign w:val="bottom"/>
          </w:tcPr>
          <w:p>
            <w:pPr>
              <w:spacing w:after="0"/>
              <w:rPr>
                <w:sz w:val="20"/>
                <w:szCs w:val="20"/>
                <w:color w:val="auto"/>
              </w:rPr>
            </w:pPr>
            <w:r>
              <w:rPr>
                <w:rFonts w:ascii="Courier New" w:cs="Courier New" w:eastAsia="Courier New" w:hAnsi="Courier New"/>
                <w:sz w:val="18"/>
                <w:szCs w:val="18"/>
                <w:color w:val="auto"/>
              </w:rPr>
              <w:t>HIGHLIGHTS</w:t>
            </w:r>
          </w:p>
        </w:tc>
        <w:tc>
          <w:tcPr>
            <w:tcW w:w="3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Fiscal year ended September 30, 2009</w:t>
            </w: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in millions, except per</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 amounts)</w:t>
            </w: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31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469.8</w:t>
            </w:r>
          </w:p>
        </w:tc>
      </w:tr>
      <w:tr>
        <w:trPr>
          <w:trHeight w:val="202"/>
        </w:trPr>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31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300.6</w:t>
            </w:r>
          </w:p>
        </w:tc>
      </w:tr>
      <w:tr>
        <w:trPr>
          <w:trHeight w:val="203"/>
        </w:trPr>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31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11.85</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Credit facility (Cost $225.1)</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175.5</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Investment portfolio composition and yield:</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2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Subordinated debt, second</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lien secured debt, senior</w:t>
            </w: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secured debt, and equity</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(core)</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427.1</w:t>
            </w:r>
          </w:p>
        </w:tc>
      </w:tr>
      <w:tr>
        <w:trPr>
          <w:trHeight w:val="405"/>
        </w:trPr>
        <w:tc>
          <w:tcPr>
            <w:tcW w:w="5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Senior secured debt (non-core)</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42.7</w:t>
            </w:r>
          </w:p>
        </w:tc>
      </w:tr>
      <w:tr>
        <w:trPr>
          <w:trHeight w:val="203"/>
        </w:trPr>
        <w:tc>
          <w:tcPr>
            <w:tcW w:w="2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Weighted average yield on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debt investments</w:t>
            </w:r>
          </w:p>
        </w:tc>
        <w:tc>
          <w:tcPr>
            <w:tcW w:w="6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2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Weighted average yield on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core debt investment</w:t>
            </w:r>
          </w:p>
        </w:tc>
        <w:tc>
          <w:tcPr>
            <w:tcW w:w="6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w:t>
            </w:r>
          </w:p>
        </w:tc>
      </w:tr>
      <w:tr>
        <w:trPr>
          <w:trHeight w:val="203"/>
        </w:trPr>
        <w:tc>
          <w:tcPr>
            <w:tcW w:w="2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Weighted average yield on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non-core debt investments</w:t>
            </w:r>
          </w:p>
        </w:tc>
        <w:tc>
          <w:tcPr>
            <w:tcW w:w="6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bl>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1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5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Year Ended</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Quarter Ended</w:t>
            </w:r>
          </w:p>
        </w:tc>
      </w:tr>
      <w:tr>
        <w:trPr>
          <w:trHeight w:val="203"/>
        </w:trPr>
        <w:tc>
          <w:tcPr>
            <w:tcW w:w="11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September 30,</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11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2009</w:t>
            </w:r>
          </w:p>
        </w:tc>
        <w:tc>
          <w:tcPr>
            <w:tcW w:w="54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2009</w:t>
            </w:r>
          </w:p>
        </w:tc>
      </w:tr>
      <w:tr>
        <w:trPr>
          <w:trHeight w:val="203"/>
        </w:trPr>
        <w:tc>
          <w:tcPr>
            <w:tcW w:w="4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Results:</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22.7</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4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1.08</w:t>
            </w:r>
          </w:p>
        </w:tc>
        <w:tc>
          <w:tcPr>
            <w:tcW w:w="5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0.28*</w:t>
            </w:r>
          </w:p>
        </w:tc>
      </w:tr>
      <w:tr>
        <w:trPr>
          <w:trHeight w:val="203"/>
        </w:trPr>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4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0.96</w:t>
            </w:r>
          </w:p>
        </w:tc>
        <w:tc>
          <w:tcPr>
            <w:tcW w:w="5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0.24</w:t>
            </w:r>
          </w:p>
        </w:tc>
      </w:tr>
      <w:tr>
        <w:trPr>
          <w:trHeight w:val="405"/>
        </w:trPr>
        <w:tc>
          <w:tcPr>
            <w:tcW w:w="4260" w:type="dxa"/>
            <w:vAlign w:val="bottom"/>
            <w:gridSpan w:val="2"/>
          </w:tcPr>
          <w:p>
            <w:pPr>
              <w:spacing w:after="0"/>
              <w:rPr>
                <w:sz w:val="20"/>
                <w:szCs w:val="20"/>
                <w:color w:val="auto"/>
              </w:rPr>
            </w:pPr>
            <w:r>
              <w:rPr>
                <w:rFonts w:ascii="Courier New" w:cs="Courier New" w:eastAsia="Courier New" w:hAnsi="Courier New"/>
                <w:sz w:val="18"/>
                <w:szCs w:val="18"/>
                <w:color w:val="auto"/>
              </w:rPr>
              <w:t>Portfolio Activity:</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Purchase of long term investments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112.7</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64.8</w:t>
            </w: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Sales and</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repayments of long term</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investments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28.0</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15.1</w:t>
            </w:r>
          </w:p>
        </w:tc>
      </w:tr>
      <w:tr>
        <w:trPr>
          <w:trHeight w:val="405"/>
        </w:trPr>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new portfolio companies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invested</w:t>
            </w:r>
          </w:p>
        </w:tc>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c>
          <w:tcPr>
            <w:tcW w:w="5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existing portfolio companies</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invested</w:t>
            </w:r>
          </w:p>
        </w:tc>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5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portfolio companies at end of</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period</w:t>
            </w:r>
          </w:p>
        </w:tc>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w:t>
            </w:r>
          </w:p>
        </w:tc>
        <w:tc>
          <w:tcPr>
            <w:tcW w:w="5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w:t>
            </w:r>
          </w:p>
        </w:tc>
      </w:tr>
    </w:tbl>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*Net investment income per share before follow-on offering is $0.29.</w:t>
      </w:r>
    </w:p>
    <w:p>
      <w:pPr>
        <w:spacing w:after="0" w:line="197"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Except where the context suggests otherwise, the terms "we," "us," "our," "Company," and "PennantPark Investment" refer to PennantPark Investment Corporation.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CONFERENCE CALL AT 10:00 A.M. ET ON NOVEMBER 19, 2009</w:t>
      </w:r>
    </w:p>
    <w:p>
      <w:pPr>
        <w:spacing w:after="0" w:line="20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The Company will host a conference call at 10:00 a.m. (Eastern Time) on Thursday, November 19, 2009 to discuss its fourth quarter and fiscal year end 2009 results. All interested parties are welcome to participate. You can access the conference call by dialing (888) 500-6955 approximately 5-10 minutes prior to the call. International callers should dial (719) 325-2171. All callers should reference PennantPark Investment Corporation. An archived replay of the call will be available through December 3, 2009 by calling (888) 203-1112. International callers please dial (719) 457-0820. For all replays, please reference conference ID #4343815.</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PORTFOLIO AND INVESTMENT ACTIVITY</w:t>
      </w:r>
    </w:p>
    <w:p>
      <w:pPr>
        <w:spacing w:after="0" w:line="206"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As of September 30, 2009, our portfolio totaled $469.8 million and consisted of $157.1 million of subordinated debt, $134.4 million of second lien secured debt, $150.6 million of senior secured loans, and $27.7 million of preferred and common equity investments. This compares to our portfolio as of September 30, 2008, which totaled $372.1 million and consisted of $166.2 million of subordinated debt, $104.2 million of second lien secured debt, $78.8 million of senior secured loans, and $22.9 million of preferred and common equity investments.</w:t>
      </w:r>
    </w:p>
    <w:p>
      <w:pPr>
        <w:spacing w:after="0" w:line="187"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We consider our core assets, by value and investment focus, to consist of subordinated debt, second lien secured debt, certain senior secured investments, and to a lesser extent, equity investments. As of September 30, 2009, our core assets totaled $427.1 million and consisted of investments in thirty different companies with an average investment size of $14.2 million per company, and a weighted average yield of 12.5% on debt investments. This compares to our core assets as of September 30, 2008, which</w:t>
      </w:r>
    </w:p>
    <w:p>
      <w:pPr>
        <w:sectPr>
          <w:pgSz w:w="11900" w:h="16848" w:orient="portrait"/>
          <w:cols w:equalWidth="0" w:num="1">
            <w:col w:w="11240"/>
          </w:cols>
          <w:pgMar w:left="320" w:top="118" w:right="339" w:bottom="0" w:gutter="0" w:footer="0" w:header="0"/>
        </w:sectPr>
      </w:pPr>
    </w:p>
    <w:bookmarkStart w:id="3" w:name="page4"/>
    <w:bookmarkEnd w:id="3"/>
    <w:p>
      <w:pPr>
        <w:ind w:right="400"/>
        <w:spacing w:after="0" w:line="251" w:lineRule="auto"/>
        <w:rPr>
          <w:sz w:val="20"/>
          <w:szCs w:val="20"/>
          <w:color w:val="auto"/>
        </w:rPr>
      </w:pPr>
      <w:r>
        <w:rPr>
          <w:rFonts w:ascii="Arial" w:cs="Arial" w:eastAsia="Arial" w:hAnsi="Arial"/>
          <w:sz w:val="22"/>
          <w:szCs w:val="22"/>
          <w:color w:val="auto"/>
        </w:rPr>
        <w:t>totaled $305.5 million and consisted of investments in nineteen different companies with an average investment size of $16.1 million per company and weighted average yield of 12.5% on debt investments.</w:t>
      </w:r>
    </w:p>
    <w:p>
      <w:pPr>
        <w:spacing w:after="0" w:line="173" w:lineRule="exact"/>
        <w:rPr>
          <w:sz w:val="20"/>
          <w:szCs w:val="20"/>
          <w:color w:val="auto"/>
        </w:rPr>
      </w:pPr>
    </w:p>
    <w:p>
      <w:pPr>
        <w:ind w:right="200"/>
        <w:spacing w:after="0" w:line="249" w:lineRule="auto"/>
        <w:rPr>
          <w:sz w:val="20"/>
          <w:szCs w:val="20"/>
          <w:color w:val="auto"/>
        </w:rPr>
      </w:pPr>
      <w:r>
        <w:rPr>
          <w:rFonts w:ascii="Arial" w:cs="Arial" w:eastAsia="Arial" w:hAnsi="Arial"/>
          <w:sz w:val="21"/>
          <w:szCs w:val="21"/>
          <w:color w:val="auto"/>
        </w:rPr>
        <w:t>As of September 30, 2009, our non-core senior secured loan portfolio totaled $42.7 million and consisted of thirteen different companies (including one company also in our core portfolio) with an average investment size of $3.3 million, and a weighted average yield of 3.1%. This compares to our non-core senior secured loan portfolio as of September 30, 2008, which totaled $66.6 million and consisted of nineteen different companies (including one company also in our core portfolio) with an average investment size of $3.5 million and a weighted average yield of 5.2%.</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As of September 30, 2009, our overall portfolio consisted of forty-two companies with an average investment size of $11.2 million and a weighted average yield on debt investments of 11.4%. The portfolio was invested 33% in subordinated debt, 29% in second lien secured debt, 32% in senior secured loans and 6% in preferred and common equity investments. This compares to our portfolio as of September 30, 2008, which consisted of thirty-seven companies with an average investment size of $10.1 million and a weighted average yield on debt investments of 11.1%, and which was invested 45% in subordinated debt, 28% in second lien secured debt, 21% in senior secured loans and 6% in preferred and common equity investments.</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For the three months ended September 30, 2009, we invested $64.8 million in five new and three existing portfolio companies with an overall average yield of 13.8% on debt investments. Sales and repayments of long-term investments for the same period totaled $15.1 million. This compares to the three months ended September 30, 2008 when we invested $57.4 million in three new portfolio companies with an overall average yield of 14.2% on debt investments. Sales and repayments of long-term investments for the same period totaled $55.7 million.</w:t>
      </w:r>
    </w:p>
    <w:p>
      <w:pPr>
        <w:spacing w:after="0" w:line="187"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For the fiscal year ended September 30, 2009, we invested $112.7 million in eleven new and eight existing portfolio companies with an overall average yield of 14.5% on debt investments. Sales and repayments of long-term investments for the same period totaled $28.0 million. This compares to the fiscal year ended September 30, 2008 when we invested $206.8 million in eleven new and five existing portfolio companies with an overall average yield of 13.8% on debt investments. Sales and repayments of long-term investments for the same period totaled $70.1 million.</w:t>
      </w:r>
    </w:p>
    <w:p>
      <w:pPr>
        <w:spacing w:after="0" w:line="178"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"We had an active quarter as we invested approximately $65 million," said Arthur Penn, Chairman and Chief Executive Officer. "The addition of primarily senior secured debt investments with attractive expected returns is intended to result in a higher yielding portfolio with reduced risk. We are continuing to see a number of attractive opportunities, which can help us grow income."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Set forth below are the results of operations for the three months and fiscal years ended September 30, 2009 and 2008.</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Investment Income</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Investment income for the three months ended September 30, 2009 and 2008 was $11.8 million and $11.4 million, respectively. Investment income for the three months ended September 30, 2009 was attributable to $5.9 million from subordinated debt investments, $2.8 million from second lien secured debt investments, and $2.1 million from senior secured loan investments with the remainder attributable to net accretion of discounts and amortization of premiums. This compares to investment income for the three months ended September 30, 2008 that was primarily attributable to $2.1 million from subordinated debt investments, $3.8 million from second lien secured debt investments, and $4.7 million from senior secured loan investments with the remainder attributable to interest income from short-term investments, accretion of discounts and amortization of premiums.</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Investment income for the fiscal years ended September 30, 2009 and 2008 were $45.1 million and $39.8 million, respectively. Investment income for the fiscal year ended September 30, 2009 was attributable to $24.1 million from subordinated debt investments, $12.2 million from second lien secured debt investments, and $6.0 million from senior secured loan investments with the remainder attributable to net accretion of discounts and amortization of premiums. This compares to investment income for the fiscal year ended September 30, 2008 that was primarily attributable to $7.2 million from subordinated debt investments, $14.7 million from second lien secured debt investments, and $16.2 million from senior secured loan investments with the remainder attributable to interest income from short-term investments, accretion of discounts and amortization of premiums.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Expenses</w:t>
      </w:r>
    </w:p>
    <w:p>
      <w:pPr>
        <w:spacing w:after="0" w:line="206" w:lineRule="exact"/>
        <w:rPr>
          <w:sz w:val="20"/>
          <w:szCs w:val="20"/>
          <w:color w:val="auto"/>
        </w:rPr>
      </w:pPr>
    </w:p>
    <w:p>
      <w:pPr>
        <w:jc w:val="both"/>
        <w:ind w:right="200"/>
        <w:spacing w:after="0" w:line="252" w:lineRule="auto"/>
        <w:rPr>
          <w:sz w:val="20"/>
          <w:szCs w:val="20"/>
          <w:color w:val="auto"/>
        </w:rPr>
      </w:pPr>
      <w:r>
        <w:rPr>
          <w:rFonts w:ascii="Arial" w:cs="Arial" w:eastAsia="Arial" w:hAnsi="Arial"/>
          <w:sz w:val="21"/>
          <w:szCs w:val="21"/>
          <w:color w:val="auto"/>
        </w:rPr>
        <w:t>Expenses for the three months ended September 30, 2009 and 2008 totaled $5.8 million and $6.0 million, respectively. Of these totals, base management fees were $2.2 million and $1.9 million, and performance-based incentive fee totaled $1.5 million and $1.4 million, respectively. Credit facility related expenses totaled, $0.8 million and $1.9 million, and general and administrative expenses totaled $1.3 million and $0.8 million, respectively, for the same periods.</w:t>
      </w:r>
    </w:p>
    <w:p>
      <w:pPr>
        <w:spacing w:after="0" w:line="174"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Net Expenses for the fiscal years ended September 30, 2009 and 2008 totaled $22.4 million and $21.2 million, respectively. Of these totals, net base management fees were $7.7 million and $6.7 million, and performance-based incentive fee totaled $5.7 million and $3.8 million, respectively. Credit facility expenses totaled $4.6 million and $6.3 million, and general and administrative expenses totaled $4.4 million and $4.4 million, respectively, for the same periods.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Net Investment Income</w:t>
      </w:r>
    </w:p>
    <w:p>
      <w:pPr>
        <w:sectPr>
          <w:pgSz w:w="11900" w:h="16838" w:orient="portrait"/>
          <w:cols w:equalWidth="0" w:num="1">
            <w:col w:w="11240"/>
          </w:cols>
          <w:pgMar w:left="320" w:top="118" w:right="339" w:bottom="0" w:gutter="0" w:footer="0" w:header="0"/>
        </w:sectPr>
      </w:pPr>
    </w:p>
    <w:bookmarkStart w:id="4" w:name="page5"/>
    <w:bookmarkEnd w:id="4"/>
    <w:p>
      <w:pPr>
        <w:spacing w:after="0" w:line="46"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Net investment income totaled $6.0 million and $5.4 million or $0.28 and $0.26 per share for the three months ended September 30, 2009 and 2008, respectively.</w:t>
      </w:r>
    </w:p>
    <w:p>
      <w:pPr>
        <w:spacing w:after="0" w:line="173"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Net investment income totaled $22.7 million and $18.6 million or $1.08 and $0.88 per share for the fiscal years ended September 30, 2009 and 2008,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Net Realized Loss</w:t>
      </w:r>
    </w:p>
    <w:p>
      <w:pPr>
        <w:spacing w:after="0" w:line="206"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Sales and repayments of long-term investments totaled $15.1 million and $55.7 million, for the three months ended September 30, 2009 and 2008, respectively. Net realized losses totaled $8.4 million and $10.5 million, respectively, for the same periods.</w:t>
      </w:r>
    </w:p>
    <w:p>
      <w:pPr>
        <w:spacing w:after="0" w:line="105"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Sales and repayments of long-term investments totaled $28.0 million and $70.1 million, respectively, for the fiscal years ended September 30, 2009 and 2008. Net realized losses totaled $39.2 million and $11.2 million, respectively, for the same periods.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Net Unrealized Appreciation (Depreciation) on Investments, cash equivalents and credit facility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Net change in unrealized appreciation (depreciation) on investments and cash equivalents totaled $32.2 million and $(5.9) million for the three months ended September 30, 2009 and 2008, respectively. Net change in unrealized depreciation on credit facility totaled $(3.6) million for the three months ended September 30, 2009.</w:t>
      </w:r>
    </w:p>
    <w:p>
      <w:pPr>
        <w:spacing w:after="0" w:line="186"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Net change in unrealized appreciation (depreciation) on investments and cash equivalents totaled $44.5 million and $(48.1) million for the fiscal years ended September 30, 2009 and 2008, respectively. Net change in unrealized appreciation on credit facility totaled $7.8 million for the fiscal year ended September 30, 2009.</w:t>
      </w:r>
    </w:p>
    <w:p>
      <w:pPr>
        <w:spacing w:after="0" w:line="186" w:lineRule="exact"/>
        <w:rPr>
          <w:sz w:val="20"/>
          <w:szCs w:val="20"/>
          <w:color w:val="auto"/>
        </w:rPr>
      </w:pPr>
    </w:p>
    <w:p>
      <w:pPr>
        <w:ind w:right="440"/>
        <w:spacing w:after="0" w:line="328" w:lineRule="auto"/>
        <w:rPr>
          <w:sz w:val="20"/>
          <w:szCs w:val="20"/>
          <w:color w:val="auto"/>
        </w:rPr>
      </w:pPr>
      <w:r>
        <w:rPr>
          <w:rFonts w:ascii="Arial" w:cs="Arial" w:eastAsia="Arial" w:hAnsi="Arial"/>
          <w:sz w:val="19"/>
          <w:szCs w:val="19"/>
          <w:color w:val="auto"/>
        </w:rPr>
        <w:t>On September 30, 2009 and 2008, net unrealized depreciation on investments and cash equivalents totaled $27.5 million and $72.0 million, respectively. On September 30, 2009, net unrealized appreciation on credit facility totaled $49.6 million.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Net Increase (Decrease) in Net Assets from Operations</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Net increase (decrease) in net assets resulting from operations totaled $26.2 million and $(11.0) million or $1.23 and $(0.53) per share, for the three months ended September 30, 2009 and 2008, respectively.</w:t>
      </w:r>
    </w:p>
    <w:p>
      <w:pPr>
        <w:spacing w:after="0" w:line="17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Net increase (decrease) in net assets resulting from operations totaled $35.8 million and $(40.7) million or $1.70 and $(1.93) per share, for the fiscal years ended September 30, 2009 and 2008,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LIQUIDITY AND CAPITAL RESOURCES</w:t>
      </w:r>
    </w:p>
    <w:p>
      <w:pPr>
        <w:spacing w:after="0" w:line="206"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PennantPark Investment's liquidity and capital resources are generated primarily through its senior secured, multi-currency, $300.0 million, five-year revolving credit facility maturing in June 2012 as well as from cash flows from operations, investment sales and prepayments, and income earned from investments and cash equivalents. On September 30, 2009, PennantPark Investment had outstanding borrowings of $225.1 million (including a $7.0 million temporary draw) with a fair value of $175.5 million, with a weighted average interest rate at the time of 1.31%, and had cash equivalents of $33.2 million.</w:t>
      </w:r>
    </w:p>
    <w:p>
      <w:pPr>
        <w:spacing w:after="0" w:line="147"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PennantPark Investment has and may continue to raise additional equity or debt capital through a registered offering of a shelf registration or may securitize a portion of its investments among other considerations. On August 25, 2009, our stockholders approved a proposal that authorizes us to sell shares of our common stock below the then current net asset value per share of our common stock in one or more offerings for a 12-month period. On September 29, 2009, we sold shares of our common stock below the then current net asset value per share of common stock. Any decision to sell shares of our common stock below the then current net asset value per share of our common stock in one or more offerings is subject to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your inter est in our common stock and a reduction of our net asset value per share.</w:t>
      </w:r>
    </w:p>
    <w:p>
      <w:pPr>
        <w:spacing w:after="0" w:line="158"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Our operating activities used cash of $32.5 million for the three months ended September 30, 2009, and our financing activities provided net cash proceeds of $65.2 million for the same period, primarily from both proceeds on a follow-on public offering and net borrowings on our credit facility. Our operating activities used cash of $42.4 million for the fiscal year ended September 30, 2009, and our financing activities provided net cash proceeds of $35.4 million for the same period, primarily from both proceeds on a follow-on public offering and net borrowings on our credit facility.</w:t>
      </w:r>
    </w:p>
    <w:p>
      <w:pPr>
        <w:spacing w:after="0" w:line="178" w:lineRule="exact"/>
        <w:rPr>
          <w:sz w:val="20"/>
          <w:szCs w:val="20"/>
          <w:color w:val="auto"/>
        </w:rPr>
      </w:pPr>
    </w:p>
    <w:p>
      <w:pPr>
        <w:ind w:right="320"/>
        <w:spacing w:after="0" w:line="287" w:lineRule="auto"/>
        <w:rPr>
          <w:sz w:val="20"/>
          <w:szCs w:val="20"/>
          <w:color w:val="auto"/>
        </w:rPr>
      </w:pPr>
      <w:r>
        <w:rPr>
          <w:rFonts w:ascii="Arial" w:cs="Arial" w:eastAsia="Arial" w:hAnsi="Arial"/>
          <w:sz w:val="19"/>
          <w:szCs w:val="19"/>
          <w:color w:val="auto"/>
        </w:rPr>
        <w:t>Our operating activities provided cash of $6.4 million for the three months ended September 30, 2008, and our financing activities used cash of $7.2 million for the same period, primarily from net repayments under our credit facility. Our operating activities used cash of $390.7 million for the fiscal year ended September 30, 2008, and our financing activities provided cash proceeds of $173.0 million for the same period, primarily from net borrowings under our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DISTRIBUTIONS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During the fiscal years ended September 30, 2009 and 2008, we paid to stockholders distributions of $0.96 and $0.90 per share or $20.2 million and $19.0 million, respectively. For the three months ended September 30, 2009 and 2008, we paid stockholders distributions of $0.24 or $5.1 million for both respective periods. Tax characteristics of all distributions will be reported to stockholders on Form 1099-DIV after the end of the calendar year.</w:t>
      </w:r>
    </w:p>
    <w:p>
      <w:pPr>
        <w:sectPr>
          <w:pgSz w:w="11900" w:h="16885" w:orient="portrait"/>
          <w:cols w:equalWidth="0" w:num="1">
            <w:col w:w="11220"/>
          </w:cols>
          <w:pgMar w:left="320" w:top="118" w:right="359" w:bottom="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AVAILABLE INFORMATION</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PennantPark Investment Corporation makes available on its website its Annual Report on Form 10-K, which also serves as its annual report to stockholders. The Company has filed its Annual Report on Form 10-K with the Securities Exchange Commission, and stockholders may find the report on www.pennantpark.com. Stockholders may receive a hard copy of the annual report free of charge by submitting a written request to the Company.</w:t>
      </w:r>
    </w:p>
    <w:p>
      <w:pPr>
        <w:spacing w:after="0" w:line="200" w:lineRule="exact"/>
        <w:rPr>
          <w:sz w:val="20"/>
          <w:szCs w:val="20"/>
          <w:color w:val="auto"/>
        </w:rPr>
      </w:pPr>
    </w:p>
    <w:p>
      <w:pPr>
        <w:spacing w:after="0" w:line="397"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8"/>
          <w:szCs w:val="18"/>
          <w:color w:val="auto"/>
        </w:rPr>
        <w:t>PENNANTPARK INVESTMENT CORPORATION</w:t>
      </w:r>
    </w:p>
    <w:p>
      <w:pPr>
        <w:jc w:val="center"/>
        <w:ind w:right="3520"/>
        <w:spacing w:after="0" w:line="238" w:lineRule="auto"/>
        <w:rPr>
          <w:sz w:val="20"/>
          <w:szCs w:val="20"/>
          <w:color w:val="auto"/>
        </w:rPr>
      </w:pPr>
      <w:r>
        <w:rPr>
          <w:rFonts w:ascii="Courier New" w:cs="Courier New" w:eastAsia="Courier New" w:hAnsi="Courier New"/>
          <w:sz w:val="18"/>
          <w:szCs w:val="18"/>
          <w:color w:val="auto"/>
        </w:rPr>
        <w:t>STATEMENTS OF ASSETS AND LIABILITIES</w:t>
      </w:r>
    </w:p>
    <w:tbl>
      <w:tblPr>
        <w:tblLayout w:type="fixed"/>
        <w:tblInd w:w="120" w:type="dxa"/>
        <w:tblCellMar>
          <w:top w:w="0" w:type="dxa"/>
          <w:left w:w="0" w:type="dxa"/>
          <w:bottom w:w="0" w:type="dxa"/>
          <w:right w:w="0" w:type="dxa"/>
        </w:tblCellMar>
      </w:tblPr>
      <w:tr>
        <w:trPr>
          <w:trHeight w:val="203"/>
        </w:trPr>
        <w:tc>
          <w:tcPr>
            <w:tcW w:w="4520" w:type="dxa"/>
            <w:vAlign w:val="bottom"/>
          </w:tcPr>
          <w:p>
            <w:pPr>
              <w:ind w:left="3040"/>
              <w:spacing w:after="0" w:line="203" w:lineRule="exact"/>
              <w:rPr>
                <w:sz w:val="20"/>
                <w:szCs w:val="20"/>
                <w:color w:val="auto"/>
              </w:rPr>
            </w:pPr>
            <w:r>
              <w:rPr>
                <w:rFonts w:ascii="Courier New" w:cs="Courier New" w:eastAsia="Courier New" w:hAnsi="Courier New"/>
                <w:sz w:val="18"/>
                <w:szCs w:val="18"/>
                <w:color w:val="auto"/>
              </w:rPr>
              <w:t>(Audited)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4520" w:type="dxa"/>
            <w:vAlign w:val="bottom"/>
          </w:tcPr>
          <w:p>
            <w:pPr>
              <w:spacing w:after="0"/>
              <w:rPr>
                <w:sz w:val="24"/>
                <w:szCs w:val="24"/>
                <w:color w:val="auto"/>
              </w:rPr>
            </w:pPr>
          </w:p>
        </w:tc>
        <w:tc>
          <w:tcPr>
            <w:tcW w:w="2840" w:type="dxa"/>
            <w:vAlign w:val="bottom"/>
            <w:gridSpan w:val="4"/>
          </w:tcPr>
          <w:p>
            <w:pPr>
              <w:spacing w:after="0"/>
              <w:rPr>
                <w:sz w:val="20"/>
                <w:szCs w:val="20"/>
                <w:color w:val="auto"/>
              </w:rPr>
            </w:pPr>
            <w:r>
              <w:rPr>
                <w:rFonts w:ascii="Courier New" w:cs="Courier New" w:eastAsia="Courier New" w:hAnsi="Courier New"/>
                <w:sz w:val="18"/>
                <w:szCs w:val="18"/>
                <w:color w:val="auto"/>
                <w:w w:val="96"/>
              </w:rPr>
              <w:t>September 30, September 30,</w:t>
            </w:r>
          </w:p>
        </w:tc>
      </w:tr>
      <w:tr>
        <w:trPr>
          <w:trHeight w:val="203"/>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2009</w:t>
            </w:r>
          </w:p>
        </w:tc>
        <w:tc>
          <w:tcPr>
            <w:tcW w:w="1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2008</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investments, at fair value (cost--</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$479,909,805 and $427,481,745,</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respectively)</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$453,644,335</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$354,261,950</w:t>
            </w: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at fair value (cost--$17,378,081 and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$16,692,261, respectively)</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16,115,738</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17,885,870</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20" w:type="dxa"/>
            <w:vAlign w:val="bottom"/>
          </w:tcPr>
          <w:p>
            <w:pPr>
              <w:ind w:left="100"/>
              <w:spacing w:after="0"/>
              <w:rPr>
                <w:sz w:val="20"/>
                <w:szCs w:val="20"/>
                <w:color w:val="auto"/>
              </w:rPr>
            </w:pPr>
            <w:r>
              <w:rPr>
                <w:rFonts w:ascii="Courier New" w:cs="Courier New" w:eastAsia="Courier New" w:hAnsi="Courier New"/>
                <w:sz w:val="18"/>
                <w:szCs w:val="18"/>
                <w:color w:val="auto"/>
              </w:rPr>
              <w:t>Total of Investments, at fair value</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2"/>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(cost - $497,287,886 and $444,174,006,</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respectively)</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469,760,073</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372,147,820</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33,247,666</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40,249,201</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5,539,056</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6,046,199</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for investments sold</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2,726,007</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1,108,567</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1,367,479</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assets</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512,381,369</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419,810,699</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5,056,505</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5,056,505</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19,489,525</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6,331,385</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(fair value:</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$175,475,380 and $160,204,000,</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respectively, and cost: $225,100,000 and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$202,000,000, respectively)</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175,475,380</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202,000,000</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72,788</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725,317</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fees payable</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2,220,110</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85,896</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1,508,164</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123,033</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Accrued other expenses</w:t>
            </w:r>
          </w:p>
        </w:tc>
        <w:tc>
          <w:tcPr>
            <w:tcW w:w="10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1,647,244</w:t>
            </w:r>
          </w:p>
        </w:tc>
        <w:tc>
          <w:tcPr>
            <w:tcW w:w="1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1,091,688</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211,801,101</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209,082,439</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Common stock, par value $0.001 per share,</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100,000,000 shares authorized and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25,368,772 and 21,068,772 shares issued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outstanding, respectively</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25,369</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21,069</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327,062,304</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294,586,604</w:t>
            </w:r>
          </w:p>
        </w:tc>
      </w:tr>
      <w:tr>
        <w:trPr>
          <w:trHeight w:val="202"/>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Undistributed (distributions in excess of)</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1,890,235</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(602,660)</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 on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investments and cash equivalents</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(50,494,447)</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(11,250,567)</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w w:val="99"/>
              </w:rPr>
              <w:t>Net unrealized depreciation on investments</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2"/>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cash equivalents</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(27,527,813)</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(72,026,186)</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Cumulative effect of adoption of fair value</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option on credit facility</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41,796,000</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credit</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2"/>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facility</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7,828,620</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$300,580,268</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$210,728,260</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$512,381,369</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$419,810,699</w:t>
            </w:r>
          </w:p>
        </w:tc>
      </w:tr>
      <w:tr>
        <w:trPr>
          <w:trHeight w:val="202"/>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2"/>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900"/>
          </w:cols>
          <w:pgMar w:left="320" w:top="118" w:right="679" w:bottom="0" w:gutter="0" w:footer="0" w:header="0"/>
        </w:sectPr>
      </w:pPr>
    </w:p>
    <w:bookmarkStart w:id="6" w:name="page7"/>
    <w:bookmarkEnd w:id="6"/>
    <w:p>
      <w:pPr>
        <w:jc w:val="center"/>
        <w:ind w:right="3840"/>
        <w:spacing w:after="0"/>
        <w:rPr>
          <w:sz w:val="20"/>
          <w:szCs w:val="20"/>
          <w:color w:val="auto"/>
        </w:rPr>
      </w:pPr>
      <w:r>
        <w:rPr>
          <w:rFonts w:ascii="Courier New" w:cs="Courier New" w:eastAsia="Courier New" w:hAnsi="Courier New"/>
          <w:sz w:val="18"/>
          <w:szCs w:val="18"/>
          <w:color w:val="auto"/>
        </w:rPr>
        <w:t>PENNANTPARK INVESTMENT CORPORATION</w:t>
      </w:r>
    </w:p>
    <w:p>
      <w:pPr>
        <w:jc w:val="center"/>
        <w:ind w:right="3840"/>
        <w:spacing w:after="0" w:line="238" w:lineRule="auto"/>
        <w:rPr>
          <w:sz w:val="20"/>
          <w:szCs w:val="20"/>
          <w:color w:val="auto"/>
        </w:rPr>
      </w:pPr>
      <w:r>
        <w:rPr>
          <w:rFonts w:ascii="Courier New" w:cs="Courier New" w:eastAsia="Courier New" w:hAnsi="Courier New"/>
          <w:sz w:val="18"/>
          <w:szCs w:val="18"/>
          <w:color w:val="auto"/>
        </w:rPr>
        <w:t>STATEMENTS OF OPERATIONS</w:t>
      </w:r>
    </w:p>
    <w:tbl>
      <w:tblPr>
        <w:tblLayout w:type="fixed"/>
        <w:tblInd w:w="120" w:type="dxa"/>
        <w:tblCellMar>
          <w:top w:w="0" w:type="dxa"/>
          <w:left w:w="0" w:type="dxa"/>
          <w:bottom w:w="0" w:type="dxa"/>
          <w:right w:w="0" w:type="dxa"/>
        </w:tblCellMar>
      </w:tblPr>
      <w:tr>
        <w:trPr>
          <w:trHeight w:val="203"/>
        </w:trPr>
        <w:tc>
          <w:tcPr>
            <w:tcW w:w="4520" w:type="dxa"/>
            <w:vAlign w:val="bottom"/>
          </w:tcPr>
          <w:p>
            <w:pPr>
              <w:ind w:left="3040"/>
              <w:spacing w:after="0" w:line="203" w:lineRule="exact"/>
              <w:rPr>
                <w:sz w:val="20"/>
                <w:szCs w:val="20"/>
                <w:color w:val="auto"/>
              </w:rPr>
            </w:pPr>
            <w:r>
              <w:rPr>
                <w:rFonts w:ascii="Courier New" w:cs="Courier New" w:eastAsia="Courier New" w:hAnsi="Courier New"/>
                <w:sz w:val="18"/>
                <w:szCs w:val="18"/>
                <w:color w:val="auto"/>
              </w:rPr>
              <w:t>(Audited)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Year ended</w:t>
            </w:r>
          </w:p>
        </w:tc>
        <w:tc>
          <w:tcPr>
            <w:tcW w:w="16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Year ended</w:t>
            </w:r>
          </w:p>
        </w:tc>
      </w:tr>
      <w:tr>
        <w:trPr>
          <w:trHeight w:val="203"/>
        </w:trPr>
        <w:tc>
          <w:tcPr>
            <w:tcW w:w="4520" w:type="dxa"/>
            <w:vAlign w:val="bottom"/>
          </w:tcPr>
          <w:p>
            <w:pPr>
              <w:spacing w:after="0"/>
              <w:rPr>
                <w:sz w:val="17"/>
                <w:szCs w:val="17"/>
                <w:color w:val="auto"/>
              </w:rPr>
            </w:pPr>
          </w:p>
        </w:tc>
        <w:tc>
          <w:tcPr>
            <w:tcW w:w="28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September 30, September 30,</w:t>
            </w:r>
          </w:p>
        </w:tc>
      </w:tr>
      <w:tr>
        <w:trPr>
          <w:trHeight w:val="203"/>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2009</w:t>
            </w:r>
          </w:p>
        </w:tc>
        <w:tc>
          <w:tcPr>
            <w:tcW w:w="1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2008</w:t>
            </w:r>
          </w:p>
        </w:tc>
      </w:tr>
      <w:tr>
        <w:trPr>
          <w:trHeight w:val="203"/>
        </w:trPr>
        <w:tc>
          <w:tcPr>
            <w:tcW w:w="7360" w:type="dxa"/>
            <w:vAlign w:val="bottom"/>
            <w:gridSpan w:val="5"/>
          </w:tcPr>
          <w:p>
            <w:pPr>
              <w:ind w:left="4320"/>
              <w:spacing w:after="0" w:line="203" w:lineRule="exact"/>
              <w:rPr>
                <w:sz w:val="20"/>
                <w:szCs w:val="20"/>
                <w:color w:val="auto"/>
              </w:rPr>
            </w:pPr>
            <w:r>
              <w:rPr>
                <w:rFonts w:ascii="Courier New" w:cs="Courier New" w:eastAsia="Courier New" w:hAnsi="Courier New"/>
                <w:sz w:val="18"/>
                <w:szCs w:val="18"/>
                <w:color w:val="auto"/>
              </w:rPr>
              <w:t>------------  ------------</w:t>
            </w:r>
          </w:p>
        </w:tc>
      </w:tr>
      <w:tr>
        <w:trPr>
          <w:trHeight w:val="202"/>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non-affiliated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Interest</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$ 43,555,240</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$ 38,149,813</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Dividends</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Other</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212,304</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255,944</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affiliated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Interest</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1,351,227</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1,405,205</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45,118,771</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39,810,962</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7,715,615</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7,136,580</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5,683,388</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3,791,900</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Interest and other credit facility</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expenses</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4,628,564</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6,308,933</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2,319,759</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2,301,973</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Other general and administrative expenses</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2,052,530</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2,136,303</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Expenses before base management fee</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waiver</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22,399,856</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21,675,689</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Base management fee waiver</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(420,731)</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expenses</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22,399,856</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21,254,958</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22,718,915</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18,556,004</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gain (loss) on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investments, cash equivalents and credit</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facility:</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loss on non-controlled,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non-affiliated investments and cash</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equivalents</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(39,243,879)</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(11,154,735)</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(depreciation) on: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2"/>
        </w:trPr>
        <w:tc>
          <w:tcPr>
            <w:tcW w:w="4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investments and cash equivalents</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46,954,325</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(49,052,812)</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(2,455,952)</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948,604</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Credit facility</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7,828,620</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(depreciation)</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52,326,993</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(48,104,208)</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Net realized and unrealized gain (loss)</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from investments, cash equivalents and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credit facility</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13,083,114</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(59,258,943)</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net assets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resulting from operations</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$ 35,802,029</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$(40,702,939)</w:t>
            </w:r>
          </w:p>
        </w:tc>
      </w:tr>
      <w:tr>
        <w:trPr>
          <w:trHeight w:val="203"/>
        </w:trPr>
        <w:tc>
          <w:tcPr>
            <w:tcW w:w="45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net assets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resulting from operations per common</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0.88</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we may also invest in public companies whose securities are thinly traded. PennantPark Investment Corporation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ectPr>
          <w:pgSz w:w="11900" w:h="16838" w:orient="portrait"/>
          <w:cols w:equalWidth="0" w:num="1">
            <w:col w:w="11220"/>
          </w:cols>
          <w:pgMar w:left="320" w:top="541" w:right="359" w:bottom="67" w:gutter="0" w:footer="0" w:header="0"/>
        </w:sectPr>
      </w:pPr>
    </w:p>
    <w:bookmarkStart w:id="7" w:name="page8"/>
    <w:bookmarkEnd w:id="7"/>
    <w:p>
      <w:pPr>
        <w:ind w:right="2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tab/>
        <w:t>PennantPark Investment Corporation</w:t>
      </w:r>
    </w:p>
    <w:p>
      <w:pPr>
        <w:ind w:left="1060"/>
        <w:spacing w:after="0" w:line="238" w:lineRule="auto"/>
        <w:rPr>
          <w:sz w:val="20"/>
          <w:szCs w:val="20"/>
          <w:color w:val="auto"/>
        </w:rPr>
      </w:pPr>
      <w:r>
        <w:rPr>
          <w:rFonts w:ascii="Courier New" w:cs="Courier New" w:eastAsia="Courier New" w:hAnsi="Courier New"/>
          <w:sz w:val="18"/>
          <w:szCs w:val="18"/>
          <w:color w:val="auto"/>
        </w:rPr>
        <w:t>Aviv Efrat</w:t>
      </w:r>
    </w:p>
    <w:p>
      <w:pPr>
        <w:ind w:left="1060"/>
        <w:spacing w:after="0" w:line="238" w:lineRule="auto"/>
        <w:rPr>
          <w:sz w:val="20"/>
          <w:szCs w:val="20"/>
          <w:color w:val="auto"/>
        </w:rPr>
      </w:pPr>
      <w:r>
        <w:rPr>
          <w:rFonts w:ascii="Courier New" w:cs="Courier New" w:eastAsia="Courier New" w:hAnsi="Courier New"/>
          <w:sz w:val="18"/>
          <w:szCs w:val="18"/>
          <w:color w:val="auto"/>
        </w:rPr>
        <w:t>Reception: (212) 905-1000</w:t>
      </w:r>
    </w:p>
    <w:p>
      <w:pPr>
        <w:ind w:left="1060"/>
        <w:spacing w:after="0"/>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2020-05-05T15:07:41Z</dcterms:created>
  <dcterms:modified xsi:type="dcterms:W3CDTF">2020-05-05T15:07:41Z</dcterms:modified>
</cp:coreProperties>
</file>