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(RULE 14a-101)</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Exchange Act of 1934</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80"/>
          </w:cols>
          <w:pgMar w:left="240" w:top="206" w:right="279" w:bottom="1440" w:gutter="0" w:footer="0" w:header="0"/>
        </w:sectPr>
      </w:pP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ind w:hanging="439"/>
        <w:spacing w:after="0" w:line="275"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6" w:lineRule="exact"/>
        <w:rPr>
          <w:sz w:val="24"/>
          <w:szCs w:val="24"/>
          <w:color w:val="auto"/>
        </w:rPr>
      </w:pPr>
    </w:p>
    <w:p>
      <w:pPr>
        <w:sectPr>
          <w:pgSz w:w="11900" w:h="16838" w:orient="portrait"/>
          <w:cols w:equalWidth="0" w:num="3">
            <w:col w:w="160" w:space="260"/>
            <w:col w:w="5160" w:space="720"/>
            <w:col w:w="5080"/>
          </w:cols>
          <w:pgMar w:left="240" w:top="206" w:right="279" w:bottom="1440" w:gutter="0" w:footer="0" w:header="0"/>
          <w:type w:val="continuous"/>
        </w:sect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DefinitiveAdditional Material</w:t>
      </w:r>
    </w:p>
    <w:p>
      <w:pPr>
        <w:spacing w:after="0" w:line="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SolicitingMaterial Pursuant to Rule 14a-11</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or Rule 14a-12</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PennantPark Investment Corporation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9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6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-3676015</wp:posOffset>
            </wp:positionV>
            <wp:extent cx="5629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-3272790</wp:posOffset>
            </wp:positionV>
            <wp:extent cx="5629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-2732405</wp:posOffset>
            </wp:positionV>
            <wp:extent cx="5629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-2329180</wp:posOffset>
            </wp:positionV>
            <wp:extent cx="5629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-1926590</wp:posOffset>
            </wp:positionV>
            <wp:extent cx="5629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-1009015</wp:posOffset>
            </wp:positionV>
            <wp:extent cx="5629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-605790</wp:posOffset>
            </wp:positionV>
            <wp:extent cx="5629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-202565</wp:posOffset>
            </wp:positionV>
            <wp:extent cx="5629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200025</wp:posOffset>
            </wp:positionV>
            <wp:extent cx="5629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ectPr>
          <w:pgSz w:w="11900" w:h="16838" w:orient="portrait"/>
          <w:cols w:equalWidth="0" w:num="1">
            <w:col w:w="11380"/>
          </w:cols>
          <w:pgMar w:left="240" w:top="206"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183515</wp:posOffset>
            </wp:positionV>
            <wp:extent cx="2470150" cy="523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70150" cy="523240"/>
                    </a:xfrm>
                    <a:prstGeom prst="rect">
                      <a:avLst/>
                    </a:prstGeom>
                    <a:noFill/>
                  </pic:spPr>
                </pic:pic>
              </a:graphicData>
            </a:graphic>
          </wp:anchor>
        </w:drawing>
        <w:t>590 Madison Avenue, 15th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520" w:firstLine="456"/>
        <w:spacing w:after="0" w:line="330" w:lineRule="auto"/>
        <w:rPr>
          <w:sz w:val="20"/>
          <w:szCs w:val="20"/>
          <w:color w:val="auto"/>
        </w:rPr>
      </w:pPr>
      <w:r>
        <w:rPr>
          <w:rFonts w:ascii="Arial" w:cs="Arial" w:eastAsia="Arial" w:hAnsi="Arial"/>
          <w:sz w:val="17"/>
          <w:szCs w:val="17"/>
          <w:color w:val="auto"/>
        </w:rPr>
        <w:t>You are cordially invited to attend the 2008 Annual Meeting of Stockholders of PennantPark Investment Corporation (the “Company”) to be held on February 8, 2008 at 9:30 a.m., Eastern Time, at the St. Regis Hotel, located at 2 East 55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 New York, New York 10022.</w:t>
      </w:r>
    </w:p>
    <w:p>
      <w:pPr>
        <w:spacing w:after="0" w:line="3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notice of annual meeting and proxy statement accompanying this letter provide an outline of the business to be conducted at the meeting. At the meeting, you will be asked to elect two directors of the Company, and to ratify the selection of KPMG LLP as the Company’s independent registered public accounting firm for the fiscal year ending September 30, 2008. I will also report on the progress of the Company since inception and respond to stockholders’ questions.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It is important that your shares be represented at the annual meeting. If you are unable to attend the meeting in person, I urge you to complete, date and sign the enclosed proxy card and promptly return it in the envelope provided. If you prefer, you can save time by voting through the Internet or by telephone as described in the proxy statement and on the enclosed proxy card. Your vote and participation in the governance of the Company is very important to us.</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268605</wp:posOffset>
            </wp:positionV>
            <wp:extent cx="1861185"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118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7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8, 2008</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Notice is hereby given to the owners of shares of common stock (the “Stockholders”) of PennantPark Investment Corporation (the “Company”) that: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2008 Annual Meeting of Stockholders of the Company will be held at the St. Regis Hotel, located at 2 East 55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Street, New York, New York, on</w:t>
      </w:r>
    </w:p>
    <w:p>
      <w:pPr>
        <w:spacing w:after="0"/>
        <w:rPr>
          <w:sz w:val="20"/>
          <w:szCs w:val="20"/>
          <w:color w:val="auto"/>
        </w:rPr>
      </w:pPr>
      <w:r>
        <w:rPr>
          <w:rFonts w:ascii="Arial" w:cs="Arial" w:eastAsia="Arial" w:hAnsi="Arial"/>
          <w:sz w:val="18"/>
          <w:szCs w:val="18"/>
          <w:color w:val="auto"/>
        </w:rPr>
        <w:t>February 8, 2008 at 9:30 a.m., Eastern Time, for the following purposes:</w:t>
      </w:r>
    </w:p>
    <w:p>
      <w:pPr>
        <w:spacing w:after="0" w:line="103"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 directors of the Company who will each serve for a term of three years or until his successor is duly elected and qualified;</w:t>
      </w:r>
    </w:p>
    <w:p>
      <w:pPr>
        <w:spacing w:after="0" w:line="113" w:lineRule="exact"/>
        <w:rPr>
          <w:rFonts w:ascii="Arial" w:cs="Arial" w:eastAsia="Arial" w:hAnsi="Arial"/>
          <w:sz w:val="16"/>
          <w:szCs w:val="16"/>
          <w:color w:val="auto"/>
        </w:rPr>
      </w:pPr>
    </w:p>
    <w:p>
      <w:pPr>
        <w:ind w:left="900" w:right="9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2008;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have the right to receive notice of and to vote at the meeting if you were a stockholder of record at the close of business on January 11, 2008. If you are unable to attend, please sign the enclosed proxy card and return it promptly in the self-addressed envelope provided. Please refer to the voting instructions provided on your proxy card. In the event there are not sufficient votes for a quorum or to approve the proposals at the time of the annual meeting, the annual meeting may be adjourned in order to permit further solicitation of proxies by the Company.</w:t>
      </w:r>
    </w:p>
    <w:p>
      <w:pPr>
        <w:spacing w:after="0" w:line="10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EACH OF THE PROPOSALS.</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217170</wp:posOffset>
            </wp:positionV>
            <wp:extent cx="141478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681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81355"/>
                    </a:xfrm>
                    <a:prstGeom prst="rect">
                      <a:avLst/>
                    </a:prstGeom>
                    <a:noFill/>
                  </pic:spPr>
                </pic:pic>
              </a:graphicData>
            </a:graphic>
          </wp:anchor>
        </w:drawing>
      </w:r>
    </w:p>
    <w:p>
      <w:pPr>
        <w:spacing w:after="0" w:line="280" w:lineRule="exact"/>
        <w:rPr>
          <w:sz w:val="20"/>
          <w:szCs w:val="20"/>
          <w:color w:val="auto"/>
        </w:rPr>
      </w:pPr>
    </w:p>
    <w:p>
      <w:pPr>
        <w:ind w:left="260" w:firstLine="447"/>
        <w:spacing w:after="0" w:line="256" w:lineRule="auto"/>
        <w:rPr>
          <w:sz w:val="20"/>
          <w:szCs w:val="20"/>
          <w:color w:val="auto"/>
        </w:rPr>
      </w:pPr>
      <w:r>
        <w:rPr>
          <w:rFonts w:ascii="Arial" w:cs="Arial" w:eastAsia="Arial" w:hAnsi="Arial"/>
          <w:sz w:val="18"/>
          <w:szCs w:val="18"/>
          <w:color w:val="auto"/>
        </w:rPr>
        <w:t>This is an important meeting. To ensure proper representation at the meeting, please complete, sign, date and return the proxy card in the enclosed self-addressed envelope or vote by telephone or through the Internet. Your vote is extremely important no matter how many or how few shares you own; please send in your proxy card today. Even if you vote your shares prior to the meeting, you still may attend the meeting and vote your shares in person if you wish to change your vote.</w:t>
      </w:r>
    </w:p>
    <w:p>
      <w:pPr>
        <w:sectPr>
          <w:pgSz w:w="11900" w:h="16838" w:orient="portrait"/>
          <w:cols w:equalWidth="0" w:num="1">
            <w:col w:w="11420"/>
          </w:cols>
          <w:pgMar w:left="240" w:top="274"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100"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2008 Annual Meeting of Stockholders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February 8, 2008</w:t>
      </w:r>
    </w:p>
    <w:p>
      <w:pPr>
        <w:spacing w:after="0" w:line="1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Annual Meeting of Stockholders (“Notice of Annual Meeting”). Much of the information in this Proxy Statement is required under rules of the Securities and Exchange Commission (“SEC”); some of it is technical in nature. If there is anything you do not understand, please contact us at 212-905-1000.</w:t>
      </w:r>
    </w:p>
    <w:p>
      <w:pPr>
        <w:spacing w:after="0" w:line="107" w:lineRule="exact"/>
        <w:rPr>
          <w:sz w:val="20"/>
          <w:szCs w:val="20"/>
          <w:color w:val="auto"/>
        </w:rPr>
      </w:pPr>
    </w:p>
    <w:p>
      <w:pPr>
        <w:ind w:right="540" w:firstLine="456"/>
        <w:spacing w:after="0" w:line="281"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(the “Board”) of PennantPark Investment Corporation (the “Company,” “we,” “us” or “our”) for use at the Company’s 2008 Annual Meeting of Stockholders (the “Meeting”) to be held on Friday,</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February 8, 2008 at 9:30 a.m., Eastern Time, at the St. Regis Hotel, located at 2 East 55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New York, New York and at any postponements or adjournments thereof. This Proxy Statement, the accompanying proxy card, Notice of Annual Meeting and the Company’s Annual Report for the fiscal year ended September 30, 2007, are first being sent to stockholders on or about January 16, 2008.</w:t>
      </w:r>
    </w:p>
    <w:p>
      <w:pPr>
        <w:spacing w:after="0" w:line="1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encourage you to vote your shares, either by voting in person at the Meeting or by granting a proxy (i.e., authorizing someone to vote your shares). Shares represented by duly executed proxies will be voted in accordance with your instructions. If you sign the proxy, but do not fill in a vote, your shares will be voted in accordance with the Board’s recommendation. If any other business is brought before the Meeting, your shares will be voted at the Board’s discretion.</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telephone or by mail.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two Class I directors of the Company, who will each serve for a term of three years or until his successor is duly elected and qualified.</w:t>
      </w:r>
    </w:p>
    <w:p>
      <w:pPr>
        <w:spacing w:after="0" w:line="113" w:lineRule="exact"/>
        <w:rPr>
          <w:rFonts w:ascii="Arial" w:cs="Arial" w:eastAsia="Arial" w:hAnsi="Arial"/>
          <w:sz w:val="16"/>
          <w:szCs w:val="16"/>
          <w:color w:val="auto"/>
        </w:rPr>
      </w:pPr>
    </w:p>
    <w:p>
      <w:pPr>
        <w:ind w:left="900" w:right="8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2008;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You may vote your shares at the Meeting only if you were a stockholder of record at the close of business on January 11, 2008 (the “Record Date”). There were 21,068,772 shares of the Company’s common stock outstanding on the Record Date. Each share of the common stock is entitled to one vote.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Quorum Required</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quorum must be present at the Meeting for any business to be conducted. The presence at the Meeting, in person or by proxy, of the holders of a majority of the shares of stock outstanding on the Record Date will constitute a quorum. Shares held by a broker or other nominee for which the nominee has not received voting instructions from the record holder and does not have discretionary authority to vote the shares on non-routine proposals (which are considered “broker non-votes” with respect to such proposals), will be treated as shares present for quorum purposes. If there are not enough votes for a quorum, the chairman of the meeting will adjourn the meeting to permit the further solicitation of proxies.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 Required</w:t>
      </w:r>
    </w:p>
    <w:p>
      <w:pPr>
        <w:spacing w:after="0" w:line="171"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The election of a director requires the vote of a majority of the shares of stock outstanding. Stockholders may not cumulate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votes. If you vote “Withhold Authority” with respect to a nominee, your shares will not be voted with respect to the person indicated. Because directors are elected by a majority of the votes of the outstanding common shares of the company, votes to withhold authority will have the effect of a vote against the nominee.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The affirmative vote of a majority of the votes cast at the Meeting in person or by proxy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ratify the appointment of KPMG LLP to serve as the Company’s independent registered public accounting firm. Abstentions and broker non-votes will not be included in determining the number of votes cast and, as a result, will have no effect on this proposal.</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Additional Solicitation. </w:t>
      </w:r>
      <w:r>
        <w:rPr>
          <w:rFonts w:ascii="Arial" w:cs="Arial" w:eastAsia="Arial" w:hAnsi="Arial"/>
          <w:sz w:val="18"/>
          <w:szCs w:val="18"/>
          <w:color w:val="auto"/>
        </w:rPr>
        <w:t>If there appears not to be enough votes to approve the proposals at the Meeting, the stockholders who are represented in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by proxy may vote to adjourn the Meeting to permit the further solicitation of proxies. Adam Bernstein and Jeffrey Flug are the persons named as proxies and will vote proxies held by them for such adjournment, unless marked to be voted against any proposal for which an adjournment is sought, to permit the further solicitation of proxies.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stockholder vote may be taken on one of the proposals in this Proxy Statement prior to any such adjournment if there are sufficient votes for approval of such proposal.</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will bear the expense of the solicitation of proxies for the Meeting, including the cost of preparing, printing and mailing this Proxy Statement, the accompanying Notice of Annual Meeting of Stockholders, Annual Report, and proxy card. If brokers, trustees, or fiduciaries and other institutions or nominee holding shares in their names, or in the name of their nominees, which are beneficially owned by others, forward the proxy materials to, and obtain proxies from, such beneficial owners, we will reimburse such persons for their reasonable expenses in so doing.</w:t>
      </w:r>
    </w:p>
    <w:p>
      <w:pPr>
        <w:spacing w:after="0" w:line="11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addition to the solicitation of proxies by the use of the mail, proxies may be solicited in person and/or by telephone or facsimile transmission by directors or officers of the Company, officers or employees of PennantPark Investment Advisers, LLC, the Company’s investment adviser and/or by a retained solicitor. No additional compensation will be paid to directors, officers or regular employees for such services.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Stockholders may also provide their voting instructions by telephone or through the Internet. These options require stockholders to input the Control Number, which is located on each card. After inputting this number, stockholders will be prompted to provide their voting instructions. Stockholders will have an opportunity to review their voting instructions and make any necessary changes before submitting their voting instructions and terminating their telephone call or Internet link. Stockholders who vote via the Internet, in addition to confirming their voting instructions prior to submission, will also receive an e-mail confirming their instructions upon request.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stockholder wishes to participate in the Meeting, but does not wish to give a proxy by telephone or electronically, the stockholder may still submit the proxy card originally sent with this Proxy Statement or attend in person.</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Any proxy given pursuant to this solicitation may be revoked by notice from the person giving the proxy at any time before it is exercised. Any such notice of revocation should be provided in writing and signed by the stockholder in the same manner as the proxy being revoked and delivered to the Company’s proxy tabulator.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the Record Date, to our knowledge, no person would be deemed to control us, as such term is defined in the Investment Company Act of 1940, as amended (the “1940 Act”).</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sets forth, as of December 28, 2007,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44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0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AG</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2,512,324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c/o UBS Global Asset Management (Americas), Inc.</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One North Wacker</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3"/>
          </w:tcPr>
          <w:p>
            <w:pPr>
              <w:spacing w:after="0"/>
              <w:rPr>
                <w:sz w:val="20"/>
                <w:szCs w:val="20"/>
                <w:color w:val="auto"/>
              </w:rPr>
            </w:pPr>
            <w:r>
              <w:rPr>
                <w:rFonts w:ascii="Arial" w:cs="Arial" w:eastAsia="Arial" w:hAnsi="Arial"/>
                <w:sz w:val="18"/>
                <w:szCs w:val="18"/>
                <w:color w:val="auto"/>
              </w:rPr>
              <w:t>Chicago, Illinois 60606</w:t>
            </w: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Adam K. Bernstein</w:t>
            </w:r>
            <w:r>
              <w:rPr>
                <w:rFonts w:ascii="Arial" w:cs="Arial" w:eastAsia="Arial" w:hAnsi="Arial"/>
                <w:sz w:val="22"/>
                <w:szCs w:val="22"/>
                <w:color w:val="auto"/>
                <w:vertAlign w:val="superscript"/>
              </w:rPr>
              <w:t>(2)</w:t>
            </w:r>
          </w:p>
        </w:tc>
        <w:tc>
          <w:tcPr>
            <w:tcW w:w="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68,436</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Record</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6,844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Record</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68,436</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Record</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10,266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Arthur H. Penn</w:t>
            </w:r>
            <w:r>
              <w:rPr>
                <w:rFonts w:ascii="Arial" w:cs="Arial" w:eastAsia="Arial" w:hAnsi="Arial"/>
                <w:sz w:val="22"/>
                <w:szCs w:val="22"/>
                <w:color w:val="auto"/>
                <w:vertAlign w:val="superscript"/>
              </w:rPr>
              <w:t>(3)</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235,331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23"/>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Record</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9,844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420"/>
              <w:spacing w:after="0"/>
              <w:rPr>
                <w:sz w:val="20"/>
                <w:szCs w:val="20"/>
                <w:color w:val="auto"/>
              </w:rPr>
            </w:pPr>
            <w:r>
              <w:rPr>
                <w:rFonts w:ascii="Arial" w:cs="Arial" w:eastAsia="Arial" w:hAnsi="Arial"/>
                <w:sz w:val="18"/>
                <w:szCs w:val="18"/>
                <w:color w:val="auto"/>
              </w:rPr>
              <w:t>Matthew Hardin</w:t>
            </w:r>
          </w:p>
        </w:tc>
        <w:tc>
          <w:tcPr>
            <w:tcW w:w="440" w:type="dxa"/>
            <w:vAlign w:val="bottom"/>
          </w:tcPr>
          <w:p>
            <w:pPr>
              <w:spacing w:after="0"/>
              <w:rPr>
                <w:sz w:val="18"/>
                <w:szCs w:val="18"/>
                <w:color w:val="auto"/>
              </w:rPr>
            </w:pP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(7 persons)</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399,157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w:t>
      </w:r>
    </w:p>
    <w:p>
      <w:pPr>
        <w:ind w:left="460" w:right="300" w:hanging="452"/>
        <w:spacing w:after="0" w:line="24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61,593 shares held by JAM Investments, LLC.</w:t>
      </w:r>
    </w:p>
    <w:p>
      <w:pPr>
        <w:ind w:left="460" w:right="2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213,831 shares held by PennantPark Investment Advisers, LLC.</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Dollar Range of Securities Beneficially Owned by Directors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December 28, 2007. Information as to the beneficial ownerships is based on information furnished to the company by such persons. We are not part of a “family of investment companies,” as that term is defined in the 1940 Act.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Dollar Range of Equity</w:t>
            </w:r>
          </w:p>
        </w:tc>
      </w:tr>
      <w:tr>
        <w:trPr>
          <w:trHeight w:val="187"/>
        </w:trPr>
        <w:tc>
          <w:tcPr>
            <w:tcW w:w="8080" w:type="dxa"/>
            <w:vAlign w:val="bottom"/>
            <w:gridSpan w:val="3"/>
          </w:tcPr>
          <w:p>
            <w:pPr>
              <w:ind w:left="460"/>
              <w:spacing w:after="0"/>
              <w:rPr>
                <w:sz w:val="20"/>
                <w:szCs w:val="20"/>
                <w:color w:val="auto"/>
              </w:rPr>
            </w:pPr>
            <w:r>
              <w:rPr>
                <w:rFonts w:ascii="Arial" w:cs="Arial" w:eastAsia="Arial" w:hAnsi="Arial"/>
                <w:sz w:val="14"/>
                <w:szCs w:val="14"/>
                <w:b w:val="1"/>
                <w:bCs w:val="1"/>
                <w:color w:val="auto"/>
              </w:rPr>
              <w:t>Directors of PennantPark</w:t>
            </w:r>
          </w:p>
        </w:tc>
        <w:tc>
          <w:tcPr>
            <w:tcW w:w="1240" w:type="dxa"/>
            <w:vAlign w:val="bottom"/>
          </w:tcPr>
          <w:p>
            <w:pPr>
              <w:spacing w:after="0"/>
              <w:rPr>
                <w:sz w:val="16"/>
                <w:szCs w:val="16"/>
                <w:color w:val="auto"/>
              </w:rPr>
            </w:pPr>
          </w:p>
        </w:tc>
        <w:tc>
          <w:tcPr>
            <w:tcW w:w="164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w w:val="92"/>
              </w:rPr>
              <w:t>Securities in PennantPark</w:t>
            </w:r>
            <w:r>
              <w:rPr>
                <w:rFonts w:ascii="Arial" w:cs="Arial" w:eastAsia="Arial" w:hAnsi="Arial"/>
                <w:sz w:val="20"/>
                <w:szCs w:val="20"/>
                <w:b w:val="1"/>
                <w:bCs w:val="1"/>
                <w:color w:val="auto"/>
                <w:w w:val="92"/>
                <w:vertAlign w:val="superscript"/>
              </w:rPr>
              <w:t>(1)</w:t>
            </w:r>
          </w:p>
        </w:tc>
      </w:tr>
      <w:tr>
        <w:trPr>
          <w:trHeight w:val="216"/>
        </w:trPr>
        <w:tc>
          <w:tcPr>
            <w:tcW w:w="460" w:type="dxa"/>
            <w:vAlign w:val="bottom"/>
          </w:tcPr>
          <w:p>
            <w:pPr>
              <w:spacing w:after="0"/>
              <w:rPr>
                <w:sz w:val="18"/>
                <w:szCs w:val="18"/>
                <w:color w:val="auto"/>
              </w:rPr>
            </w:pPr>
          </w:p>
        </w:tc>
        <w:tc>
          <w:tcPr>
            <w:tcW w:w="7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4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08"/>
        </w:trPr>
        <w:tc>
          <w:tcPr>
            <w:tcW w:w="46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12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$500,001 –</w:t>
            </w:r>
          </w:p>
        </w:tc>
      </w:tr>
      <w:tr>
        <w:trPr>
          <w:trHeight w:val="224"/>
        </w:trPr>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880" w:type="dxa"/>
            <w:vAlign w:val="bottom"/>
            <w:gridSpan w:val="2"/>
          </w:tcPr>
          <w:p>
            <w:pPr>
              <w:jc w:val="right"/>
              <w:ind w:right="259"/>
              <w:spacing w:after="0" w:line="224" w:lineRule="exact"/>
              <w:rPr>
                <w:sz w:val="20"/>
                <w:szCs w:val="20"/>
                <w:color w:val="auto"/>
              </w:rPr>
            </w:pPr>
            <w:r>
              <w:rPr>
                <w:rFonts w:ascii="Arial" w:cs="Arial" w:eastAsia="Arial" w:hAnsi="Arial"/>
                <w:sz w:val="18"/>
                <w:szCs w:val="18"/>
                <w:color w:val="auto"/>
              </w:rPr>
              <w:t>$1,000,000</w:t>
            </w:r>
            <w:r>
              <w:rPr>
                <w:rFonts w:ascii="Arial" w:cs="Arial" w:eastAsia="Arial" w:hAnsi="Arial"/>
                <w:sz w:val="22"/>
                <w:szCs w:val="22"/>
                <w:color w:val="auto"/>
                <w:vertAlign w:val="superscript"/>
              </w:rPr>
              <w:t>(2)</w:t>
            </w:r>
          </w:p>
        </w:tc>
      </w:tr>
      <w:tr>
        <w:trPr>
          <w:trHeight w:val="216"/>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24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46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12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$500,001 – $1,000,000</w:t>
            </w:r>
          </w:p>
        </w:tc>
      </w:tr>
      <w:tr>
        <w:trPr>
          <w:trHeight w:val="216"/>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24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$100,001 – $500,000</w:t>
            </w:r>
          </w:p>
        </w:tc>
      </w:tr>
      <w:tr>
        <w:trPr>
          <w:trHeight w:val="322"/>
        </w:trPr>
        <w:tc>
          <w:tcPr>
            <w:tcW w:w="8080" w:type="dxa"/>
            <w:vAlign w:val="bottom"/>
            <w:gridSpan w:val="3"/>
          </w:tcPr>
          <w:p>
            <w:pPr>
              <w:ind w:left="460"/>
              <w:spacing w:after="0"/>
              <w:rPr>
                <w:sz w:val="20"/>
                <w:szCs w:val="20"/>
                <w:color w:val="auto"/>
              </w:rPr>
            </w:pPr>
            <w:r>
              <w:rPr>
                <w:rFonts w:ascii="Arial" w:cs="Arial" w:eastAsia="Arial" w:hAnsi="Arial"/>
                <w:sz w:val="18"/>
                <w:szCs w:val="18"/>
                <w:b w:val="1"/>
                <w:bCs w:val="1"/>
                <w:color w:val="auto"/>
              </w:rPr>
              <w:t>Interested Director</w:t>
            </w:r>
          </w:p>
        </w:tc>
        <w:tc>
          <w:tcPr>
            <w:tcW w:w="1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124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line="218" w:lineRule="exact"/>
              <w:rPr>
                <w:sz w:val="20"/>
                <w:szCs w:val="20"/>
                <w:color w:val="auto"/>
              </w:rPr>
            </w:pPr>
            <w:r>
              <w:rPr>
                <w:rFonts w:ascii="Arial" w:cs="Arial" w:eastAsia="Arial" w:hAnsi="Arial"/>
                <w:sz w:val="18"/>
                <w:szCs w:val="18"/>
                <w:color w:val="auto"/>
                <w:w w:val="86"/>
              </w:rPr>
              <w:t>Over $1,000,000</w:t>
            </w:r>
            <w:r>
              <w:rPr>
                <w:rFonts w:ascii="Arial" w:cs="Arial" w:eastAsia="Arial" w:hAnsi="Arial"/>
                <w:sz w:val="22"/>
                <w:szCs w:val="22"/>
                <w:color w:val="auto"/>
                <w:w w:val="86"/>
                <w:vertAlign w:val="superscript"/>
              </w:rPr>
              <w:t>(3)</w:t>
            </w: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4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PROPOSAL I: ELECTION OF DIRECTORS</w:t>
      </w:r>
    </w:p>
    <w:p>
      <w:pPr>
        <w:spacing w:after="0" w:line="171"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In accordance with the bylaws, the Company currently has five members of the Board of Directors. Directors are divided into three classes and are elected for staggered terms of three years each, with a term of office of one of the three classes of directors expiring each year. The initial terms of Class I, II and III will expire in 2008, 2009 and 2010, respectively. Each director will hold office for the term to which he is elected or until his successor is duly elected and qualifies.</w:t>
      </w:r>
    </w:p>
    <w:p>
      <w:pPr>
        <w:spacing w:after="0" w:line="8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stockholder can vote for, or withhold his or her vote from, any nominee. In the absence of instructions to the contrary, it is the intention of the persons named as proxies to vote such proxy FOR the election of the nominees named below. If a nominee should decline or be unable to serve as a director, it is intended that the proxy will be voted for the election of such person as is nominated by the Board as a replacement. The Board has no reason to believe that any of the persons named below will be unable or unwilling to serve.</w:t>
      </w:r>
    </w:p>
    <w:p>
      <w:pPr>
        <w:spacing w:after="0" w:line="13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THE BOARD OF DIRECTORS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THE NOMINEES NAMED IN THIS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Nominees and Directors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Certain information with respect to the Class I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Both of the nominees for Class I directors currently serve as directors of the Company.</w:t>
      </w:r>
    </w:p>
    <w:p>
      <w:pPr>
        <w:spacing w:after="0" w:line="88"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Mr. Marshall Brozost and Mr. Samuel L. Katz each has been nominated for election for a three year term expiring in 2011. Neither Mr. Brozost nor Mr. Katz is being proposed for election pursuant to any agreement or understanding between either Mr. Brozost or Mr. Katz and the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left="460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Nominees for Class I Directors</w:t>
      </w:r>
    </w:p>
    <w:p>
      <w:pPr>
        <w:sectPr>
          <w:pgSz w:w="11900" w:h="16838" w:orient="portrait"/>
          <w:cols w:equalWidth="0" w:num="1">
            <w:col w:w="10860"/>
          </w:cols>
          <w:pgMar w:left="240" w:top="280" w:right="799" w:bottom="1440" w:gutter="0" w:footer="0" w:header="0"/>
        </w:sect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Term of Office and</w:t>
            </w:r>
          </w:p>
        </w:tc>
        <w:tc>
          <w:tcPr>
            <w:tcW w:w="0" w:type="dxa"/>
            <w:vAlign w:val="bottom"/>
          </w:tcPr>
          <w:p>
            <w:pPr>
              <w:spacing w:after="0"/>
              <w:rPr>
                <w:sz w:val="1"/>
                <w:szCs w:val="1"/>
                <w:color w:val="auto"/>
              </w:rPr>
            </w:pPr>
          </w:p>
        </w:tc>
      </w:tr>
      <w:tr>
        <w:trPr>
          <w:trHeight w:val="149"/>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22"/>
                <w:szCs w:val="22"/>
                <w:b w:val="1"/>
                <w:bCs w:val="1"/>
                <w:color w:val="auto"/>
                <w:vertAlign w:val="superscript"/>
              </w:rPr>
              <w:t>(1)</w:t>
            </w:r>
          </w:p>
        </w:tc>
        <w:tc>
          <w:tcPr>
            <w:tcW w:w="120" w:type="dxa"/>
            <w:vAlign w:val="bottom"/>
          </w:tcPr>
          <w:p>
            <w:pPr>
              <w:spacing w:after="0"/>
              <w:rPr>
                <w:sz w:val="12"/>
                <w:szCs w:val="12"/>
                <w:color w:val="auto"/>
              </w:rPr>
            </w:pPr>
          </w:p>
        </w:tc>
        <w:tc>
          <w:tcPr>
            <w:tcW w:w="12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Position(s) held</w:t>
            </w: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 Time</w:t>
            </w:r>
          </w:p>
        </w:tc>
        <w:tc>
          <w:tcPr>
            <w:tcW w:w="0" w:type="dxa"/>
            <w:vAlign w:val="bottom"/>
          </w:tcPr>
          <w:p>
            <w:pPr>
              <w:spacing w:after="0"/>
              <w:rPr>
                <w:sz w:val="1"/>
                <w:szCs w:val="1"/>
                <w:color w:val="auto"/>
              </w:rPr>
            </w:pPr>
          </w:p>
        </w:tc>
      </w:tr>
      <w:tr>
        <w:trPr>
          <w:trHeight w:val="181"/>
        </w:trPr>
        <w:tc>
          <w:tcPr>
            <w:tcW w:w="3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Served</w:t>
            </w:r>
          </w:p>
        </w:tc>
        <w:tc>
          <w:tcPr>
            <w:tcW w:w="0" w:type="dxa"/>
            <w:vAlign w:val="bottom"/>
          </w:tcPr>
          <w:p>
            <w:pPr>
              <w:spacing w:after="0"/>
              <w:rPr>
                <w:sz w:val="1"/>
                <w:szCs w:val="1"/>
                <w:color w:val="auto"/>
              </w:rPr>
            </w:pPr>
          </w:p>
        </w:tc>
      </w:tr>
      <w:tr>
        <w:trPr>
          <w:trHeight w:val="202"/>
        </w:trPr>
        <w:tc>
          <w:tcPr>
            <w:tcW w:w="3100" w:type="dxa"/>
            <w:vAlign w:val="bottom"/>
          </w:tcPr>
          <w:p>
            <w:pPr>
              <w:spacing w:after="0" w:line="202" w:lineRule="exact"/>
              <w:rPr>
                <w:sz w:val="20"/>
                <w:szCs w:val="20"/>
                <w:color w:val="auto"/>
              </w:rPr>
            </w:pPr>
            <w:r>
              <w:rPr>
                <w:rFonts w:ascii="Arial" w:cs="Arial" w:eastAsia="Arial" w:hAnsi="Arial"/>
                <w:sz w:val="18"/>
                <w:szCs w:val="18"/>
                <w:b w:val="1"/>
                <w:bCs w:val="1"/>
                <w:color w:val="auto"/>
              </w:rPr>
              <w:t>Independent Directors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100" w:type="dxa"/>
            <w:vAlign w:val="bottom"/>
          </w:tcPr>
          <w:p>
            <w:pPr>
              <w:spacing w:after="0"/>
              <w:rPr>
                <w:sz w:val="20"/>
                <w:szCs w:val="20"/>
                <w:color w:val="auto"/>
              </w:rPr>
            </w:pPr>
            <w:r>
              <w:rPr>
                <w:rFonts w:ascii="Arial" w:cs="Arial" w:eastAsia="Arial" w:hAnsi="Arial"/>
                <w:sz w:val="18"/>
                <w:szCs w:val="18"/>
                <w:color w:val="auto"/>
              </w:rPr>
              <w:t>Marshall Brozost (40)</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w w:val="92"/>
              </w:rPr>
              <w:t>Class I Director since</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w w:val="93"/>
              </w:rPr>
              <w:t>February 2007; Term</w:t>
            </w: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Expires 2011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3200" w:val="left"/>
          <w:tab w:leader="none" w:pos="4580" w:val="left"/>
        </w:tabs>
        <w:rPr>
          <w:sz w:val="20"/>
          <w:szCs w:val="20"/>
          <w:color w:val="auto"/>
        </w:rPr>
      </w:pPr>
      <w:r>
        <w:rPr>
          <w:rFonts w:ascii="Arial" w:cs="Arial" w:eastAsia="Arial" w:hAnsi="Arial"/>
          <w:sz w:val="18"/>
          <w:szCs w:val="18"/>
          <w:color w:val="auto"/>
        </w:rPr>
        <w:t>Samuel L. Katz (42)</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Class I Director since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February 2007; Term</w:t>
      </w:r>
    </w:p>
    <w:p>
      <w:pPr>
        <w:spacing w:after="0" w:line="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Expires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Principal Occupation(s)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During the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1586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1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 Partner at the international law firm of Dewey &amp; LeBoeuf LLP, since 2007 where he practices in the real estate and private equity groups. Prior to his tenure at Dewey &amp; LeBoeuf LLP which began in 2005, Mr. Brozost practiced law at O’Melveny &amp; Myers LLP and at Solomon &amp; Weinberg LLP since 2001.</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Managing Partner since 2007 of TZP Group LLC, a private equity fund. Chief Executive Officer of MacAndrews &amp; Forbes Acquisition Holdings, Inc. from 2006 to 2007. Chairman and Chief Executive Officer of the Cendant Travel Distribution Services Division from 2001 to 2005.</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20" w:right="120" w:hanging="10"/>
        <w:spacing w:after="0" w:line="264" w:lineRule="auto"/>
        <w:rPr>
          <w:sz w:val="20"/>
          <w:szCs w:val="20"/>
          <w:color w:val="auto"/>
        </w:rPr>
      </w:pPr>
      <w:r>
        <w:rPr>
          <w:rFonts w:ascii="Arial" w:cs="Arial" w:eastAsia="Arial" w:hAnsi="Arial"/>
          <w:sz w:val="12"/>
          <w:szCs w:val="12"/>
          <w:b w:val="1"/>
          <w:bCs w:val="1"/>
          <w:color w:val="auto"/>
        </w:rPr>
        <w:t>Other Directorships Held by Director or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Nominee for Director</w:t>
      </w:r>
      <w:r>
        <w:rPr>
          <w:rFonts w:ascii="Arial" w:cs="Arial" w:eastAsia="Arial" w:hAnsi="Arial"/>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15862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ectPr>
          <w:pgSz w:w="11900" w:h="16838" w:orient="portrait"/>
          <w:cols w:equalWidth="0" w:num="3">
            <w:col w:w="6200" w:space="120"/>
            <w:col w:w="2440" w:space="720"/>
            <w:col w:w="1380"/>
          </w:cols>
          <w:pgMar w:left="240" w:top="280" w:right="799" w:bottom="1440" w:gutter="0" w:footer="0" w:header="0"/>
          <w:type w:val="continuous"/>
        </w:sectPr>
      </w:pPr>
    </w:p>
    <w:bookmarkStart w:id="8" w:name="page9"/>
    <w:bookmarkEnd w:id="8"/>
    <w:p>
      <w:pPr>
        <w:jc w:val="center"/>
        <w:ind w:left="1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DIRECTORS (not up for election at the Meeting)</w:t>
      </w:r>
    </w:p>
    <w:p>
      <w:pPr>
        <w:spacing w:after="0" w:line="96" w:lineRule="exact"/>
        <w:rPr>
          <w:sz w:val="20"/>
          <w:szCs w:val="20"/>
          <w:color w:val="auto"/>
        </w:rPr>
      </w:pPr>
    </w:p>
    <w:p>
      <w:pPr>
        <w:jc w:val="center"/>
        <w:ind w:left="1480"/>
        <w:spacing w:after="0"/>
        <w:rPr>
          <w:sz w:val="20"/>
          <w:szCs w:val="20"/>
          <w:color w:val="auto"/>
        </w:rPr>
      </w:pPr>
      <w:r>
        <w:rPr>
          <w:rFonts w:ascii="Arial" w:cs="Arial" w:eastAsia="Arial" w:hAnsi="Arial"/>
          <w:sz w:val="18"/>
          <w:szCs w:val="18"/>
          <w:b w:val="1"/>
          <w:bCs w:val="1"/>
          <w:i w:val="1"/>
          <w:iCs w:val="1"/>
          <w:color w:val="auto"/>
        </w:rPr>
        <w:t>Class II Directors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Term of Office and</w:t>
            </w:r>
          </w:p>
        </w:tc>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22"/>
                <w:szCs w:val="22"/>
                <w:b w:val="1"/>
                <w:bCs w:val="1"/>
                <w:color w:val="auto"/>
                <w:vertAlign w:val="superscript"/>
              </w:rPr>
              <w:t>(1)</w:t>
            </w:r>
          </w:p>
        </w:tc>
        <w:tc>
          <w:tcPr>
            <w:tcW w:w="1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98"/>
              </w:rPr>
              <w:t>Position(s) held</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Length of Time</w:t>
            </w:r>
          </w:p>
        </w:tc>
        <w:tc>
          <w:tcPr>
            <w:tcW w:w="10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Principal Occupation(s) During</w:t>
            </w:r>
          </w:p>
        </w:tc>
        <w:tc>
          <w:tcPr>
            <w:tcW w:w="0" w:type="dxa"/>
            <w:vAlign w:val="bottom"/>
          </w:tcPr>
          <w:p>
            <w:pPr>
              <w:spacing w:after="0"/>
              <w:rPr>
                <w:sz w:val="1"/>
                <w:szCs w:val="1"/>
                <w:color w:val="auto"/>
              </w:rPr>
            </w:pPr>
          </w:p>
        </w:tc>
      </w:tr>
      <w:tr>
        <w:trPr>
          <w:trHeight w:val="181"/>
        </w:trPr>
        <w:tc>
          <w:tcPr>
            <w:tcW w:w="3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Served</w:t>
            </w:r>
          </w:p>
        </w:tc>
        <w:tc>
          <w:tcPr>
            <w:tcW w:w="100" w:type="dxa"/>
            <w:vAlign w:val="bottom"/>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the Past 5 Years</w:t>
            </w:r>
          </w:p>
        </w:tc>
        <w:tc>
          <w:tcPr>
            <w:tcW w:w="0" w:type="dxa"/>
            <w:vAlign w:val="bottom"/>
          </w:tcPr>
          <w:p>
            <w:pPr>
              <w:spacing w:after="0"/>
              <w:rPr>
                <w:sz w:val="1"/>
                <w:szCs w:val="1"/>
                <w:color w:val="auto"/>
              </w:rPr>
            </w:pPr>
          </w:p>
        </w:tc>
      </w:tr>
      <w:tr>
        <w:trPr>
          <w:trHeight w:val="202"/>
        </w:trPr>
        <w:tc>
          <w:tcPr>
            <w:tcW w:w="3540" w:type="dxa"/>
            <w:vAlign w:val="bottom"/>
          </w:tcPr>
          <w:p>
            <w:pPr>
              <w:spacing w:after="0" w:line="202" w:lineRule="exact"/>
              <w:rPr>
                <w:sz w:val="20"/>
                <w:szCs w:val="20"/>
                <w:color w:val="auto"/>
              </w:rPr>
            </w:pPr>
            <w:r>
              <w:rPr>
                <w:rFonts w:ascii="Arial" w:cs="Arial" w:eastAsia="Arial" w:hAnsi="Arial"/>
                <w:sz w:val="18"/>
                <w:szCs w:val="18"/>
                <w:b w:val="1"/>
                <w:bCs w:val="1"/>
                <w:color w:val="auto"/>
              </w:rPr>
              <w:t>Independent Directors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540" w:type="dxa"/>
            <w:vAlign w:val="bottom"/>
          </w:tcPr>
          <w:p>
            <w:pPr>
              <w:spacing w:after="0"/>
              <w:rPr>
                <w:sz w:val="20"/>
                <w:szCs w:val="20"/>
                <w:color w:val="auto"/>
              </w:rPr>
            </w:pPr>
            <w:r>
              <w:rPr>
                <w:rFonts w:ascii="Arial" w:cs="Arial" w:eastAsia="Arial" w:hAnsi="Arial"/>
                <w:sz w:val="18"/>
                <w:szCs w:val="18"/>
                <w:color w:val="auto"/>
              </w:rPr>
              <w:t>Adam K. Bernstein (44)</w:t>
            </w:r>
          </w:p>
        </w:tc>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gridSpan w:val="2"/>
          </w:tcPr>
          <w:p>
            <w:pPr>
              <w:ind w:left="120"/>
              <w:spacing w:after="0"/>
              <w:rPr>
                <w:sz w:val="20"/>
                <w:szCs w:val="20"/>
                <w:color w:val="auto"/>
              </w:rPr>
            </w:pPr>
            <w:r>
              <w:rPr>
                <w:rFonts w:ascii="Arial" w:cs="Arial" w:eastAsia="Arial" w:hAnsi="Arial"/>
                <w:sz w:val="18"/>
                <w:szCs w:val="18"/>
                <w:color w:val="auto"/>
                <w:w w:val="91"/>
              </w:rPr>
              <w:t>Class II Director since</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95"/>
              </w:rPr>
              <w:t>President of The Bernstein Companies, a</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color w:val="auto"/>
                <w:w w:val="94"/>
              </w:rPr>
              <w:t>February 2007; Term</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88"/>
              </w:rPr>
              <w:t>Washington, D.C.-based real estate firm that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color w:val="auto"/>
              </w:rPr>
              <w:t>Expires 2009</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he founded in 1985. Also serves as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99"/>
              </w:rPr>
              <w:t>President and Chief Executive Officer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99"/>
              </w:rPr>
              <w:t>Consortium Atlantic Realty Trust, Inc., a</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88"/>
              </w:rPr>
              <w:t>private real estate investment trust operating</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in the Mid-Atlantic region since its</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formation in 2000.</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0"/>
                <w:szCs w:val="20"/>
                <w:color w:val="auto"/>
              </w:rPr>
            </w:pPr>
            <w:r>
              <w:rPr>
                <w:rFonts w:ascii="Arial" w:cs="Arial" w:eastAsia="Arial" w:hAnsi="Arial"/>
                <w:sz w:val="18"/>
                <w:szCs w:val="18"/>
                <w:color w:val="auto"/>
              </w:rPr>
              <w:t>Jeffrey Flug (45)</w:t>
            </w:r>
          </w:p>
        </w:tc>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gridSpan w:val="2"/>
          </w:tcPr>
          <w:p>
            <w:pPr>
              <w:ind w:left="120"/>
              <w:spacing w:after="0"/>
              <w:rPr>
                <w:sz w:val="20"/>
                <w:szCs w:val="20"/>
                <w:color w:val="auto"/>
              </w:rPr>
            </w:pPr>
            <w:r>
              <w:rPr>
                <w:rFonts w:ascii="Arial" w:cs="Arial" w:eastAsia="Arial" w:hAnsi="Arial"/>
                <w:sz w:val="18"/>
                <w:szCs w:val="18"/>
                <w:color w:val="auto"/>
                <w:w w:val="91"/>
              </w:rPr>
              <w:t>Class II Director since</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Executive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color w:val="auto"/>
                <w:w w:val="94"/>
              </w:rPr>
              <w:t>February 2007; Term</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93"/>
              </w:rPr>
              <w:t>Director since 2006 of Millennium Promise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color w:val="auto"/>
              </w:rPr>
              <w:t>Expires 2009</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Alliance, Inc., a non-profit organization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88"/>
              </w:rPr>
              <w:t>whose mission is to eradicate extreme global</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93"/>
              </w:rPr>
              <w:t>poverty. Mr. Flug was a Managing Director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97"/>
              </w:rPr>
              <w:t>and Head of North American Institutional</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90"/>
              </w:rPr>
              <w:t>Sales at JP Morgan’s Investment Bank from</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2000 to 2006.</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gridSpan w:val="2"/>
          </w:tcPr>
          <w:p>
            <w:pPr>
              <w:jc w:val="right"/>
              <w:ind w:right="8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Other</w:t>
      </w:r>
    </w:p>
    <w:p>
      <w:pPr>
        <w:jc w:val="center"/>
        <w:ind w:right="-19"/>
        <w:spacing w:after="0" w:line="223" w:lineRule="auto"/>
        <w:rPr>
          <w:sz w:val="20"/>
          <w:szCs w:val="20"/>
          <w:color w:val="auto"/>
        </w:rPr>
      </w:pPr>
      <w:r>
        <w:rPr>
          <w:rFonts w:ascii="Arial" w:cs="Arial" w:eastAsia="Arial" w:hAnsi="Arial"/>
          <w:sz w:val="14"/>
          <w:szCs w:val="14"/>
          <w:b w:val="1"/>
          <w:bCs w:val="1"/>
          <w:color w:val="auto"/>
        </w:rPr>
        <w:t>Directorships</w:t>
      </w:r>
    </w:p>
    <w:p>
      <w:pPr>
        <w:jc w:val="center"/>
        <w:ind w:right="-19"/>
        <w:spacing w:after="0" w:line="222" w:lineRule="auto"/>
        <w:rPr>
          <w:sz w:val="20"/>
          <w:szCs w:val="20"/>
          <w:color w:val="auto"/>
        </w:rPr>
      </w:pPr>
      <w:r>
        <w:rPr>
          <w:rFonts w:ascii="Arial" w:cs="Arial" w:eastAsia="Arial" w:hAnsi="Arial"/>
          <w:sz w:val="14"/>
          <w:szCs w:val="14"/>
          <w:b w:val="1"/>
          <w:bCs w:val="1"/>
          <w:color w:val="auto"/>
        </w:rPr>
        <w:t>Held by Director</w:t>
      </w:r>
    </w:p>
    <w:p>
      <w:pPr>
        <w:jc w:val="center"/>
        <w:ind w:right="-19"/>
        <w:spacing w:after="0" w:line="211" w:lineRule="auto"/>
        <w:rPr>
          <w:sz w:val="20"/>
          <w:szCs w:val="20"/>
          <w:color w:val="auto"/>
        </w:rPr>
      </w:pPr>
      <w:r>
        <w:rPr>
          <w:rFonts w:ascii="Arial" w:cs="Arial" w:eastAsia="Arial" w:hAnsi="Arial"/>
          <w:sz w:val="14"/>
          <w:szCs w:val="14"/>
          <w:b w:val="1"/>
          <w:bCs w:val="1"/>
          <w:color w:val="auto"/>
        </w:rPr>
        <w:t>or Nominee for</w:t>
      </w:r>
    </w:p>
    <w:p>
      <w:pPr>
        <w:ind w:left="380"/>
        <w:spacing w:after="0"/>
        <w:rPr>
          <w:sz w:val="20"/>
          <w:szCs w:val="20"/>
          <w:color w:val="auto"/>
        </w:rPr>
      </w:pPr>
      <w:r>
        <w:rPr>
          <w:rFonts w:ascii="Arial" w:cs="Arial" w:eastAsia="Arial" w:hAnsi="Arial"/>
          <w:sz w:val="14"/>
          <w:szCs w:val="14"/>
          <w:b w:val="1"/>
          <w:bCs w:val="1"/>
          <w:color w:val="auto"/>
        </w:rPr>
        <w:t>Director</w:t>
      </w:r>
      <w:r>
        <w:rPr>
          <w:rFonts w:ascii="Arial" w:cs="Arial" w:eastAsia="Arial" w:hAnsi="Arial"/>
          <w:sz w:val="22"/>
          <w:szCs w:val="22"/>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President of the Mid-Atlantic Regional Advisory Board of the University of Pennsylvania.</w:t>
      </w:r>
    </w:p>
    <w:p>
      <w:pPr>
        <w:sectPr>
          <w:pgSz w:w="11900" w:h="16838" w:orient="portrait"/>
          <w:cols w:equalWidth="0" w:num="2">
            <w:col w:w="9940" w:space="120"/>
            <w:col w:w="1320"/>
          </w:cols>
          <w:pgMar w:left="240" w:top="274"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III Director</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Term of Office and</w:t>
            </w:r>
          </w:p>
        </w:tc>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22"/>
                <w:szCs w:val="22"/>
                <w:b w:val="1"/>
                <w:bCs w:val="1"/>
                <w:color w:val="auto"/>
                <w:vertAlign w:val="superscript"/>
              </w:rPr>
              <w:t>(1)</w:t>
            </w: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Position(s) held with</w:t>
            </w: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 Time</w:t>
            </w:r>
          </w:p>
        </w:tc>
        <w:tc>
          <w:tcPr>
            <w:tcW w:w="120" w:type="dxa"/>
            <w:vAlign w:val="bottom"/>
          </w:tcPr>
          <w:p>
            <w:pPr>
              <w:spacing w:after="0"/>
              <w:rPr>
                <w:sz w:val="12"/>
                <w:szCs w:val="12"/>
                <w:color w:val="auto"/>
              </w:rPr>
            </w:pPr>
          </w:p>
        </w:tc>
        <w:tc>
          <w:tcPr>
            <w:tcW w:w="2940" w:type="dxa"/>
            <w:vAlign w:val="bottom"/>
          </w:tcPr>
          <w:p>
            <w:pPr>
              <w:ind w:left="780"/>
              <w:spacing w:after="0" w:line="149" w:lineRule="exact"/>
              <w:rPr>
                <w:sz w:val="20"/>
                <w:szCs w:val="20"/>
                <w:color w:val="auto"/>
              </w:rPr>
            </w:pPr>
            <w:r>
              <w:rPr>
                <w:rFonts w:ascii="Arial" w:cs="Arial" w:eastAsia="Arial" w:hAnsi="Arial"/>
                <w:sz w:val="14"/>
                <w:szCs w:val="14"/>
                <w:b w:val="1"/>
                <w:bCs w:val="1"/>
                <w:color w:val="auto"/>
              </w:rPr>
              <w:t>Principal Occupation(s)</w:t>
            </w:r>
          </w:p>
        </w:tc>
        <w:tc>
          <w:tcPr>
            <w:tcW w:w="0" w:type="dxa"/>
            <w:vAlign w:val="bottom"/>
          </w:tcPr>
          <w:p>
            <w:pPr>
              <w:spacing w:after="0"/>
              <w:rPr>
                <w:sz w:val="1"/>
                <w:szCs w:val="1"/>
                <w:color w:val="auto"/>
              </w:rPr>
            </w:pPr>
          </w:p>
        </w:tc>
      </w:tr>
      <w:tr>
        <w:trPr>
          <w:trHeight w:val="181"/>
        </w:trPr>
        <w:tc>
          <w:tcPr>
            <w:tcW w:w="33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Company</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Served</w:t>
            </w:r>
          </w:p>
        </w:tc>
        <w:tc>
          <w:tcPr>
            <w:tcW w:w="120" w:type="dxa"/>
            <w:vAlign w:val="bottom"/>
          </w:tcPr>
          <w:p>
            <w:pPr>
              <w:spacing w:after="0"/>
              <w:rPr>
                <w:sz w:val="15"/>
                <w:szCs w:val="15"/>
                <w:color w:val="auto"/>
              </w:rPr>
            </w:pPr>
          </w:p>
        </w:tc>
        <w:tc>
          <w:tcPr>
            <w:tcW w:w="29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During the Past 5 Years</w:t>
            </w:r>
          </w:p>
        </w:tc>
        <w:tc>
          <w:tcPr>
            <w:tcW w:w="0" w:type="dxa"/>
            <w:vAlign w:val="bottom"/>
          </w:tcPr>
          <w:p>
            <w:pPr>
              <w:spacing w:after="0"/>
              <w:rPr>
                <w:sz w:val="1"/>
                <w:szCs w:val="1"/>
                <w:color w:val="auto"/>
              </w:rPr>
            </w:pPr>
          </w:p>
        </w:tc>
      </w:tr>
      <w:tr>
        <w:trPr>
          <w:trHeight w:val="202"/>
        </w:trPr>
        <w:tc>
          <w:tcPr>
            <w:tcW w:w="3340" w:type="dxa"/>
            <w:vAlign w:val="bottom"/>
          </w:tcPr>
          <w:p>
            <w:pPr>
              <w:spacing w:after="0" w:line="202" w:lineRule="exact"/>
              <w:rPr>
                <w:sz w:val="20"/>
                <w:szCs w:val="20"/>
                <w:color w:val="auto"/>
              </w:rPr>
            </w:pPr>
            <w:r>
              <w:rPr>
                <w:rFonts w:ascii="Arial" w:cs="Arial" w:eastAsia="Arial" w:hAnsi="Arial"/>
                <w:sz w:val="18"/>
                <w:szCs w:val="18"/>
                <w:b w:val="1"/>
                <w:bCs w:val="1"/>
                <w:color w:val="auto"/>
              </w:rPr>
              <w:t>Interested Director</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340" w:type="dxa"/>
            <w:vAlign w:val="bottom"/>
          </w:tcPr>
          <w:p>
            <w:pPr>
              <w:spacing w:after="0"/>
              <w:rPr>
                <w:sz w:val="20"/>
                <w:szCs w:val="20"/>
                <w:color w:val="auto"/>
              </w:rPr>
            </w:pPr>
            <w:r>
              <w:rPr>
                <w:rFonts w:ascii="Arial" w:cs="Arial" w:eastAsia="Arial" w:hAnsi="Arial"/>
                <w:sz w:val="18"/>
                <w:szCs w:val="18"/>
                <w:color w:val="auto"/>
              </w:rPr>
              <w:t>Arthur H. Penn (44)</w:t>
            </w:r>
            <w:r>
              <w:rPr>
                <w:rFonts w:ascii="Arial" w:cs="Arial" w:eastAsia="Arial" w:hAnsi="Arial"/>
                <w:sz w:val="22"/>
                <w:szCs w:val="22"/>
                <w:color w:val="auto"/>
                <w:vertAlign w:val="superscript"/>
              </w:rPr>
              <w:t>(3)</w:t>
            </w:r>
          </w:p>
        </w:tc>
        <w:tc>
          <w:tcPr>
            <w:tcW w:w="1820" w:type="dxa"/>
            <w:vAlign w:val="bottom"/>
            <w:gridSpan w:val="2"/>
          </w:tcPr>
          <w:p>
            <w:pPr>
              <w:ind w:left="120"/>
              <w:spacing w:after="0"/>
              <w:rPr>
                <w:sz w:val="20"/>
                <w:szCs w:val="20"/>
                <w:color w:val="auto"/>
              </w:rPr>
            </w:pPr>
            <w:r>
              <w:rPr>
                <w:rFonts w:ascii="Arial" w:cs="Arial" w:eastAsia="Arial" w:hAnsi="Arial"/>
                <w:sz w:val="18"/>
                <w:szCs w:val="18"/>
                <w:color w:val="auto"/>
                <w:w w:val="91"/>
              </w:rPr>
              <w:t>Chief Executive Officer</w:t>
            </w:r>
          </w:p>
        </w:tc>
        <w:tc>
          <w:tcPr>
            <w:tcW w:w="12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Class III Director</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95"/>
              </w:rPr>
              <w:t>Chief executive officer of PennantPark</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color w:val="auto"/>
              </w:rPr>
              <w:t>and Chairman of the</w:t>
            </w: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w w:val="93"/>
              </w:rPr>
              <w:t>since February 2007;</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88"/>
              </w:rPr>
              <w:t>Investment Corporation since inception in</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color w:val="auto"/>
              </w:rPr>
              <w:t>Board of Directors</w:t>
            </w:r>
          </w:p>
        </w:tc>
        <w:tc>
          <w:tcPr>
            <w:tcW w:w="1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Term Expires 2010</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89"/>
              </w:rPr>
              <w:t>2007. Founder and Managing Member of</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92"/>
              </w:rPr>
              <w:t>PennantPark Investment Advisers, LLC</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96"/>
              </w:rPr>
              <w:t>since inception in 2007. Co-founder of</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93"/>
              </w:rPr>
              <w:t>Apollo Investment Management, where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89"/>
              </w:rPr>
              <w:t>he was a Managing Partner from 2004 to</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89"/>
              </w:rPr>
              <w:t>2007. He also served as Chief Operating</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91"/>
              </w:rPr>
              <w:t>Officer of Apollo Investment Corporation</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from inception in 2004 to 2006 and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89"/>
              </w:rPr>
              <w:t>served as President and Chief Operating</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Officer in 2006. He was formerly a</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92"/>
              </w:rPr>
              <w:t>Managing Partner of Apollo Value Fund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L.P. (formerly Apollo Distressed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Investment Fund, L.P.) from 2003 to</w:t>
            </w: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46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Other</w:t>
      </w:r>
    </w:p>
    <w:p>
      <w:pPr>
        <w:jc w:val="center"/>
        <w:ind w:right="200"/>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Held by Director</w:t>
      </w:r>
    </w:p>
    <w:p>
      <w:pPr>
        <w:spacing w:after="0" w:line="11"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or Nominee for</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Director</w:t>
      </w:r>
      <w:r>
        <w:rPr>
          <w:rFonts w:ascii="Arial" w:cs="Arial" w:eastAsia="Arial" w:hAnsi="Arial"/>
          <w:sz w:val="22"/>
          <w:szCs w:val="22"/>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-36195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934" w:lineRule="exact"/>
        <w:rPr>
          <w:sz w:val="20"/>
          <w:szCs w:val="20"/>
          <w:color w:val="auto"/>
        </w:rPr>
      </w:pPr>
    </w:p>
    <w:p>
      <w:pPr>
        <w:sectPr>
          <w:pgSz w:w="11900" w:h="16838" w:orient="portrait"/>
          <w:cols w:equalWidth="0" w:num="2">
            <w:col w:w="9940" w:space="320"/>
            <w:col w:w="1160"/>
          </w:cols>
          <w:pgMar w:left="240" w:top="280" w:right="239" w:bottom="1440" w:gutter="0" w:footer="0" w:header="0"/>
          <w:type w:val="continuous"/>
        </w:sectPr>
      </w:pPr>
    </w:p>
    <w:p>
      <w:pPr>
        <w:spacing w:after="0" w:line="226" w:lineRule="exact"/>
        <w:rPr>
          <w:sz w:val="20"/>
          <w:szCs w:val="20"/>
          <w:color w:val="auto"/>
        </w:rPr>
      </w:pPr>
    </w:p>
    <w:p>
      <w:pPr>
        <w:ind w:left="460" w:right="100" w:hanging="452"/>
        <w:spacing w:after="0" w:line="21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the director nominees and other directors is c/o PennantPark Investment Corporation,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PennantPark Investment Advisers, LLC.</w:t>
      </w:r>
    </w:p>
    <w:p>
      <w:pPr>
        <w:spacing w:after="0" w:line="3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90" w:lineRule="exact"/>
        <w:rPr>
          <w:sz w:val="20"/>
          <w:szCs w:val="20"/>
          <w:color w:val="auto"/>
        </w:rPr>
      </w:pPr>
    </w:p>
    <w:p>
      <w:pPr>
        <w:ind w:left="488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NASDAQ rules require listed companies to have a board of directors with at least a majority of independent directors. Under NASDAQ rules, in order for a director to be deemed independent, our Board must determine that the individual does not have a relationship that would interfere with the director’s exercise of independent judgment in carrying out his or her responsibilities. On an annual basis, each member of our Board is required to complete an independence questionnaire designed to provide information to assist the Board in determining whether the director is independent under NASDAQ rules and our corporate governance guidelines. Our Board has determined that each of our directors, other than Mr. Penn, is independent under the listing standards of the NASDAQ Global Select Market. The Board limits membership on the Audit Committee and the Nominating and Corporate Governance Committee to independent directors.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type w:val="continuous"/>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Committees of the Board of Directors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Board of Directors has established an Audit Committee and a Nominating and Corporate Governance Committee. For the fiscal year ended September 30, 2007, the Board of Directors of the Company held six board meetings, three Audit Committee meetings and one Nominating and Corporate Governance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annual meeting of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Global Market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The Company’s Board of Directors has determined that Mr. Flug is our “Audit Committee financial expert” as that term is defined under Item 401 of Regulation S-K under the Securities Exchange Act of 1934, as amended (the “Exchange Act”). The Audit Committee Charter is available on the Company’s website (</w:t>
      </w:r>
      <w:r>
        <w:rPr>
          <w:rFonts w:ascii="Arial" w:cs="Arial" w:eastAsia="Arial" w:hAnsi="Arial"/>
          <w:sz w:val="16"/>
          <w:szCs w:val="16"/>
          <w:i w:val="1"/>
          <w:iCs w:val="1"/>
          <w:color w:val="auto"/>
        </w:rPr>
        <w:t>http://www.pennantpark.com</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members of the Nominating and Corporate Governance Committee are Messrs. Bernstein, Brozost, Flug and Katz, each of whom is independent for purposes of the 1940 Act and the corporate governance regulations of The NASDAQ Global Market.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the Company’s website (</w:t>
      </w:r>
      <w:r>
        <w:rPr>
          <w:rFonts w:ascii="Arial" w:cs="Arial" w:eastAsia="Arial" w:hAnsi="Arial"/>
          <w:sz w:val="18"/>
          <w:szCs w:val="18"/>
          <w:i w:val="1"/>
          <w:iCs w:val="1"/>
          <w:color w:val="auto"/>
        </w:rPr>
        <w:t>http://www.pennantpark.com</w:t>
      </w:r>
      <w:r>
        <w:rPr>
          <w:rFonts w:ascii="Arial" w:cs="Arial" w:eastAsia="Arial" w:hAnsi="Arial"/>
          <w:sz w:val="18"/>
          <w:szCs w:val="18"/>
          <w:color w:val="auto"/>
        </w:rPr>
        <w:t>).</w:t>
      </w:r>
    </w:p>
    <w:p>
      <w:pPr>
        <w:spacing w:after="0" w:line="14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shares of the Company’s common stock owned, if any; and, a written consent of the individual to stand for election if nominated by the Board of Directors and to serve if elected by the stockholders.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Listing Standards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also may consider such other factors as it may deem are in the best interests of the Company and its stockholders. The Board of Directors also believes it is appropriate for a key member of the Company’s management to participate as a member of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Stockholders with questions about the Company are encouraged to contact PennantPark Investment Corporation’s Investor Relations Department. However, if stockholders believe that their questions have not been addressed, they may communicate with the Company’s Board of Directors by sending their communications to Thomas Friedmann, Secretary, c/o PennantPark Investment Corporation, 590 Madison Avenue, 15th Floor, New York, New York 10022. All stockholder communications received in this manner will be delivered to one or more members of the Board of Directors.</w:t>
      </w:r>
    </w:p>
    <w:p>
      <w:pPr>
        <w:spacing w:after="0" w:line="275" w:lineRule="exact"/>
        <w:rPr>
          <w:sz w:val="20"/>
          <w:szCs w:val="20"/>
          <w:color w:val="auto"/>
        </w:rPr>
      </w:pPr>
    </w:p>
    <w:p>
      <w:pPr>
        <w:ind w:left="3500"/>
        <w:spacing w:after="0"/>
        <w:rPr>
          <w:sz w:val="20"/>
          <w:szCs w:val="20"/>
          <w:color w:val="auto"/>
        </w:rPr>
      </w:pPr>
      <w:r>
        <w:rPr>
          <w:rFonts w:ascii="Arial" w:cs="Arial" w:eastAsia="Arial" w:hAnsi="Arial"/>
          <w:sz w:val="18"/>
          <w:szCs w:val="18"/>
          <w:b w:val="1"/>
          <w:bCs w:val="1"/>
          <w:i w:val="1"/>
          <w:iCs w:val="1"/>
          <w:color w:val="auto"/>
        </w:rPr>
        <w:t>Information about Executive Officers Who Are Not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officers who are not directors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22"/>
                <w:szCs w:val="22"/>
                <w:b w:val="1"/>
                <w:bCs w:val="1"/>
                <w:color w:val="auto"/>
                <w:vertAlign w:val="superscript"/>
              </w:rPr>
              <w:t>(1)</w:t>
            </w:r>
          </w:p>
        </w:tc>
        <w:tc>
          <w:tcPr>
            <w:tcW w:w="12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Position(s) held with</w:t>
            </w:r>
          </w:p>
        </w:tc>
        <w:tc>
          <w:tcPr>
            <w:tcW w:w="1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4"/>
                <w:szCs w:val="14"/>
                <w:color w:val="auto"/>
              </w:rPr>
            </w:pPr>
          </w:p>
        </w:tc>
        <w:tc>
          <w:tcPr>
            <w:tcW w:w="6720" w:type="dxa"/>
            <w:vAlign w:val="bottom"/>
          </w:tcPr>
          <w:p>
            <w:pPr>
              <w:ind w:left="196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 (43)</w:t>
            </w:r>
          </w:p>
        </w:tc>
        <w:tc>
          <w:tcPr>
            <w:tcW w:w="12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CCEEFF"/>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Chief Financial Officer and Treasurer of PennantPark Investment Corporation since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and Treasurer</w:t>
            </w:r>
          </w:p>
        </w:tc>
        <w:tc>
          <w:tcPr>
            <w:tcW w:w="1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0"/>
              </w:rPr>
              <w:t>in 2007. Managing Director of PennantPark Investment Administration, LLC since inception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1"/>
              </w:rPr>
              <w:t>2007. A Director at BlackRock, Inc. where he was responsible for a variety of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87"/>
              </w:rPr>
              <w:t>operational, and financial aspects of closed-end and open-end registered investment companies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from 1997 to 2007 .</w:t>
            </w: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Matthew Hardin (46)</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Chief Compliance</w:t>
            </w:r>
          </w:p>
        </w:tc>
        <w:tc>
          <w:tcPr>
            <w:tcW w:w="1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1"/>
              </w:rPr>
              <w:t>Chief Compliance Officer of PennantPark Investment Corporation since 2007. Chief Broker-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Officer</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8"/>
              </w:rPr>
              <w:t>Dealer Counsel at the PNC Financial Services Group, Inc., responsible for Registered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0"/>
              </w:rPr>
              <w:t>Investment Advisers, regulatory examinations and compliance oversights from 1999 to 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46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84" w:lineRule="exact"/>
        <w:rPr>
          <w:sz w:val="20"/>
          <w:szCs w:val="20"/>
          <w:color w:val="auto"/>
        </w:rPr>
      </w:pPr>
    </w:p>
    <w:p>
      <w:pPr>
        <w:jc w:val="center"/>
        <w:ind w:left="5680" w:right="100" w:hanging="5672"/>
        <w:spacing w:after="0" w:line="440" w:lineRule="auto"/>
        <w:tabs>
          <w:tab w:leader="none" w:pos="4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each executive officer is c/o PennantPark Investment Corporation, 590 Madison Avenue, 15th Floor, New York, New York 10022. 9</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Code of Conduct and Code of Ethics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 which is posted on the Company’s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 The Code of Conduct applies to the Company’s executive officers and directors.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As required by the 1940 Act, we also maintain a Joint Code of Ethics with PennantPark Investment Advisers, LLC that establishes procedures that apply to our Chief Executive Officer and our Chief Financial Officer and the employees of PennantPark Investment Advisers, LLC with respect to their personal investments and investment transactions. Our Joint Code of Ethics generally does not permit investments by our directors, officers or any other covered person in securities that may be purchased or held by us. We filed our Joint Code of Ethics as Exhibit 14.1 to our Annual Report on Form 10-K, filed with the SEC on December 13, 2007, and you may access it via the Internet site of the SEC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and our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 We intend to disclose any amendments to or waivers of required provisions of our Code of Conduct or the Joint Code of Ethics on Form 8-K.</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Officers</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2007. No compensation is paid by us to any interested director or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Pension or retirement</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83"/>
              </w:rPr>
              <w:t>Aggregate compensation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benefits accrued as part</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4"/>
                <w:szCs w:val="14"/>
                <w:b w:val="1"/>
                <w:bCs w:val="1"/>
                <w:color w:val="auto"/>
                <w:w w:val="86"/>
              </w:rPr>
              <w:t>Total paid to</w:t>
            </w:r>
          </w:p>
        </w:tc>
      </w:tr>
      <w:tr>
        <w:trPr>
          <w:trHeight w:val="169"/>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from the Company</w:t>
            </w:r>
          </w:p>
        </w:tc>
        <w:tc>
          <w:tcPr>
            <w:tcW w:w="13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5"/>
              </w:rPr>
              <w:t>of our expense</w:t>
            </w:r>
            <w:r>
              <w:rPr>
                <w:rFonts w:ascii="Arial" w:cs="Arial" w:eastAsia="Arial" w:hAnsi="Arial"/>
                <w:sz w:val="18"/>
                <w:szCs w:val="18"/>
                <w:b w:val="1"/>
                <w:bCs w:val="1"/>
                <w:color w:val="auto"/>
                <w:w w:val="95"/>
                <w:vertAlign w:val="superscript"/>
              </w:rPr>
              <w:t>(1)</w:t>
            </w:r>
          </w:p>
        </w:tc>
        <w:tc>
          <w:tcPr>
            <w:tcW w:w="1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director / officer</w:t>
            </w:r>
          </w:p>
        </w:tc>
      </w:tr>
      <w:tr>
        <w:trPr>
          <w:trHeight w:val="216"/>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Adam K. Bernstein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1120"/>
              <w:spacing w:after="0"/>
              <w:rPr>
                <w:sz w:val="20"/>
                <w:szCs w:val="20"/>
                <w:color w:val="auto"/>
              </w:rPr>
            </w:pPr>
            <w:r>
              <w:rPr>
                <w:rFonts w:ascii="Arial" w:cs="Arial" w:eastAsia="Arial" w:hAnsi="Arial"/>
                <w:sz w:val="18"/>
                <w:szCs w:val="18"/>
                <w:color w:val="auto"/>
              </w:rPr>
              <w:t>29,375</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29,375</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29,375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29,375</w:t>
            </w: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Jeffrey Flug</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jc w:val="right"/>
              <w:ind w:right="1120"/>
              <w:spacing w:after="0"/>
              <w:rPr>
                <w:sz w:val="20"/>
                <w:szCs w:val="20"/>
                <w:color w:val="auto"/>
              </w:rPr>
            </w:pPr>
            <w:r>
              <w:rPr>
                <w:rFonts w:ascii="Arial" w:cs="Arial" w:eastAsia="Arial" w:hAnsi="Arial"/>
                <w:sz w:val="18"/>
                <w:szCs w:val="18"/>
                <w:color w:val="auto"/>
              </w:rPr>
              <w:t>30,625</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30,625</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28,750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r>
    </w:tbl>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7"/>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Arthur H. Penn</w:t>
            </w:r>
          </w:p>
        </w:tc>
        <w:tc>
          <w:tcPr>
            <w:tcW w:w="364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None</w:t>
            </w:r>
          </w:p>
        </w:tc>
        <w:tc>
          <w:tcPr>
            <w:tcW w:w="2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None</w:t>
            </w:r>
          </w:p>
        </w:tc>
      </w:tr>
      <w:tr>
        <w:trPr>
          <w:trHeight w:val="283"/>
        </w:trPr>
        <w:tc>
          <w:tcPr>
            <w:tcW w:w="382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3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7"/>
        </w:trPr>
        <w:tc>
          <w:tcPr>
            <w:tcW w:w="382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Aviv Eftrat</w:t>
            </w:r>
            <w:r>
              <w:rPr>
                <w:rFonts w:ascii="Arial" w:cs="Arial" w:eastAsia="Arial" w:hAnsi="Arial"/>
                <w:sz w:val="22"/>
                <w:szCs w:val="22"/>
                <w:color w:val="auto"/>
                <w:vertAlign w:val="superscript"/>
              </w:rPr>
              <w:t>(2)</w:t>
            </w:r>
          </w:p>
        </w:tc>
        <w:tc>
          <w:tcPr>
            <w:tcW w:w="364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None</w:t>
            </w:r>
          </w:p>
        </w:tc>
        <w:tc>
          <w:tcPr>
            <w:tcW w:w="2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None</w:t>
            </w:r>
          </w:p>
        </w:tc>
      </w:tr>
      <w:tr>
        <w:trPr>
          <w:trHeight w:val="222"/>
        </w:trPr>
        <w:tc>
          <w:tcPr>
            <w:tcW w:w="3820" w:type="dxa"/>
            <w:vAlign w:val="bottom"/>
          </w:tcPr>
          <w:p>
            <w:pPr>
              <w:ind w:left="440"/>
              <w:spacing w:after="0"/>
              <w:rPr>
                <w:sz w:val="20"/>
                <w:szCs w:val="20"/>
                <w:color w:val="auto"/>
              </w:rPr>
            </w:pPr>
            <w:r>
              <w:rPr>
                <w:rFonts w:ascii="Arial" w:cs="Arial" w:eastAsia="Arial" w:hAnsi="Arial"/>
                <w:sz w:val="18"/>
                <w:szCs w:val="18"/>
                <w:color w:val="auto"/>
              </w:rPr>
              <w:t>Matthew Hardin</w:t>
            </w:r>
          </w:p>
        </w:tc>
        <w:tc>
          <w:tcPr>
            <w:tcW w:w="3640" w:type="dxa"/>
            <w:vAlign w:val="bottom"/>
          </w:tcPr>
          <w:p>
            <w:pPr>
              <w:ind w:left="2240"/>
              <w:spacing w:after="0"/>
              <w:rPr>
                <w:sz w:val="20"/>
                <w:szCs w:val="20"/>
                <w:color w:val="auto"/>
              </w:rPr>
            </w:pPr>
            <w:r>
              <w:rPr>
                <w:rFonts w:ascii="Arial" w:cs="Arial" w:eastAsia="Arial" w:hAnsi="Arial"/>
                <w:sz w:val="18"/>
                <w:szCs w:val="18"/>
                <w:color w:val="auto"/>
              </w:rPr>
              <w:t>None</w:t>
            </w:r>
          </w:p>
        </w:tc>
        <w:tc>
          <w:tcPr>
            <w:tcW w:w="2380" w:type="dxa"/>
            <w:vAlign w:val="bottom"/>
          </w:tcPr>
          <w:p>
            <w:pPr>
              <w:ind w:left="1020"/>
              <w:spacing w:after="0"/>
              <w:rPr>
                <w:sz w:val="20"/>
                <w:szCs w:val="20"/>
                <w:color w:val="auto"/>
              </w:rPr>
            </w:pPr>
            <w:r>
              <w:rPr>
                <w:rFonts w:ascii="Arial" w:cs="Arial" w:eastAsia="Arial" w:hAnsi="Arial"/>
                <w:sz w:val="18"/>
                <w:szCs w:val="18"/>
                <w:color w:val="auto"/>
              </w:rPr>
              <w:t>None</w:t>
            </w:r>
          </w:p>
        </w:tc>
        <w:tc>
          <w:tcPr>
            <w:tcW w:w="1580" w:type="dxa"/>
            <w:vAlign w:val="bottom"/>
          </w:tcPr>
          <w:p>
            <w:pPr>
              <w:ind w:left="10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Independent directors each receives an annual fee of $75,000.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their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r>
        <w:rPr>
          <w:rFonts w:ascii="Arial" w:cs="Arial" w:eastAsia="Arial" w:hAnsi="Arial"/>
          <w:sz w:val="22"/>
          <w:szCs w:val="22"/>
          <w:b w:val="1"/>
          <w:bCs w:val="1"/>
          <w:i w:val="1"/>
          <w:iCs w:val="1"/>
          <w:color w:val="auto"/>
          <w:vertAlign w:val="superscript"/>
        </w:rPr>
        <w:t>(1)</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the fiscal year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KPMG LLP (KPMG), the Company’s independent registered public accounting firm, with and without management present. The Audit Committee included in its review results of KPMG’s examinations,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Audit Committee also has discussed with KPMG matters relating to KPMG’s judgments about the quality, as well as the acceptability, of the Company’s accounting principles as applied in its financial reporting as required by Statement of Auditing Standards No. 114 (Auditor’s Communication With Those Charged With Governance). In addition, the Audit Committee has discussed with KPMG their independence from management and the Company, as well as the matters in the written disclosures received from KPMG and required by Independence Standards Board Standard No. 1 (Independence Discussions with Audit Committees). The Audit Committee received a letter from KPMG confirming their independence and discussed it with them. The Audit Committee discussed and reviewed with KPMG the Company’s critical accounting policies and practices, internal controls, other material written communications to management, and the scope of KPMG’s audits and all fees paid to KPMG during the fiscal year. The Audit Committee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2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of Directors (and the Board has approved) that the Company’s audited financial statements be included in the Company’s Annual Report on Form 10-K for the fiscal year ended September 30, 2007 for filing with the SEC. In addition, the Audit Committee has engaged KPMG to serve as the Company’s independent registered public accounting firm for the fiscal year ending September 30, 2008, and has directed that the selection of KPMG should be submitted to the Company’s stockholders for ratification.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12, 2007</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Marshall Brozost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46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61" w:lineRule="exact"/>
        <w:rPr>
          <w:sz w:val="20"/>
          <w:szCs w:val="20"/>
          <w:color w:val="auto"/>
        </w:rPr>
      </w:pPr>
    </w:p>
    <w:p>
      <w:pPr>
        <w:ind w:left="460" w:right="2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or the Securities Exchange Act of 1934, whether made before or after the date hereof and irrespective of any general incorporation language in any such filing.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0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Party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Affiliated Persons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activities are managed by PennantPark Investment Advisers, LLC (the “Investment Adviser” or “PennantPark Investment Advisers”) and supervised by our Board, a majority of whose directors are independent of our Investment Adviser and us. We have entered into an investment advisory and management agreement (the “Investment Management Agreement”) with PennantPark Investment Advisers. Under our Investment Management Agreement, we have agreed to pay our Investment Adviser an annual management fee based on our adjusted gross assets as well as an incentive fee based on our investment performance. Arthur H. Penn, our Chief Executive Officer, is the Managing Member of PennantPark Investment Advisers.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also entered into an administration agreement (the “Administration Agreement”) with PennantPark Investment Administration, LLC (the “Administrator” or “PennantPark Investment Administration”).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Aviv Efrat, our Chief Financial Officer, is the Managing Director of PennantPark Investment Administration.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Investment Advisers has agreed to grant us a non-exclusive, royalty-free license to use the name “PennantPark.”</w:t>
      </w:r>
    </w:p>
    <w:p>
      <w:pPr>
        <w:spacing w:after="0" w:line="17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In addition, pursuant to the terms of the Administration Agreement, PennantPark Investment Administration provides us with the office facilities and administrative services necessary to conduct our day-to-day operations. PennantPark Investment Advisers is the sole member of and controls PennantPark Investment Administration.</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Audit Committee, in consultation with the Company’s Chief Executive Officer, Chief Compliance Officer, and legal counsel, has established a written policy to govern the review of potential related party transactions. The Audit committee conducts quarterly reviews of any potential related party transactions and during these reviews, it also considers any conflicts of interest brought to its attention pursuant to the Company’s Code of Conduct or Code of Ethics.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Pursuant to Section 16(a) of the Exchange Act, the Company’s directors and executive officers, and any persons holding more than 10% of its common stock, are required to report their beneficial ownership and any changes therein to the SEC and the Company. Specific due dates for those reports have been established, and the Company is required to report herein any failure to file such reports by those due dates. Based on the Company’s review of Forms 3, 4 and 5 filed by such persons and information provided by the Company’s directors and officers, the Company believes that during the fiscal year ended September 30, 2007, all Section 16(a) filing requirements applicable to such persons were met in a timely manner.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II: RATIFICATION OF</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SELECTION OF INDEPENDENT REGISTERED PUBLIC ACCOUNTING FIRM</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KPMG LLP (“KPMG”) has been selected as the independent registered public accounting firm to audit the financial statements of the Company at and during the Company’s fiscal year ending September 30, 2008. KPMG was selected by the Audit Committee of the Company and that selection was ratified by a majority of the Company’s Board, including all of the independent directors, by a vote cast in person. The Company does not know of any direct or indirect financial interest of KPMG in the Company. Representative(s) of KPMG will attend the Annual Meeting and will have the opportunity to make a statement if they desire to do so and will be available to answer questions.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by KPMG in connection with statutory and regulatory filings. Fees incurred during the fiscal year ended September 30, 2007 by the Company were $175,000.</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 Audit-related fees incurred by the Company during the fiscal year ended September 30, 2007 were $50,000.</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tax compliance. Tax fees incurred by the Company during the fiscal year ended September 30, 2007 were $89,000, which represented work related to our regulated investment company qualification and excise tax distribution requirements.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for products and services other than the services reported above of which there were none in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2007.</w:t>
      </w:r>
    </w:p>
    <w:p>
      <w:pPr>
        <w:spacing w:after="0" w:line="132"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the Company’s independent auditor. The policy requires that the Audit Committee pre-approve the audit and non-audit services performed by the independent auditor in order to assure that the provision of such service does not impair the auditor’s independence.</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Any requests for audit, audit-related, tax and other services that have not received general pre-approval must be submitted to the Audit Committee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10"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THE BOARD OF DIRECTORS UNANIMOUSLY RECOMMENDS THAT YOU VOTE FOR RATIFICATION OF KPMG LLP AS INDEPENDENT REGISTERED PUBLIC ACCOUNTING FIRM TO THE COMPANY FOR THE FISCAL YEAR ENDING SEPTEMBER 30, 2008.</w:t>
      </w: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OTHER BUSINESS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action at the Meeting. If any matters do come before the Meeting on which action can properly be taken, it is intended that the proxies shall vote in accordance with their judgment.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SUBMISSION OF STOCKHOLDER PROPOSALS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submission of a proposal does not guarantee its inclusion in the Company’s proxy statement or presentation at the Meeting unless certain securities law requirements are met. The Company expects that the 2009 Annual Meeting of Stockholders will be held in February 2009, but the exact date, time, and location of such meeting have yet to be determined. A stockholder who intends to present a proposal at that annual meeting, including nomination of a director, must submit the proposal in writing to the Company at its address in New York, New York, and the Company must receive the proposal no later than October 8, 2008, in order for the proposal to be considered for inclusion in the Company’s proxy statement for that meeting.</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Notices of intention to present proposals, including nomination of a director, at the 2009 annual meeting should be addressed to Thomas Friedmann, Secretary, c/o PennantPark Investment Corporation, 590 Madison Avenue, 15th Floor, New York, New York 10022 and should be received by the Company on or before October 11, 2008 and in accordance with the applicable provisions of the Company’s bylaws. The Company reserves the right to reject, rule out of order, or take other appropriate action with respect to any proposal that does not comply with these and other applicable requirements.</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Company’s Audit Committee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Company’s Chief Compliance Officer (“CCO”). Persons who are uncomfortable submitting complaints to the CCO, including complaints involving the CCO, may submit complaints directly to the Company’s Audit Committee Chair. Complaints may be submitted on an anonymous basis.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Mr. Matthew Hardin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Chair may be contacted at: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Mr. Jeffrey Flug</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You are cordially invited to attend the annual meeting of stockholders in person. Whether or not you plan to attend the meeting, you are requested to complete, date, sign and promptly return the accompanying proxy card in the enclosed postage-paid envelope or to vote by telephone or through the Internet.</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1414780" cy="428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11,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w:t>
      </w:r>
    </w:p>
    <w:p>
      <w:pPr>
        <w:spacing w:after="0" w:line="15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ANNUAL MEETING OF STOCKHOLDERS to be held at</w:t>
      </w:r>
    </w:p>
    <w:p>
      <w:pPr>
        <w:spacing w:after="0" w:line="17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St. Regis Hotel, 2 East 55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8, 2008</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undersigned hereby appoints Adam Bernstein and Jeffrey Flug, or either one of them, and each with full power of substitution, to act as attorneys and proxies for the undersigned to vote all the shares of Common Stock of PennantPark Investment Corporation (the “Company”) which the undersigned is entitled to vote at the Annual Meeting of Stockholders of the Company to be held at St. Regis Hotel, 2 East 55 Street, New York New York on February 8, 2008 at 9:30 a.m., Eastern Time, and at all adjournments thereof, as indicated on this proxy.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14475 </w:t>
      </w:r>
      <w:r>
        <w:rPr>
          <w:sz w:val="1"/>
          <w:szCs w:val="1"/>
          <w:color w:val="auto"/>
        </w:rPr>
        <w:drawing>
          <wp:inline distT="0" distB="0" distL="0" distR="0">
            <wp:extent cx="137160" cy="137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2146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630" cy="13716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ind w:left="38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STOCKHOLDERS OF</w:t>
      </w:r>
    </w:p>
    <w:p>
      <w:pPr>
        <w:spacing w:after="0" w:line="19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PENNANTPARK INVESTMENT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64135</wp:posOffset>
            </wp:positionV>
            <wp:extent cx="2173605" cy="158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73605" cy="15875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20"/>
          </w:cols>
          <w:pgMar w:left="240" w:top="274" w:right="239" w:bottom="1440" w:gutter="0" w:footer="0" w:header="0"/>
        </w:sect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MAIL</w:t>
      </w:r>
      <w:r>
        <w:rPr>
          <w:rFonts w:ascii="Arial" w:cs="Arial" w:eastAsia="Arial" w:hAnsi="Arial"/>
          <w:sz w:val="12"/>
          <w:szCs w:val="12"/>
          <w:b w:val="1"/>
          <w:bCs w:val="1"/>
          <w:color w:val="auto"/>
        </w:rPr>
        <w:t xml:space="preserve"> - </w:t>
      </w:r>
      <w:r>
        <w:rPr>
          <w:rFonts w:ascii="Arial" w:cs="Arial" w:eastAsia="Arial" w:hAnsi="Arial"/>
          <w:sz w:val="12"/>
          <w:szCs w:val="12"/>
          <w:color w:val="auto"/>
        </w:rPr>
        <w:t>Date, sign and mail your proxy card in the envelope provided as soon as possible.</w:t>
      </w:r>
    </w:p>
    <w:p>
      <w:pPr>
        <w:spacing w:after="0" w:line="12"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 OR -</w:t>
      </w:r>
    </w:p>
    <w:p>
      <w:pPr>
        <w:ind w:left="20"/>
        <w:spacing w:after="0" w:line="221" w:lineRule="auto"/>
        <w:rPr>
          <w:sz w:val="20"/>
          <w:szCs w:val="20"/>
          <w:color w:val="auto"/>
        </w:rPr>
      </w:pPr>
      <w:r>
        <w:rPr>
          <w:rFonts w:ascii="Arial" w:cs="Arial" w:eastAsia="Arial" w:hAnsi="Arial"/>
          <w:sz w:val="14"/>
          <w:szCs w:val="14"/>
          <w:b w:val="1"/>
          <w:bCs w:val="1"/>
          <w:u w:val="single" w:color="auto"/>
          <w:color w:val="auto"/>
        </w:rPr>
        <w:t>TELEPHONE</w:t>
      </w:r>
      <w:r>
        <w:rPr>
          <w:rFonts w:ascii="Arial" w:cs="Arial" w:eastAsia="Arial" w:hAnsi="Arial"/>
          <w:sz w:val="14"/>
          <w:szCs w:val="14"/>
          <w:b w:val="1"/>
          <w:bCs w:val="1"/>
          <w:color w:val="auto"/>
        </w:rPr>
        <w:t xml:space="preserve"> - </w:t>
      </w:r>
      <w:r>
        <w:rPr>
          <w:rFonts w:ascii="Arial" w:cs="Arial" w:eastAsia="Arial" w:hAnsi="Arial"/>
          <w:sz w:val="14"/>
          <w:szCs w:val="14"/>
          <w:color w:val="auto"/>
        </w:rPr>
        <w:t>Call toll-free</w:t>
      </w:r>
      <w:r>
        <w:rPr>
          <w:rFonts w:ascii="Arial" w:cs="Arial" w:eastAsia="Arial" w:hAnsi="Arial"/>
          <w:sz w:val="14"/>
          <w:szCs w:val="14"/>
          <w:b w:val="1"/>
          <w:bCs w:val="1"/>
          <w:color w:val="auto"/>
        </w:rPr>
        <w:t xml:space="preserve"> 1-800-PROXIES </w:t>
      </w:r>
      <w:r>
        <w:rPr>
          <w:rFonts w:ascii="Arial" w:cs="Arial" w:eastAsia="Arial" w:hAnsi="Arial"/>
          <w:sz w:val="14"/>
          <w:szCs w:val="14"/>
          <w:color w:val="auto"/>
        </w:rPr>
        <w:t>(1-800-776-9437) in the</w:t>
      </w:r>
    </w:p>
    <w:p>
      <w:pPr>
        <w:ind w:left="20"/>
        <w:spacing w:after="0" w:line="221" w:lineRule="auto"/>
        <w:rPr>
          <w:sz w:val="20"/>
          <w:szCs w:val="20"/>
          <w:color w:val="auto"/>
        </w:rPr>
      </w:pPr>
      <w:r>
        <w:rPr>
          <w:rFonts w:ascii="Arial" w:cs="Arial" w:eastAsia="Arial" w:hAnsi="Arial"/>
          <w:sz w:val="14"/>
          <w:szCs w:val="14"/>
          <w:color w:val="auto"/>
        </w:rPr>
        <w:t xml:space="preserve">United States or </w:t>
      </w:r>
      <w:r>
        <w:rPr>
          <w:rFonts w:ascii="Arial" w:cs="Arial" w:eastAsia="Arial" w:hAnsi="Arial"/>
          <w:sz w:val="14"/>
          <w:szCs w:val="14"/>
          <w:b w:val="1"/>
          <w:bCs w:val="1"/>
          <w:color w:val="auto"/>
        </w:rPr>
        <w:t>1-718-921-8500</w:t>
      </w:r>
      <w:r>
        <w:rPr>
          <w:rFonts w:ascii="Arial" w:cs="Arial" w:eastAsia="Arial" w:hAnsi="Arial"/>
          <w:sz w:val="14"/>
          <w:szCs w:val="14"/>
          <w:color w:val="auto"/>
        </w:rPr>
        <w:t xml:space="preserve"> from foreign countries and follow the</w:t>
      </w:r>
    </w:p>
    <w:p>
      <w:pPr>
        <w:ind w:left="20"/>
        <w:spacing w:after="0" w:line="222" w:lineRule="auto"/>
        <w:rPr>
          <w:sz w:val="20"/>
          <w:szCs w:val="20"/>
          <w:color w:val="auto"/>
        </w:rPr>
      </w:pPr>
      <w:r>
        <w:rPr>
          <w:rFonts w:ascii="Arial" w:cs="Arial" w:eastAsia="Arial" w:hAnsi="Arial"/>
          <w:sz w:val="14"/>
          <w:szCs w:val="14"/>
          <w:color w:val="auto"/>
        </w:rPr>
        <w:t>instructions. Have your proxy card available when you call.</w:t>
      </w:r>
    </w:p>
    <w:p>
      <w:pPr>
        <w:ind w:left="2580"/>
        <w:spacing w:after="0" w:line="219" w:lineRule="auto"/>
        <w:rPr>
          <w:sz w:val="20"/>
          <w:szCs w:val="20"/>
          <w:color w:val="auto"/>
        </w:rPr>
      </w:pPr>
      <w:r>
        <w:rPr>
          <w:rFonts w:ascii="Arial" w:cs="Arial" w:eastAsia="Arial" w:hAnsi="Arial"/>
          <w:sz w:val="14"/>
          <w:szCs w:val="14"/>
          <w:color w:val="auto"/>
        </w:rPr>
        <w:t>- OR -</w:t>
      </w:r>
    </w:p>
    <w:p>
      <w:pPr>
        <w:ind w:left="20" w:right="2060"/>
        <w:spacing w:after="0" w:line="260" w:lineRule="auto"/>
        <w:rPr>
          <w:sz w:val="20"/>
          <w:szCs w:val="20"/>
          <w:color w:val="auto"/>
        </w:rPr>
      </w:pPr>
      <w:r>
        <w:rPr>
          <w:rFonts w:ascii="Arial" w:cs="Arial" w:eastAsia="Arial" w:hAnsi="Arial"/>
          <w:sz w:val="12"/>
          <w:szCs w:val="12"/>
          <w:b w:val="1"/>
          <w:bCs w:val="1"/>
          <w:u w:val="single" w:color="auto"/>
          <w:color w:val="auto"/>
        </w:rPr>
        <w:t>INTERNET</w:t>
      </w:r>
      <w:r>
        <w:rPr>
          <w:rFonts w:ascii="Arial" w:cs="Arial" w:eastAsia="Arial" w:hAnsi="Arial"/>
          <w:sz w:val="12"/>
          <w:szCs w:val="12"/>
          <w:b w:val="1"/>
          <w:bCs w:val="1"/>
          <w:color w:val="auto"/>
        </w:rPr>
        <w:t xml:space="preserve"> - </w:t>
      </w:r>
      <w:r>
        <w:rPr>
          <w:rFonts w:ascii="Arial" w:cs="Arial" w:eastAsia="Arial" w:hAnsi="Arial"/>
          <w:sz w:val="12"/>
          <w:szCs w:val="12"/>
          <w:color w:val="auto"/>
        </w:rPr>
        <w:t>Access “</w:t>
      </w:r>
      <w:r>
        <w:rPr>
          <w:rFonts w:ascii="Arial" w:cs="Arial" w:eastAsia="Arial" w:hAnsi="Arial"/>
          <w:sz w:val="12"/>
          <w:szCs w:val="12"/>
          <w:b w:val="1"/>
          <w:bCs w:val="1"/>
          <w:color w:val="auto"/>
        </w:rPr>
        <w:t>www.voteproxy.com</w:t>
      </w:r>
      <w:r>
        <w:rPr>
          <w:rFonts w:ascii="Arial" w:cs="Arial" w:eastAsia="Arial" w:hAnsi="Arial"/>
          <w:sz w:val="12"/>
          <w:szCs w:val="12"/>
          <w:color w:val="auto"/>
        </w:rPr>
        <w:t>” and follow the on-screen</w:t>
      </w:r>
      <w:r>
        <w:rPr>
          <w:rFonts w:ascii="Arial" w:cs="Arial" w:eastAsia="Arial" w:hAnsi="Arial"/>
          <w:sz w:val="12"/>
          <w:szCs w:val="12"/>
          <w:b w:val="1"/>
          <w:bCs w:val="1"/>
          <w:color w:val="auto"/>
        </w:rPr>
        <w:t xml:space="preserve"> </w:t>
      </w:r>
      <w:r>
        <w:rPr>
          <w:rFonts w:ascii="Arial" w:cs="Arial" w:eastAsia="Arial" w:hAnsi="Arial"/>
          <w:sz w:val="12"/>
          <w:szCs w:val="12"/>
          <w:color w:val="auto"/>
        </w:rPr>
        <w:t>instructions. Have your proxy card available when you access the web page.</w:t>
      </w:r>
    </w:p>
    <w:p>
      <w:pPr>
        <w:ind w:left="2580"/>
        <w:spacing w:after="0" w:line="221" w:lineRule="auto"/>
        <w:rPr>
          <w:sz w:val="20"/>
          <w:szCs w:val="20"/>
          <w:color w:val="auto"/>
        </w:rPr>
      </w:pPr>
      <w:r>
        <w:rPr>
          <w:rFonts w:ascii="Arial" w:cs="Arial" w:eastAsia="Arial" w:hAnsi="Arial"/>
          <w:sz w:val="14"/>
          <w:szCs w:val="14"/>
          <w:color w:val="auto"/>
        </w:rPr>
        <w:t>- OR -</w:t>
      </w:r>
    </w:p>
    <w:p>
      <w:pPr>
        <w:ind w:left="20"/>
        <w:spacing w:after="0" w:line="221" w:lineRule="auto"/>
        <w:rPr>
          <w:sz w:val="20"/>
          <w:szCs w:val="20"/>
          <w:color w:val="auto"/>
        </w:rPr>
      </w:pPr>
      <w:r>
        <w:rPr>
          <w:rFonts w:ascii="Arial" w:cs="Arial" w:eastAsia="Arial" w:hAnsi="Arial"/>
          <w:sz w:val="14"/>
          <w:szCs w:val="14"/>
          <w:b w:val="1"/>
          <w:bCs w:val="1"/>
          <w:u w:val="single" w:color="auto"/>
          <w:color w:val="auto"/>
        </w:rPr>
        <w:t>IN PERSON</w:t>
      </w:r>
      <w:r>
        <w:rPr>
          <w:rFonts w:ascii="Arial" w:cs="Arial" w:eastAsia="Arial" w:hAnsi="Arial"/>
          <w:sz w:val="14"/>
          <w:szCs w:val="14"/>
          <w:b w:val="1"/>
          <w:bCs w:val="1"/>
          <w:color w:val="auto"/>
        </w:rPr>
        <w:t xml:space="preserve"> </w:t>
      </w:r>
      <w:r>
        <w:rPr>
          <w:rFonts w:ascii="Arial" w:cs="Arial" w:eastAsia="Arial" w:hAnsi="Arial"/>
          <w:sz w:val="14"/>
          <w:szCs w:val="14"/>
          <w:color w:val="auto"/>
        </w:rPr>
        <w:t>- You may vote your shares in person</w:t>
      </w:r>
    </w:p>
    <w:p>
      <w:pPr>
        <w:ind w:left="20"/>
        <w:spacing w:after="0"/>
        <w:rPr>
          <w:sz w:val="20"/>
          <w:szCs w:val="20"/>
          <w:color w:val="auto"/>
        </w:rPr>
      </w:pPr>
      <w:r>
        <w:rPr>
          <w:rFonts w:ascii="Arial" w:cs="Arial" w:eastAsia="Arial" w:hAnsi="Arial"/>
          <w:sz w:val="14"/>
          <w:szCs w:val="14"/>
          <w:color w:val="auto"/>
        </w:rPr>
        <w:t>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203835</wp:posOffset>
            </wp:positionV>
            <wp:extent cx="6667500" cy="295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7500" cy="295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-147320</wp:posOffset>
            </wp:positionV>
            <wp:extent cx="3473450" cy="651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65151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 NUMBER</w:t>
      </w:r>
    </w:p>
    <w:p>
      <w:pPr>
        <w:spacing w:after="0" w:line="817" w:lineRule="exact"/>
        <w:rPr>
          <w:sz w:val="20"/>
          <w:szCs w:val="20"/>
          <w:color w:val="auto"/>
        </w:rPr>
      </w:pPr>
    </w:p>
    <w:p>
      <w:pPr>
        <w:sectPr>
          <w:pgSz w:w="11900" w:h="16838" w:orient="portrait"/>
          <w:cols w:equalWidth="0" w:num="2">
            <w:col w:w="6200" w:space="720"/>
            <w:col w:w="4500"/>
          </w:cols>
          <w:pgMar w:left="240" w:top="274" w:right="239" w:bottom="1440" w:gutter="0" w:footer="0" w:header="0"/>
          <w:type w:val="continuous"/>
        </w:sectPr>
      </w:pPr>
    </w:p>
    <w:p>
      <w:pPr>
        <w:spacing w:after="0" w:line="130" w:lineRule="exact"/>
        <w:rPr>
          <w:sz w:val="20"/>
          <w:szCs w:val="20"/>
          <w:color w:val="auto"/>
        </w:rPr>
      </w:pPr>
    </w:p>
    <w:p>
      <w:pPr>
        <w:ind w:left="580" w:right="2060"/>
        <w:spacing w:after="0" w:line="289" w:lineRule="auto"/>
        <w:rPr>
          <w:sz w:val="20"/>
          <w:szCs w:val="20"/>
          <w:color w:val="auto"/>
        </w:rPr>
      </w:pPr>
      <w:r>
        <w:rPr>
          <w:rFonts w:ascii="Arial" w:cs="Arial" w:eastAsia="Arial" w:hAnsi="Arial"/>
          <w:sz w:val="16"/>
          <w:szCs w:val="16"/>
          <w:color w:val="auto"/>
        </w:rPr>
        <w:t>You may enter your voting instructions at 1-800-PROXIES in the United States or 1-718-921-8500 from foreign countries or www.voteproxy.com up until 11:59 PM Eastern Time the day before the cut-off or meeting date.</w:t>
      </w:r>
    </w:p>
    <w:p>
      <w:pPr>
        <w:ind w:left="2320"/>
        <w:spacing w:after="0"/>
        <w:rPr>
          <w:sz w:val="20"/>
          <w:szCs w:val="20"/>
          <w:color w:val="auto"/>
        </w:rPr>
      </w:pPr>
      <w:r>
        <w:rPr>
          <w:rFonts w:ascii="Arial" w:cs="Arial" w:eastAsia="Arial" w:hAnsi="Arial"/>
          <w:sz w:val="14"/>
          <w:szCs w:val="14"/>
          <w:color w:val="auto"/>
        </w:rPr>
        <w:t xml:space="preserve">ê Please detach along perforated line and mail in the envelope provided </w:t>
      </w:r>
      <w:r>
        <w:rPr>
          <w:rFonts w:ascii="Arial" w:cs="Arial" w:eastAsia="Arial" w:hAnsi="Arial"/>
          <w:sz w:val="14"/>
          <w:szCs w:val="14"/>
          <w:u w:val="single" w:color="auto"/>
          <w:color w:val="auto"/>
        </w:rPr>
        <w:t>IF</w:t>
      </w:r>
      <w:r>
        <w:rPr>
          <w:rFonts w:ascii="Arial" w:cs="Arial" w:eastAsia="Arial" w:hAnsi="Arial"/>
          <w:sz w:val="14"/>
          <w:szCs w:val="14"/>
          <w:color w:val="auto"/>
        </w:rPr>
        <w:t xml:space="preserve"> you are not voting via telephone or the Internet. ê</w:t>
      </w:r>
    </w:p>
    <w:p>
      <w:pPr>
        <w:spacing w:after="0" w:line="193" w:lineRule="exact"/>
        <w:rPr>
          <w:sz w:val="20"/>
          <w:szCs w:val="20"/>
          <w:color w:val="auto"/>
        </w:rPr>
      </w:pPr>
    </w:p>
    <w:p>
      <w:pPr>
        <w:ind w:left="600"/>
        <w:spacing w:after="0"/>
        <w:tabs>
          <w:tab w:leader="none" w:pos="7680" w:val="left"/>
        </w:tabs>
        <w:rPr>
          <w:sz w:val="20"/>
          <w:szCs w:val="20"/>
          <w:color w:val="auto"/>
        </w:rPr>
      </w:pPr>
      <w:r>
        <w:rPr>
          <w:rFonts w:ascii="Arial" w:cs="Arial" w:eastAsia="Arial" w:hAnsi="Arial"/>
          <w:sz w:val="18"/>
          <w:szCs w:val="18"/>
          <w:color w:val="auto"/>
        </w:rPr>
        <w:t>20230000000000000000 0</w:t>
      </w:r>
      <w:r>
        <w:rPr>
          <w:sz w:val="20"/>
          <w:szCs w:val="20"/>
          <w:color w:val="auto"/>
        </w:rPr>
        <w:tab/>
      </w:r>
      <w:r>
        <w:rPr>
          <w:rFonts w:ascii="Arial" w:cs="Arial" w:eastAsia="Arial" w:hAnsi="Arial"/>
          <w:sz w:val="16"/>
          <w:szCs w:val="16"/>
          <w:color w:val="auto"/>
        </w:rPr>
        <w:t>020808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86" w:lineRule="exact"/>
        <w:rPr>
          <w:sz w:val="20"/>
          <w:szCs w:val="20"/>
          <w:color w:val="auto"/>
        </w:rPr>
      </w:pPr>
    </w:p>
    <w:p>
      <w:pPr>
        <w:jc w:val="center"/>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p>
      <w:pPr>
        <w:spacing w:after="0" w:line="333" w:lineRule="exact"/>
        <w:rPr>
          <w:sz w:val="20"/>
          <w:szCs w:val="20"/>
          <w:color w:val="auto"/>
        </w:rPr>
      </w:pPr>
    </w:p>
    <w:p>
      <w:pPr>
        <w:ind w:left="800" w:right="20" w:hanging="792"/>
        <w:spacing w:after="0" w:line="318" w:lineRule="auto"/>
        <w:tabs>
          <w:tab w:leader="none" w:pos="8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To elect the following two persons (except as marked to the contrary) as Class I directors of PennantPark Investment Corporation, who will each serve for a term of three</w:t>
      </w:r>
    </w:p>
    <w:p>
      <w:pPr>
        <w:spacing w:after="0" w:line="79" w:lineRule="exact"/>
        <w:rPr>
          <w:rFonts w:ascii="Arial" w:cs="Arial" w:eastAsia="Arial" w:hAnsi="Arial"/>
          <w:sz w:val="12"/>
          <w:szCs w:val="12"/>
          <w:color w:val="auto"/>
        </w:rPr>
      </w:pPr>
    </w:p>
    <w:p>
      <w:pPr>
        <w:ind w:left="800"/>
        <w:spacing w:after="0"/>
        <w:rPr>
          <w:rFonts w:ascii="Arial" w:cs="Arial" w:eastAsia="Arial" w:hAnsi="Arial"/>
          <w:sz w:val="12"/>
          <w:szCs w:val="12"/>
          <w:color w:val="auto"/>
        </w:rPr>
      </w:pPr>
      <w:r>
        <w:rPr>
          <w:rFonts w:ascii="Arial" w:cs="Arial" w:eastAsia="Arial" w:hAnsi="Arial"/>
          <w:sz w:val="14"/>
          <w:szCs w:val="14"/>
          <w:color w:val="auto"/>
        </w:rPr>
        <w:t>years or until his successor is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3576320" cy="3293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76320" cy="3293110"/>
                    </a:xfrm>
                    <a:prstGeom prst="rect">
                      <a:avLst/>
                    </a:prstGeom>
                    <a:noFill/>
                  </pic:spPr>
                </pic:pic>
              </a:graphicData>
            </a:graphic>
          </wp:anchor>
        </w:drawing>
      </w:r>
    </w:p>
    <w:tbl>
      <w:tblPr>
        <w:tblLayout w:type="fixed"/>
        <w:tblInd w:w="1420" w:type="dxa"/>
        <w:tblCellMar>
          <w:top w:w="0" w:type="dxa"/>
          <w:left w:w="0" w:type="dxa"/>
          <w:bottom w:w="0" w:type="dxa"/>
          <w:right w:w="0" w:type="dxa"/>
        </w:tblCellMar>
      </w:tblPr>
      <w:tr>
        <w:trPr>
          <w:trHeight w:val="137"/>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FOR ALL NOMINEES</w:t>
            </w:r>
          </w:p>
        </w:tc>
        <w:tc>
          <w:tcPr>
            <w:tcW w:w="1500" w:type="dxa"/>
            <w:vAlign w:val="bottom"/>
          </w:tcPr>
          <w:p>
            <w:pPr>
              <w:ind w:left="340"/>
              <w:spacing w:after="0" w:line="137" w:lineRule="exact"/>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1500" w:type="dxa"/>
            <w:vAlign w:val="bottom"/>
          </w:tcPr>
          <w:p>
            <w:pPr>
              <w:ind w:left="560"/>
              <w:spacing w:after="0"/>
              <w:rPr>
                <w:sz w:val="20"/>
                <w:szCs w:val="20"/>
                <w:color w:val="auto"/>
              </w:rPr>
            </w:pPr>
            <w:r>
              <w:rPr>
                <w:rFonts w:ascii="Arial" w:cs="Arial" w:eastAsia="Arial" w:hAnsi="Arial"/>
                <w:sz w:val="14"/>
                <w:szCs w:val="14"/>
                <w:color w:val="auto"/>
                <w:w w:val="88"/>
              </w:rPr>
              <w:t>Marshall Brozost</w:t>
            </w: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500" w:type="dxa"/>
            <w:vAlign w:val="bottom"/>
          </w:tcPr>
          <w:p>
            <w:pPr>
              <w:ind w:left="560"/>
              <w:spacing w:after="0"/>
              <w:rPr>
                <w:sz w:val="20"/>
                <w:szCs w:val="20"/>
                <w:color w:val="auto"/>
              </w:rPr>
            </w:pPr>
            <w:r>
              <w:rPr>
                <w:rFonts w:ascii="Arial" w:cs="Arial" w:eastAsia="Arial" w:hAnsi="Arial"/>
                <w:sz w:val="14"/>
                <w:szCs w:val="14"/>
                <w:color w:val="auto"/>
                <w:w w:val="96"/>
              </w:rPr>
              <w:t>Samuel L. Katz</w:t>
            </w:r>
          </w:p>
        </w:tc>
        <w:tc>
          <w:tcPr>
            <w:tcW w:w="0" w:type="dxa"/>
            <w:vAlign w:val="bottom"/>
          </w:tcPr>
          <w:p>
            <w:pPr>
              <w:spacing w:after="0"/>
              <w:rPr>
                <w:sz w:val="1"/>
                <w:szCs w:val="1"/>
                <w:color w:val="auto"/>
              </w:rPr>
            </w:pPr>
          </w:p>
        </w:tc>
      </w:tr>
      <w:tr>
        <w:trPr>
          <w:trHeight w:val="298"/>
        </w:trPr>
        <w:tc>
          <w:tcPr>
            <w:tcW w:w="1960" w:type="dxa"/>
            <w:vAlign w:val="bottom"/>
          </w:tcPr>
          <w:p>
            <w:pPr>
              <w:spacing w:after="0"/>
              <w:rPr>
                <w:sz w:val="20"/>
                <w:szCs w:val="20"/>
                <w:color w:val="auto"/>
              </w:rPr>
            </w:pPr>
            <w:r>
              <w:rPr>
                <w:rFonts w:ascii="Arial" w:cs="Arial" w:eastAsia="Arial" w:hAnsi="Arial"/>
                <w:sz w:val="14"/>
                <w:szCs w:val="14"/>
                <w:b w:val="1"/>
                <w:bCs w:val="1"/>
                <w:color w:val="auto"/>
              </w:rPr>
              <w:t>WITHHOLD AUTHORITY</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60" w:type="dxa"/>
            <w:vAlign w:val="bottom"/>
          </w:tcPr>
          <w:p>
            <w:pPr>
              <w:spacing w:after="0"/>
              <w:rPr>
                <w:sz w:val="20"/>
                <w:szCs w:val="20"/>
                <w:color w:val="auto"/>
              </w:rPr>
            </w:pPr>
            <w:r>
              <w:rPr>
                <w:rFonts w:ascii="Arial" w:cs="Arial" w:eastAsia="Arial" w:hAnsi="Arial"/>
                <w:sz w:val="14"/>
                <w:szCs w:val="14"/>
                <w:b w:val="1"/>
                <w:bCs w:val="1"/>
                <w:color w:val="auto"/>
              </w:rPr>
              <w:t>FOR ALL NOMINEES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9"/>
        </w:trPr>
        <w:tc>
          <w:tcPr>
            <w:tcW w:w="1960" w:type="dxa"/>
            <w:vAlign w:val="bottom"/>
          </w:tcPr>
          <w:p>
            <w:pPr>
              <w:spacing w:after="0"/>
              <w:rPr>
                <w:sz w:val="20"/>
                <w:szCs w:val="20"/>
                <w:color w:val="auto"/>
              </w:rPr>
            </w:pPr>
            <w:r>
              <w:rPr>
                <w:rFonts w:ascii="Arial" w:cs="Arial" w:eastAsia="Arial" w:hAnsi="Arial"/>
                <w:sz w:val="14"/>
                <w:szCs w:val="14"/>
                <w:b w:val="1"/>
                <w:bCs w:val="1"/>
                <w:color w:val="auto"/>
              </w:rPr>
              <w:t>FOR ALL EXCEPT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20"/>
                <w:szCs w:val="20"/>
                <w:color w:val="auto"/>
              </w:rPr>
            </w:pPr>
            <w:r>
              <w:rPr>
                <w:rFonts w:ascii="Arial" w:cs="Arial" w:eastAsia="Arial" w:hAnsi="Arial"/>
                <w:sz w:val="14"/>
                <w:szCs w:val="14"/>
                <w:color w:val="auto"/>
              </w:rPr>
              <w:t>(See instructions below)</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340" w:hanging="1336"/>
        <w:spacing w:after="0" w:line="234" w:lineRule="auto"/>
        <w:tabs>
          <w:tab w:leader="none" w:pos="1320" w:val="left"/>
        </w:tabs>
        <w:rPr>
          <w:sz w:val="20"/>
          <w:szCs w:val="20"/>
          <w:color w:val="auto"/>
        </w:rPr>
      </w:pPr>
      <w:r>
        <w:rPr>
          <w:rFonts w:ascii="Arial" w:cs="Arial" w:eastAsia="Arial" w:hAnsi="Arial"/>
          <w:sz w:val="14"/>
          <w:szCs w:val="14"/>
          <w:b w:val="1"/>
          <w:bCs w:val="1"/>
          <w:u w:val="single" w:color="auto"/>
          <w:color w:val="auto"/>
        </w:rPr>
        <w:t>INSTRUCTION</w:t>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 xml:space="preserve">To withhold authority to vote for any individual nominee(s), mark </w:t>
      </w:r>
      <w:r>
        <w:rPr>
          <w:rFonts w:ascii="Arial" w:cs="Arial" w:eastAsia="Arial" w:hAnsi="Arial"/>
          <w:sz w:val="14"/>
          <w:szCs w:val="14"/>
          <w:b w:val="1"/>
          <w:bCs w:val="1"/>
          <w:color w:val="auto"/>
        </w:rPr>
        <w:t>“FOR ALL</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EXCEPT” </w:t>
      </w:r>
      <w:r>
        <w:rPr>
          <w:rFonts w:ascii="Arial" w:cs="Arial" w:eastAsia="Arial" w:hAnsi="Arial"/>
          <w:sz w:val="14"/>
          <w:szCs w:val="14"/>
          <w:color w:val="auto"/>
        </w:rPr>
        <w:t>and fill in the circle next to each nominee you wish to withhold, as</w:t>
      </w:r>
      <w:r>
        <w:rPr>
          <w:rFonts w:ascii="Arial" w:cs="Arial" w:eastAsia="Arial" w:hAnsi="Arial"/>
          <w:sz w:val="14"/>
          <w:szCs w:val="14"/>
          <w:b w:val="1"/>
          <w:bCs w:val="1"/>
          <w:color w:val="auto"/>
        </w:rPr>
        <w:t xml:space="preserve"> </w:t>
      </w:r>
      <w:r>
        <w:rPr>
          <w:rFonts w:ascii="Arial" w:cs="Arial" w:eastAsia="Arial" w:hAnsi="Arial"/>
          <w:sz w:val="14"/>
          <w:szCs w:val="14"/>
          <w:color w:val="auto"/>
        </w:rPr>
        <w:t>shown here: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20"/>
                <w:szCs w:val="20"/>
                <w:color w:val="auto"/>
              </w:rPr>
            </w:pPr>
            <w:r>
              <w:rPr>
                <w:rFonts w:ascii="Arial" w:cs="Arial" w:eastAsia="Arial" w:hAnsi="Arial"/>
                <w:sz w:val="14"/>
                <w:szCs w:val="14"/>
                <w:color w:val="auto"/>
              </w:rPr>
              <w:t>To change the address on your account, please check the box at right and</w:t>
            </w:r>
          </w:p>
        </w:tc>
        <w:tc>
          <w:tcPr>
            <w:tcW w:w="900" w:type="dxa"/>
            <w:vAlign w:val="bottom"/>
            <w:vMerge w:val="restart"/>
          </w:tcPr>
          <w:p>
            <w:pPr>
              <w:ind w:left="62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172"/>
        </w:trPr>
        <w:tc>
          <w:tcPr>
            <w:tcW w:w="4640" w:type="dxa"/>
            <w:vAlign w:val="bottom"/>
          </w:tcPr>
          <w:p>
            <w:pPr>
              <w:spacing w:after="0"/>
              <w:rPr>
                <w:sz w:val="20"/>
                <w:szCs w:val="20"/>
                <w:color w:val="auto"/>
              </w:rPr>
            </w:pPr>
            <w:r>
              <w:rPr>
                <w:rFonts w:ascii="Arial" w:cs="Arial" w:eastAsia="Arial" w:hAnsi="Arial"/>
                <w:sz w:val="14"/>
                <w:szCs w:val="14"/>
                <w:color w:val="auto"/>
              </w:rPr>
              <w:t>indicate your new address in the address space above. Please note that</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640" w:type="dxa"/>
            <w:vAlign w:val="bottom"/>
          </w:tcPr>
          <w:p>
            <w:pPr>
              <w:spacing w:after="0"/>
              <w:rPr>
                <w:sz w:val="20"/>
                <w:szCs w:val="20"/>
                <w:color w:val="auto"/>
              </w:rPr>
            </w:pPr>
            <w:r>
              <w:rPr>
                <w:rFonts w:ascii="Arial" w:cs="Arial" w:eastAsia="Arial" w:hAnsi="Arial"/>
                <w:sz w:val="14"/>
                <w:szCs w:val="14"/>
                <w:color w:val="auto"/>
                <w:w w:val="98"/>
              </w:rPr>
              <w:t>changes to the registered name(s) on the account may not be submitted via</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640" w:type="dxa"/>
            <w:vAlign w:val="bottom"/>
          </w:tcPr>
          <w:p>
            <w:pPr>
              <w:spacing w:after="0"/>
              <w:rPr>
                <w:sz w:val="20"/>
                <w:szCs w:val="20"/>
                <w:color w:val="auto"/>
              </w:rPr>
            </w:pPr>
            <w:r>
              <w:rPr>
                <w:rFonts w:ascii="Arial" w:cs="Arial" w:eastAsia="Arial" w:hAnsi="Arial"/>
                <w:sz w:val="14"/>
                <w:szCs w:val="14"/>
                <w:color w:val="auto"/>
              </w:rPr>
              <w:t>this method.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5"/>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2.  To ratify the selection of KPMG, LLP PennantPark</w:t>
            </w:r>
          </w:p>
        </w:tc>
        <w:tc>
          <w:tcPr>
            <w:tcW w:w="46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78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660" w:type="dxa"/>
            <w:vAlign w:val="bottom"/>
            <w:vMerge w:val="restart"/>
          </w:tcPr>
          <w:p>
            <w:pPr>
              <w:jc w:val="center"/>
              <w:ind w:left="25"/>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95"/>
        </w:trPr>
        <w:tc>
          <w:tcPr>
            <w:tcW w:w="3720" w:type="dxa"/>
            <w:vAlign w:val="bottom"/>
            <w:vMerge w:val="restart"/>
          </w:tcPr>
          <w:p>
            <w:pPr>
              <w:ind w:left="220"/>
              <w:spacing w:after="0"/>
              <w:rPr>
                <w:sz w:val="20"/>
                <w:szCs w:val="20"/>
                <w:color w:val="auto"/>
              </w:rPr>
            </w:pPr>
            <w:r>
              <w:rPr>
                <w:rFonts w:ascii="Arial" w:cs="Arial" w:eastAsia="Arial" w:hAnsi="Arial"/>
                <w:sz w:val="14"/>
                <w:szCs w:val="14"/>
                <w:color w:val="auto"/>
              </w:rPr>
              <w:t>Investment Corporation’s independent registered public</w:t>
            </w:r>
          </w:p>
        </w:tc>
        <w:tc>
          <w:tcPr>
            <w:tcW w:w="4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720" w:type="dxa"/>
            <w:vAlign w:val="bottom"/>
          </w:tcPr>
          <w:p>
            <w:pPr>
              <w:ind w:left="220"/>
              <w:spacing w:after="0"/>
              <w:rPr>
                <w:sz w:val="20"/>
                <w:szCs w:val="20"/>
                <w:color w:val="auto"/>
              </w:rPr>
            </w:pPr>
            <w:r>
              <w:rPr>
                <w:rFonts w:ascii="Arial" w:cs="Arial" w:eastAsia="Arial" w:hAnsi="Arial"/>
                <w:sz w:val="14"/>
                <w:szCs w:val="14"/>
                <w:color w:val="auto"/>
                <w:w w:val="90"/>
              </w:rPr>
              <w:t>accounting firm for the fiscal year ending September 30, 2008.</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2"/>
          <w:szCs w:val="12"/>
          <w:color w:val="auto"/>
        </w:rPr>
        <w:t>To transact such other business as may properly come before the Meeting.</w:t>
      </w:r>
    </w:p>
    <w:p>
      <w:pPr>
        <w:spacing w:after="0" w:line="161" w:lineRule="exact"/>
        <w:rPr>
          <w:sz w:val="20"/>
          <w:szCs w:val="20"/>
          <w:color w:val="auto"/>
        </w:rPr>
      </w:pPr>
    </w:p>
    <w:p>
      <w:pPr>
        <w:ind w:right="640"/>
        <w:spacing w:after="0" w:line="234" w:lineRule="auto"/>
        <w:rPr>
          <w:sz w:val="20"/>
          <w:szCs w:val="20"/>
          <w:color w:val="auto"/>
        </w:rPr>
      </w:pPr>
      <w:r>
        <w:rPr>
          <w:rFonts w:ascii="Arial" w:cs="Arial" w:eastAsia="Arial" w:hAnsi="Arial"/>
          <w:sz w:val="14"/>
          <w:szCs w:val="14"/>
          <w:b w:val="1"/>
          <w:bCs w:val="1"/>
          <w:color w:val="auto"/>
        </w:rPr>
        <w:t>THIS PROXY IS REVOCABLE AND WILL BE VOTED AS DIRECTED, BUT IF NO INSTRUCTIONS ARE SPECIFIED, THIS PROXY WILL BE VOTED “FOR” EACH PROPOSAL LISTED.</w:t>
      </w:r>
    </w:p>
    <w:p>
      <w:pPr>
        <w:spacing w:after="0" w:line="301" w:lineRule="exact"/>
        <w:rPr>
          <w:sz w:val="20"/>
          <w:szCs w:val="20"/>
          <w:color w:val="auto"/>
        </w:rPr>
      </w:pPr>
    </w:p>
    <w:p>
      <w:pPr>
        <w:ind w:right="80" w:firstLine="432"/>
        <w:spacing w:after="0" w:line="225" w:lineRule="auto"/>
        <w:rPr>
          <w:sz w:val="20"/>
          <w:szCs w:val="20"/>
          <w:color w:val="auto"/>
        </w:rPr>
      </w:pPr>
      <w:r>
        <w:rPr>
          <w:rFonts w:ascii="Arial" w:cs="Arial" w:eastAsia="Arial" w:hAnsi="Arial"/>
          <w:sz w:val="14"/>
          <w:szCs w:val="14"/>
          <w:color w:val="auto"/>
        </w:rPr>
        <w:t>If any other business is presented at the meeting, this proxy will be voted by the proxies in their discretion, including a motion to adjourn or postpone the meeting to another time and/or place for the purpose of soliciting additional proxies. At the present time, the Board of Directors knows of no other business to be presented at the meeting.</w:t>
      </w:r>
    </w:p>
    <w:p>
      <w:pPr>
        <w:spacing w:after="0" w:line="3" w:lineRule="exact"/>
        <w:rPr>
          <w:sz w:val="20"/>
          <w:szCs w:val="20"/>
          <w:color w:val="auto"/>
        </w:rPr>
      </w:pPr>
    </w:p>
    <w:p>
      <w:pPr>
        <w:ind w:right="340"/>
        <w:spacing w:after="0" w:line="277" w:lineRule="auto"/>
        <w:rPr>
          <w:sz w:val="20"/>
          <w:szCs w:val="20"/>
          <w:color w:val="auto"/>
        </w:rPr>
      </w:pPr>
      <w:r>
        <w:rPr>
          <w:rFonts w:ascii="Arial" w:cs="Arial" w:eastAsia="Arial" w:hAnsi="Arial"/>
          <w:sz w:val="12"/>
          <w:szCs w:val="12"/>
          <w:color w:val="auto"/>
        </w:rPr>
        <w:t>THE UNDERSIGNED ACKNOWLEDGES RECEIPT FROM THE COMPANY PRIOR TO THE EXECUTION OF THIS PROXY OF THE COMPANY’S ANNUAL REPORT, A NOTICE OF ANNUAL MEETING OF STOCKHOLDERS AND A PROXY STATEMENT.</w:t>
      </w:r>
    </w:p>
    <w:p>
      <w:pPr>
        <w:spacing w:after="0" w:line="197" w:lineRule="exact"/>
        <w:rPr>
          <w:sz w:val="20"/>
          <w:szCs w:val="20"/>
          <w:color w:val="auto"/>
        </w:rPr>
      </w:pPr>
    </w:p>
    <w:p>
      <w:pPr>
        <w:jc w:val="center"/>
        <w:ind w:left="-59" w:right="180"/>
        <w:spacing w:after="0" w:line="241" w:lineRule="auto"/>
        <w:rPr>
          <w:sz w:val="20"/>
          <w:szCs w:val="20"/>
          <w:color w:val="auto"/>
        </w:rPr>
      </w:pPr>
      <w:r>
        <w:rPr>
          <w:rFonts w:ascii="Arial" w:cs="Arial" w:eastAsia="Arial" w:hAnsi="Arial"/>
          <w:sz w:val="14"/>
          <w:szCs w:val="14"/>
          <w:b w:val="1"/>
          <w:bCs w:val="1"/>
          <w:color w:val="auto"/>
        </w:rPr>
        <w:t>PLEASE MARK, SIGN, DATE AND RETURN THIS PROXY PROMPTLY USING THE ENCLOSED ENVELOPE.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EVERY STOCKHOLDER’S VOTE IS IMPORTANT!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VOTE THIS PROXY CARD TODAY!</w:t>
      </w:r>
    </w:p>
    <w:p>
      <w:pPr>
        <w:spacing w:after="0" w:line="872" w:lineRule="exact"/>
        <w:rPr>
          <w:sz w:val="20"/>
          <w:szCs w:val="20"/>
          <w:color w:val="auto"/>
        </w:rPr>
      </w:pPr>
    </w:p>
    <w:p>
      <w:pPr>
        <w:sectPr>
          <w:pgSz w:w="11900" w:h="16838" w:orient="portrait"/>
          <w:cols w:equalWidth="0" w:num="2">
            <w:col w:w="5620" w:space="120"/>
            <w:col w:w="56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700" w:type="dxa"/>
            <w:vAlign w:val="bottom"/>
            <w:gridSpan w:val="2"/>
          </w:tcPr>
          <w:p>
            <w:pPr>
              <w:jc w:val="right"/>
              <w:spacing w:after="0"/>
              <w:rPr>
                <w:sz w:val="20"/>
                <w:szCs w:val="20"/>
                <w:color w:val="auto"/>
              </w:rPr>
            </w:pPr>
            <w:r>
              <w:rPr>
                <w:rFonts w:ascii="Arial" w:cs="Arial" w:eastAsia="Arial" w:hAnsi="Arial"/>
                <w:sz w:val="14"/>
                <w:szCs w:val="14"/>
                <w:color w:val="auto"/>
                <w:w w:val="87"/>
              </w:rPr>
              <w:t>Signature of</w:t>
            </w:r>
          </w:p>
        </w:tc>
        <w:tc>
          <w:tcPr>
            <w:tcW w:w="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Stockholder</w:t>
            </w:r>
          </w:p>
        </w:tc>
        <w:tc>
          <w:tcPr>
            <w:tcW w:w="2580" w:type="dxa"/>
            <w:vAlign w:val="bottom"/>
            <w:tcBorders>
              <w:top w:val="single" w:sz="8" w:color="auto"/>
              <w:bottom w:val="single" w:sz="8" w:color="auto"/>
              <w:right w:val="single" w:sz="8" w:color="auto"/>
            </w:tcBorders>
          </w:tcPr>
          <w:p>
            <w:pPr>
              <w:spacing w:after="0"/>
              <w:rPr>
                <w:sz w:val="24"/>
                <w:szCs w:val="24"/>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Date:</w:t>
            </w:r>
          </w:p>
        </w:tc>
        <w:tc>
          <w:tcPr>
            <w:tcW w:w="108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w w:val="88"/>
              </w:rPr>
              <w:t>Signature of Stockholder</w:t>
            </w:r>
          </w:p>
        </w:tc>
        <w:tc>
          <w:tcPr>
            <w:tcW w:w="2620" w:type="dxa"/>
            <w:vAlign w:val="bottom"/>
            <w:tcBorders>
              <w:top w:val="single" w:sz="8" w:color="auto"/>
              <w:bottom w:val="single" w:sz="8" w:color="auto"/>
              <w:right w:val="single" w:sz="8" w:color="auto"/>
            </w:tcBorders>
          </w:tcPr>
          <w:p>
            <w:pPr>
              <w:spacing w:after="0"/>
              <w:rPr>
                <w:sz w:val="24"/>
                <w:szCs w:val="24"/>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Date:</w:t>
            </w:r>
          </w:p>
        </w:tc>
        <w:tc>
          <w:tcPr>
            <w:tcW w:w="7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right w:val="single" w:sz="8" w:color="auto"/>
            </w:tcBorders>
          </w:tcPr>
          <w:p>
            <w:pPr>
              <w:spacing w:after="0"/>
              <w:rPr>
                <w:sz w:val="24"/>
                <w:szCs w:val="24"/>
                <w:color w:val="auto"/>
              </w:rPr>
            </w:pPr>
          </w:p>
        </w:tc>
      </w:tr>
      <w:tr>
        <w:trPr>
          <w:trHeight w:val="199"/>
        </w:trPr>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Note:</w:t>
            </w:r>
          </w:p>
        </w:tc>
        <w:tc>
          <w:tcPr>
            <w:tcW w:w="10720" w:type="dxa"/>
            <w:vAlign w:val="bottom"/>
            <w:gridSpan w:val="9"/>
          </w:tcPr>
          <w:p>
            <w:pPr>
              <w:ind w:left="140"/>
              <w:spacing w:after="0"/>
              <w:rPr>
                <w:sz w:val="20"/>
                <w:szCs w:val="20"/>
                <w:color w:val="auto"/>
              </w:rPr>
            </w:pPr>
            <w:r>
              <w:rPr>
                <w:rFonts w:ascii="Arial" w:cs="Arial" w:eastAsia="Arial" w:hAnsi="Arial"/>
                <w:sz w:val="14"/>
                <w:szCs w:val="14"/>
                <w:color w:val="auto"/>
                <w:w w:val="88"/>
              </w:rPr>
              <w:t>Please sign exactly as your name or names appear on this Proxy. When shares are held jointly, each holder should sign. When signing as executor, administrator, attorney, trustee or guardian,</w:t>
            </w:r>
          </w:p>
        </w:tc>
      </w:tr>
      <w:tr>
        <w:trPr>
          <w:trHeight w:val="159"/>
        </w:trPr>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560" w:type="dxa"/>
            <w:vAlign w:val="bottom"/>
            <w:gridSpan w:val="5"/>
          </w:tcPr>
          <w:p>
            <w:pPr>
              <w:ind w:left="140"/>
              <w:spacing w:after="0" w:line="159" w:lineRule="exact"/>
              <w:rPr>
                <w:sz w:val="20"/>
                <w:szCs w:val="20"/>
                <w:color w:val="auto"/>
              </w:rPr>
            </w:pPr>
            <w:r>
              <w:rPr>
                <w:rFonts w:ascii="Arial" w:cs="Arial" w:eastAsia="Arial" w:hAnsi="Arial"/>
                <w:sz w:val="14"/>
                <w:szCs w:val="14"/>
                <w:color w:val="auto"/>
                <w:w w:val="95"/>
              </w:rPr>
              <w:t>please give full title as such. If the signer is a corporation, please sign full corporate name by duly authorized</w:t>
            </w:r>
          </w:p>
        </w:tc>
        <w:tc>
          <w:tcPr>
            <w:tcW w:w="2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9"/>
        </w:trPr>
        <w:tc>
          <w:tcPr>
            <w:tcW w:w="240" w:type="dxa"/>
            <w:vAlign w:val="bottom"/>
            <w:shd w:val="clear" w:color="auto" w:fill="000000"/>
          </w:tcPr>
          <w:p>
            <w:pPr>
              <w:spacing w:after="0"/>
              <w:rPr>
                <w:sz w:val="12"/>
                <w:szCs w:val="12"/>
                <w:color w:val="auto"/>
              </w:rPr>
            </w:pPr>
          </w:p>
        </w:tc>
        <w:tc>
          <w:tcPr>
            <w:tcW w:w="460" w:type="dxa"/>
            <w:vAlign w:val="bottom"/>
          </w:tcPr>
          <w:p>
            <w:pPr>
              <w:spacing w:after="0"/>
              <w:rPr>
                <w:sz w:val="12"/>
                <w:szCs w:val="12"/>
                <w:color w:val="auto"/>
              </w:rPr>
            </w:pPr>
          </w:p>
        </w:tc>
        <w:tc>
          <w:tcPr>
            <w:tcW w:w="6560" w:type="dxa"/>
            <w:vAlign w:val="bottom"/>
            <w:gridSpan w:val="5"/>
          </w:tcPr>
          <w:p>
            <w:pPr>
              <w:ind w:left="140"/>
              <w:spacing w:after="0" w:line="149" w:lineRule="exact"/>
              <w:rPr>
                <w:sz w:val="20"/>
                <w:szCs w:val="20"/>
                <w:color w:val="auto"/>
              </w:rPr>
            </w:pPr>
            <w:r>
              <w:rPr>
                <w:rFonts w:ascii="Arial" w:cs="Arial" w:eastAsia="Arial" w:hAnsi="Arial"/>
                <w:sz w:val="14"/>
                <w:szCs w:val="14"/>
                <w:color w:val="auto"/>
                <w:w w:val="93"/>
              </w:rPr>
              <w:t>officer, giving full title as such. If signer is a partnership, please sign in partnership name by authorized person.</w:t>
            </w:r>
          </w:p>
        </w:tc>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Borders>
              <w:right w:val="single" w:sz="8" w:color="auto"/>
            </w:tcBorders>
            <w:shd w:val="clear" w:color="auto" w:fill="000000"/>
          </w:tcPr>
          <w:p>
            <w:pPr>
              <w:spacing w:after="0"/>
              <w:rPr>
                <w:sz w:val="12"/>
                <w:szCs w:val="12"/>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1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2019-12-15T15:43:32Z</dcterms:created>
  <dcterms:modified xsi:type="dcterms:W3CDTF">2019-12-15T15:43:32Z</dcterms:modified>
</cp:coreProperties>
</file>