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99"/>
        <w:spacing w:after="0"/>
        <w:rPr>
          <w:sz w:val="20"/>
          <w:szCs w:val="20"/>
          <w:color w:val="auto"/>
        </w:rPr>
      </w:pPr>
      <w:r>
        <w:rPr>
          <w:rFonts w:ascii="Arial" w:cs="Arial" w:eastAsia="Arial" w:hAnsi="Arial"/>
          <w:sz w:val="32"/>
          <w:szCs w:val="32"/>
          <w:b w:val="1"/>
          <w:bCs w:val="1"/>
          <w:color w:val="auto"/>
        </w:rPr>
        <w:t>SCHEDULE 14A</w:t>
      </w:r>
    </w:p>
    <w:p>
      <w:pPr>
        <w:spacing w:after="0" w:line="38" w:lineRule="exact"/>
        <w:rPr>
          <w:sz w:val="24"/>
          <w:szCs w:val="24"/>
          <w:color w:val="auto"/>
        </w:rPr>
      </w:pPr>
    </w:p>
    <w:p>
      <w:pPr>
        <w:jc w:val="center"/>
        <w:ind w:right="-99"/>
        <w:spacing w:after="0"/>
        <w:rPr>
          <w:sz w:val="20"/>
          <w:szCs w:val="20"/>
          <w:color w:val="auto"/>
        </w:rPr>
      </w:pPr>
      <w:r>
        <w:rPr>
          <w:rFonts w:ascii="Arial" w:cs="Arial" w:eastAsia="Arial" w:hAnsi="Arial"/>
          <w:sz w:val="14"/>
          <w:szCs w:val="14"/>
          <w:b w:val="1"/>
          <w:bCs w:val="1"/>
          <w:color w:val="auto"/>
        </w:rPr>
        <w:t>(RULE 14a-101)</w:t>
      </w:r>
    </w:p>
    <w:p>
      <w:pPr>
        <w:spacing w:after="0" w:line="135" w:lineRule="exact"/>
        <w:rPr>
          <w:sz w:val="24"/>
          <w:szCs w:val="24"/>
          <w:color w:val="auto"/>
        </w:rPr>
      </w:pPr>
    </w:p>
    <w:p>
      <w:pPr>
        <w:jc w:val="center"/>
        <w:ind w:right="-99"/>
        <w:spacing w:after="0"/>
        <w:rPr>
          <w:sz w:val="20"/>
          <w:szCs w:val="20"/>
          <w:color w:val="auto"/>
        </w:rPr>
      </w:pPr>
      <w:r>
        <w:rPr>
          <w:rFonts w:ascii="Arial" w:cs="Arial" w:eastAsia="Arial" w:hAnsi="Arial"/>
          <w:sz w:val="18"/>
          <w:szCs w:val="18"/>
          <w:b w:val="1"/>
          <w:bCs w:val="1"/>
          <w:color w:val="auto"/>
        </w:rPr>
        <w:t>Information Required in Proxy Statement</w:t>
      </w:r>
    </w:p>
    <w:p>
      <w:pPr>
        <w:spacing w:after="0" w:line="21" w:lineRule="exact"/>
        <w:rPr>
          <w:sz w:val="24"/>
          <w:szCs w:val="24"/>
          <w:color w:val="auto"/>
        </w:rPr>
      </w:pPr>
    </w:p>
    <w:p>
      <w:pPr>
        <w:jc w:val="center"/>
        <w:ind w:right="-99"/>
        <w:spacing w:after="0"/>
        <w:rPr>
          <w:sz w:val="20"/>
          <w:szCs w:val="20"/>
          <w:color w:val="auto"/>
        </w:rPr>
      </w:pPr>
      <w:r>
        <w:rPr>
          <w:rFonts w:ascii="Arial" w:cs="Arial" w:eastAsia="Arial" w:hAnsi="Arial"/>
          <w:sz w:val="18"/>
          <w:szCs w:val="18"/>
          <w:b w:val="1"/>
          <w:bCs w:val="1"/>
          <w:color w:val="auto"/>
        </w:rPr>
        <w:t>Schedule 14A Information</w:t>
      </w:r>
    </w:p>
    <w:p>
      <w:pPr>
        <w:spacing w:after="0" w:line="9" w:lineRule="exact"/>
        <w:rPr>
          <w:sz w:val="24"/>
          <w:szCs w:val="24"/>
          <w:color w:val="auto"/>
        </w:rPr>
      </w:pPr>
    </w:p>
    <w:p>
      <w:pPr>
        <w:jc w:val="center"/>
        <w:ind w:right="-99"/>
        <w:spacing w:after="0"/>
        <w:rPr>
          <w:sz w:val="20"/>
          <w:szCs w:val="20"/>
          <w:color w:val="auto"/>
        </w:rPr>
      </w:pPr>
      <w:r>
        <w:rPr>
          <w:rFonts w:ascii="Arial" w:cs="Arial" w:eastAsia="Arial" w:hAnsi="Arial"/>
          <w:sz w:val="15"/>
          <w:szCs w:val="15"/>
          <w:b w:val="1"/>
          <w:bCs w:val="1"/>
          <w:color w:val="auto"/>
        </w:rPr>
        <w:t>Proxy Statement Pursuant to Section 14(a) of the Securities</w:t>
      </w:r>
    </w:p>
    <w:p>
      <w:pPr>
        <w:spacing w:after="0" w:line="44" w:lineRule="exact"/>
        <w:rPr>
          <w:sz w:val="24"/>
          <w:szCs w:val="24"/>
          <w:color w:val="auto"/>
        </w:rPr>
      </w:pPr>
    </w:p>
    <w:p>
      <w:pPr>
        <w:jc w:val="center"/>
        <w:ind w:right="-99"/>
        <w:spacing w:after="0"/>
        <w:rPr>
          <w:sz w:val="20"/>
          <w:szCs w:val="20"/>
          <w:color w:val="auto"/>
        </w:rPr>
      </w:pPr>
      <w:r>
        <w:rPr>
          <w:rFonts w:ascii="Arial" w:cs="Arial" w:eastAsia="Arial" w:hAnsi="Arial"/>
          <w:sz w:val="18"/>
          <w:szCs w:val="18"/>
          <w:b w:val="1"/>
          <w:bCs w:val="1"/>
          <w:color w:val="auto"/>
        </w:rPr>
        <w:t>Exchange Act of 1934</w:t>
      </w:r>
    </w:p>
    <w:p>
      <w:pPr>
        <w:spacing w:after="0" w:line="132"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Filed by the Registrant </w:t>
      </w:r>
      <w:r>
        <w:rPr>
          <w:rFonts w:ascii="MS PGothic" w:cs="MS PGothic" w:eastAsia="MS PGothic" w:hAnsi="MS PGothic"/>
          <w:sz w:val="18"/>
          <w:szCs w:val="18"/>
          <w:color w:val="auto"/>
        </w:rPr>
        <w:t>☒</w:t>
      </w:r>
    </w:p>
    <w:p>
      <w:pPr>
        <w:spacing w:after="0" w:line="90"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Filed by a Party other than the Registrant </w:t>
      </w:r>
      <w:r>
        <w:rPr>
          <w:rFonts w:ascii="MS PGothic" w:cs="MS PGothic" w:eastAsia="MS PGothic" w:hAnsi="MS PGothic"/>
          <w:sz w:val="18"/>
          <w:szCs w:val="18"/>
          <w:color w:val="auto"/>
        </w:rPr>
        <w:t>☐</w:t>
      </w:r>
    </w:p>
    <w:p>
      <w:pPr>
        <w:spacing w:after="0" w:line="123" w:lineRule="exact"/>
        <w:rPr>
          <w:sz w:val="24"/>
          <w:szCs w:val="24"/>
          <w:color w:val="auto"/>
        </w:rPr>
      </w:pPr>
    </w:p>
    <w:p>
      <w:pPr>
        <w:spacing w:after="0"/>
        <w:rPr>
          <w:sz w:val="20"/>
          <w:szCs w:val="20"/>
          <w:color w:val="auto"/>
        </w:rPr>
      </w:pPr>
      <w:r>
        <w:rPr>
          <w:rFonts w:ascii="Arial" w:cs="Arial" w:eastAsia="Arial" w:hAnsi="Arial"/>
          <w:sz w:val="18"/>
          <w:szCs w:val="18"/>
          <w:color w:val="auto"/>
        </w:rPr>
        <w:t>Check the appropriate box:</w:t>
      </w:r>
    </w:p>
    <w:p>
      <w:pPr>
        <w:sectPr>
          <w:pgSz w:w="11900" w:h="16838" w:orient="portrait"/>
          <w:cols w:equalWidth="0" w:num="1">
            <w:col w:w="11340"/>
          </w:cols>
          <w:pgMar w:left="240" w:top="206" w:right="319" w:bottom="1440" w:gutter="0" w:footer="0" w:header="0"/>
        </w:sectPr>
      </w:pPr>
    </w:p>
    <w:p>
      <w:pPr>
        <w:spacing w:after="0" w:line="58" w:lineRule="exact"/>
        <w:rPr>
          <w:sz w:val="24"/>
          <w:szCs w:val="24"/>
          <w:color w:val="auto"/>
        </w:rPr>
      </w:pPr>
    </w:p>
    <w:p>
      <w:pPr>
        <w:spacing w:after="0" w:line="161" w:lineRule="exact"/>
        <w:rPr>
          <w:sz w:val="20"/>
          <w:szCs w:val="20"/>
          <w:color w:val="auto"/>
        </w:rPr>
      </w:pPr>
      <w:r>
        <w:rPr>
          <w:rFonts w:ascii="MS PGothic" w:cs="MS PGothic" w:eastAsia="MS PGothic" w:hAnsi="MS PGothic"/>
          <w:sz w:val="16"/>
          <w:szCs w:val="16"/>
          <w:color w:val="auto"/>
        </w:rPr>
        <w:t>☐</w:t>
      </w:r>
    </w:p>
    <w:p>
      <w:pPr>
        <w:spacing w:after="0" w:line="96" w:lineRule="exact"/>
        <w:rPr>
          <w:sz w:val="24"/>
          <w:szCs w:val="24"/>
          <w:color w:val="auto"/>
        </w:rPr>
      </w:pPr>
    </w:p>
    <w:p>
      <w:pPr>
        <w:spacing w:after="0" w:line="161" w:lineRule="exact"/>
        <w:rPr>
          <w:sz w:val="20"/>
          <w:szCs w:val="20"/>
          <w:color w:val="auto"/>
        </w:rPr>
      </w:pP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br w:type="column"/>
      </w:r>
    </w:p>
    <w:p>
      <w:pPr>
        <w:spacing w:after="0" w:line="70" w:lineRule="exact"/>
        <w:rPr>
          <w:sz w:val="24"/>
          <w:szCs w:val="24"/>
          <w:color w:val="auto"/>
        </w:rPr>
      </w:pPr>
    </w:p>
    <w:p>
      <w:pPr>
        <w:spacing w:after="0"/>
        <w:rPr>
          <w:sz w:val="20"/>
          <w:szCs w:val="20"/>
          <w:color w:val="auto"/>
        </w:rPr>
      </w:pPr>
      <w:r>
        <w:rPr>
          <w:rFonts w:ascii="Arial" w:cs="Arial" w:eastAsia="Arial" w:hAnsi="Arial"/>
          <w:sz w:val="16"/>
          <w:szCs w:val="16"/>
          <w:color w:val="auto"/>
        </w:rPr>
        <w:t>Preliminary Proxy Statement</w:t>
      </w:r>
    </w:p>
    <w:p>
      <w:pPr>
        <w:spacing w:after="0" w:line="38" w:lineRule="exact"/>
        <w:rPr>
          <w:sz w:val="24"/>
          <w:szCs w:val="24"/>
          <w:color w:val="auto"/>
        </w:rPr>
      </w:pPr>
    </w:p>
    <w:p>
      <w:pPr>
        <w:spacing w:after="0"/>
        <w:rPr>
          <w:sz w:val="20"/>
          <w:szCs w:val="20"/>
          <w:color w:val="auto"/>
        </w:rPr>
      </w:pPr>
      <w:r>
        <w:rPr>
          <w:rFonts w:ascii="Arial" w:cs="Arial" w:eastAsia="Arial" w:hAnsi="Arial"/>
          <w:sz w:val="16"/>
          <w:szCs w:val="16"/>
          <w:color w:val="auto"/>
        </w:rPr>
        <w:t>Definitive Proxy Statement</w:t>
      </w:r>
    </w:p>
    <w:p>
      <w:pPr>
        <w:spacing w:after="0" w:line="20" w:lineRule="exact"/>
        <w:rPr>
          <w:sz w:val="24"/>
          <w:szCs w:val="24"/>
          <w:color w:val="auto"/>
        </w:rPr>
      </w:pPr>
      <w:r>
        <w:rPr>
          <w:sz w:val="24"/>
          <w:szCs w:val="24"/>
          <w:color w:val="auto"/>
        </w:rPr>
        <w:br w:type="column"/>
      </w:r>
    </w:p>
    <w:p>
      <w:pPr>
        <w:spacing w:after="0" w:line="38" w:lineRule="exact"/>
        <w:rPr>
          <w:sz w:val="24"/>
          <w:szCs w:val="24"/>
          <w:color w:val="auto"/>
        </w:rPr>
      </w:pPr>
    </w:p>
    <w:p>
      <w:pPr>
        <w:spacing w:after="0" w:line="207" w:lineRule="exact"/>
        <w:tabs>
          <w:tab w:leader="none" w:pos="420" w:val="left"/>
        </w:tabs>
        <w:rPr>
          <w:sz w:val="20"/>
          <w:szCs w:val="20"/>
          <w:color w:val="auto"/>
        </w:rPr>
      </w:pPr>
      <w:r>
        <w:rPr>
          <w:rFonts w:ascii="MS PGothic" w:cs="MS PGothic" w:eastAsia="MS PGothic" w:hAnsi="MS PGothic"/>
          <w:sz w:val="18"/>
          <w:szCs w:val="18"/>
          <w:color w:val="auto"/>
        </w:rPr>
        <w:t>☐</w:t>
      </w:r>
      <w:r>
        <w:rPr>
          <w:sz w:val="20"/>
          <w:szCs w:val="20"/>
          <w:color w:val="auto"/>
        </w:rPr>
        <w:tab/>
      </w:r>
      <w:r>
        <w:rPr>
          <w:rFonts w:ascii="Arial" w:cs="Arial" w:eastAsia="Arial" w:hAnsi="Arial"/>
          <w:sz w:val="15"/>
          <w:szCs w:val="15"/>
          <w:b w:val="1"/>
          <w:bCs w:val="1"/>
          <w:color w:val="auto"/>
        </w:rPr>
        <w:t>Confidential, for Use of the Commission Only</w:t>
      </w:r>
    </w:p>
    <w:p>
      <w:pPr>
        <w:spacing w:after="0" w:line="56" w:lineRule="exact"/>
        <w:rPr>
          <w:sz w:val="24"/>
          <w:szCs w:val="24"/>
          <w:color w:val="auto"/>
        </w:rPr>
      </w:pPr>
    </w:p>
    <w:p>
      <w:pPr>
        <w:ind w:left="440"/>
        <w:spacing w:after="0"/>
        <w:rPr>
          <w:sz w:val="20"/>
          <w:szCs w:val="20"/>
          <w:color w:val="auto"/>
        </w:rPr>
      </w:pPr>
      <w:r>
        <w:rPr>
          <w:rFonts w:ascii="Arial" w:cs="Arial" w:eastAsia="Arial" w:hAnsi="Arial"/>
          <w:sz w:val="18"/>
          <w:szCs w:val="18"/>
          <w:b w:val="1"/>
          <w:bCs w:val="1"/>
          <w:color w:val="auto"/>
        </w:rPr>
        <w:t>(as permitted by Rule 14a-6(e)(2))</w:t>
      </w:r>
    </w:p>
    <w:p>
      <w:pPr>
        <w:spacing w:after="0" w:line="11" w:lineRule="exact"/>
        <w:rPr>
          <w:sz w:val="24"/>
          <w:szCs w:val="24"/>
          <w:color w:val="auto"/>
        </w:rPr>
      </w:pPr>
    </w:p>
    <w:p>
      <w:pPr>
        <w:sectPr>
          <w:pgSz w:w="11900" w:h="16838" w:orient="portrait"/>
          <w:cols w:equalWidth="0" w:num="3">
            <w:col w:w="160" w:space="260"/>
            <w:col w:w="4720" w:space="720"/>
            <w:col w:w="5480"/>
          </w:cols>
          <w:pgMar w:left="240" w:top="206" w:right="319" w:bottom="1440" w:gutter="0" w:footer="0" w:header="0"/>
          <w:type w:val="continuous"/>
        </w:sectPr>
      </w:pPr>
    </w:p>
    <w:p>
      <w:pPr>
        <w:ind w:left="420" w:hanging="412"/>
        <w:spacing w:after="0"/>
        <w:tabs>
          <w:tab w:leader="none" w:pos="42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DefinitiveAdditional Material</w:t>
      </w:r>
    </w:p>
    <w:p>
      <w:pPr>
        <w:spacing w:after="0" w:line="7" w:lineRule="exact"/>
        <w:rPr>
          <w:rFonts w:ascii="MS PGothic" w:cs="MS PGothic" w:eastAsia="MS PGothic" w:hAnsi="MS PGothic"/>
          <w:sz w:val="18"/>
          <w:szCs w:val="18"/>
          <w:color w:val="auto"/>
        </w:rPr>
      </w:pPr>
    </w:p>
    <w:p>
      <w:pPr>
        <w:ind w:left="420" w:hanging="412"/>
        <w:spacing w:after="0"/>
        <w:tabs>
          <w:tab w:leader="none" w:pos="42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SolicitingMaterial Pursuant to Rule 14a-12</w:t>
      </w:r>
    </w:p>
    <w:p>
      <w:pPr>
        <w:spacing w:after="0" w:line="41" w:lineRule="exact"/>
        <w:rPr>
          <w:sz w:val="24"/>
          <w:szCs w:val="24"/>
          <w:color w:val="auto"/>
        </w:rPr>
      </w:pPr>
    </w:p>
    <w:p>
      <w:pPr>
        <w:jc w:val="center"/>
        <w:ind w:right="-79"/>
        <w:spacing w:after="0"/>
        <w:rPr>
          <w:sz w:val="20"/>
          <w:szCs w:val="20"/>
          <w:color w:val="auto"/>
        </w:rPr>
      </w:pPr>
      <w:r>
        <w:rPr>
          <w:rFonts w:ascii="Arial" w:cs="Arial" w:eastAsia="Arial" w:hAnsi="Arial"/>
          <w:sz w:val="43"/>
          <w:szCs w:val="43"/>
          <w:b w:val="1"/>
          <w:bCs w:val="1"/>
          <w:color w:val="auto"/>
        </w:rPr>
        <w:t>PennantPark Investment Corporation</w:t>
      </w:r>
    </w:p>
    <w:p>
      <w:pPr>
        <w:spacing w:after="0" w:line="49" w:lineRule="exact"/>
        <w:rPr>
          <w:sz w:val="24"/>
          <w:szCs w:val="24"/>
          <w:color w:val="auto"/>
        </w:rPr>
      </w:pPr>
    </w:p>
    <w:p>
      <w:pPr>
        <w:jc w:val="center"/>
        <w:ind w:right="-79"/>
        <w:spacing w:after="0"/>
        <w:rPr>
          <w:sz w:val="20"/>
          <w:szCs w:val="20"/>
          <w:color w:val="auto"/>
        </w:rPr>
      </w:pPr>
      <w:r>
        <w:rPr>
          <w:rFonts w:ascii="Arial" w:cs="Arial" w:eastAsia="Arial" w:hAnsi="Arial"/>
          <w:sz w:val="14"/>
          <w:szCs w:val="14"/>
          <w:b w:val="1"/>
          <w:bCs w:val="1"/>
          <w:color w:val="auto"/>
        </w:rPr>
        <w:t>(Name of Registrant as Specified in Its Charter)</w:t>
      </w:r>
    </w:p>
    <w:p>
      <w:pPr>
        <w:spacing w:after="0" w:line="298" w:lineRule="exact"/>
        <w:rPr>
          <w:sz w:val="24"/>
          <w:szCs w:val="24"/>
          <w:color w:val="auto"/>
        </w:rPr>
      </w:pPr>
    </w:p>
    <w:p>
      <w:pPr>
        <w:jc w:val="center"/>
        <w:ind w:right="-79"/>
        <w:spacing w:after="0"/>
        <w:rPr>
          <w:sz w:val="20"/>
          <w:szCs w:val="20"/>
          <w:color w:val="auto"/>
        </w:rPr>
      </w:pPr>
      <w:r>
        <w:rPr>
          <w:rFonts w:ascii="Arial" w:cs="Arial" w:eastAsia="Arial" w:hAnsi="Arial"/>
          <w:sz w:val="14"/>
          <w:szCs w:val="14"/>
          <w:b w:val="1"/>
          <w:bCs w:val="1"/>
          <w:color w:val="auto"/>
        </w:rPr>
        <w:t>(Name of Person(s) Filing Proxy Statement if other than the Registrant)</w:t>
      </w:r>
    </w:p>
    <w:p>
      <w:pPr>
        <w:spacing w:after="0" w:line="73" w:lineRule="exact"/>
        <w:rPr>
          <w:sz w:val="24"/>
          <w:szCs w:val="24"/>
          <w:color w:val="auto"/>
        </w:rPr>
      </w:pPr>
    </w:p>
    <w:p>
      <w:pPr>
        <w:spacing w:after="0"/>
        <w:rPr>
          <w:sz w:val="20"/>
          <w:szCs w:val="20"/>
          <w:color w:val="auto"/>
        </w:rPr>
      </w:pPr>
      <w:r>
        <w:rPr>
          <w:rFonts w:ascii="Arial" w:cs="Arial" w:eastAsia="Arial" w:hAnsi="Arial"/>
          <w:sz w:val="18"/>
          <w:szCs w:val="18"/>
          <w:color w:val="auto"/>
        </w:rPr>
        <w:t>Payment of Filing Fee (Check the appropriate box):</w:t>
      </w:r>
    </w:p>
    <w:p>
      <w:pPr>
        <w:spacing w:after="0" w:line="84" w:lineRule="exact"/>
        <w:rPr>
          <w:sz w:val="24"/>
          <w:szCs w:val="24"/>
          <w:color w:val="auto"/>
        </w:rPr>
      </w:pPr>
    </w:p>
    <w:p>
      <w:pPr>
        <w:ind w:left="460" w:hanging="452"/>
        <w:spacing w:after="0"/>
        <w:tabs>
          <w:tab w:leader="none" w:pos="460" w:val="left"/>
        </w:tabs>
        <w:numPr>
          <w:ilvl w:val="0"/>
          <w:numId w:val="2"/>
        </w:numPr>
        <w:rPr>
          <w:rFonts w:ascii="MS PGothic" w:cs="MS PGothic" w:eastAsia="MS PGothic" w:hAnsi="MS PGothic"/>
          <w:sz w:val="18"/>
          <w:szCs w:val="18"/>
          <w:color w:val="auto"/>
        </w:rPr>
      </w:pPr>
      <w:r>
        <w:rPr>
          <w:rFonts w:ascii="Arial" w:cs="Arial" w:eastAsia="Arial" w:hAnsi="Arial"/>
          <w:sz w:val="18"/>
          <w:szCs w:val="18"/>
          <w:b w:val="1"/>
          <w:bCs w:val="1"/>
          <w:color w:val="auto"/>
        </w:rPr>
        <w:t>No fee required.</w:t>
      </w:r>
    </w:p>
    <w:p>
      <w:pPr>
        <w:spacing w:after="0" w:line="96" w:lineRule="exact"/>
        <w:rPr>
          <w:sz w:val="24"/>
          <w:szCs w:val="24"/>
          <w:color w:val="auto"/>
        </w:rPr>
      </w:pPr>
    </w:p>
    <w:p>
      <w:pPr>
        <w:ind w:left="460" w:hanging="452"/>
        <w:spacing w:after="0"/>
        <w:tabs>
          <w:tab w:leader="none" w:pos="460" w:val="left"/>
        </w:tabs>
        <w:numPr>
          <w:ilvl w:val="0"/>
          <w:numId w:val="3"/>
        </w:numPr>
        <w:rPr>
          <w:rFonts w:ascii="MS PGothic" w:cs="MS PGothic" w:eastAsia="MS PGothic" w:hAnsi="MS PGothic"/>
          <w:sz w:val="18"/>
          <w:szCs w:val="18"/>
          <w:color w:val="auto"/>
        </w:rPr>
      </w:pPr>
      <w:r>
        <w:rPr>
          <w:rFonts w:ascii="Arial" w:cs="Arial" w:eastAsia="Arial" w:hAnsi="Arial"/>
          <w:sz w:val="18"/>
          <w:szCs w:val="18"/>
          <w:color w:val="auto"/>
        </w:rPr>
        <w:t>Fee computed on table below per Exchange Act Rules 14a-6(i)(1) and 0-11.</w:t>
      </w:r>
    </w:p>
    <w:p>
      <w:pPr>
        <w:spacing w:after="0" w:line="90" w:lineRule="exact"/>
        <w:rPr>
          <w:rFonts w:ascii="MS PGothic" w:cs="MS PGothic" w:eastAsia="MS PGothic" w:hAnsi="MS PGothic"/>
          <w:sz w:val="18"/>
          <w:szCs w:val="18"/>
          <w:color w:val="auto"/>
        </w:rPr>
      </w:pPr>
    </w:p>
    <w:p>
      <w:pPr>
        <w:ind w:left="900" w:hanging="446"/>
        <w:spacing w:after="0"/>
        <w:tabs>
          <w:tab w:leader="none" w:pos="900" w:val="left"/>
        </w:tabs>
        <w:numPr>
          <w:ilvl w:val="1"/>
          <w:numId w:val="3"/>
        </w:numPr>
        <w:rPr>
          <w:rFonts w:ascii="Arial" w:cs="Arial" w:eastAsia="Arial" w:hAnsi="Arial"/>
          <w:sz w:val="18"/>
          <w:szCs w:val="18"/>
          <w:color w:val="auto"/>
        </w:rPr>
      </w:pPr>
      <w:r>
        <w:rPr>
          <w:rFonts w:ascii="Arial" w:cs="Arial" w:eastAsia="Arial" w:hAnsi="Arial"/>
          <w:sz w:val="18"/>
          <w:szCs w:val="18"/>
          <w:color w:val="auto"/>
        </w:rPr>
        <w:t>Title of each class of securities to which transaction applies:</w:t>
      </w:r>
    </w:p>
    <w:p>
      <w:pPr>
        <w:spacing w:after="0" w:line="200" w:lineRule="exact"/>
        <w:rPr>
          <w:rFonts w:ascii="Arial" w:cs="Arial" w:eastAsia="Arial" w:hAnsi="Arial"/>
          <w:sz w:val="18"/>
          <w:szCs w:val="18"/>
          <w:color w:val="auto"/>
        </w:rPr>
      </w:pPr>
    </w:p>
    <w:p>
      <w:pPr>
        <w:spacing w:after="0" w:line="227" w:lineRule="exact"/>
        <w:rPr>
          <w:rFonts w:ascii="Arial" w:cs="Arial" w:eastAsia="Arial" w:hAnsi="Arial"/>
          <w:sz w:val="18"/>
          <w:szCs w:val="18"/>
          <w:color w:val="auto"/>
        </w:rPr>
      </w:pPr>
    </w:p>
    <w:p>
      <w:pPr>
        <w:ind w:left="900" w:hanging="446"/>
        <w:spacing w:after="0"/>
        <w:tabs>
          <w:tab w:leader="none" w:pos="900" w:val="left"/>
        </w:tabs>
        <w:numPr>
          <w:ilvl w:val="1"/>
          <w:numId w:val="3"/>
        </w:numPr>
        <w:rPr>
          <w:rFonts w:ascii="Arial" w:cs="Arial" w:eastAsia="Arial" w:hAnsi="Arial"/>
          <w:sz w:val="18"/>
          <w:szCs w:val="18"/>
          <w:color w:val="auto"/>
        </w:rPr>
      </w:pPr>
      <w:r>
        <w:rPr>
          <w:rFonts w:ascii="Arial" w:cs="Arial" w:eastAsia="Arial" w:hAnsi="Arial"/>
          <w:sz w:val="18"/>
          <w:szCs w:val="18"/>
          <w:color w:val="auto"/>
        </w:rPr>
        <w:t>Aggregate number of securities to which transaction applies:</w:t>
      </w:r>
    </w:p>
    <w:p>
      <w:pPr>
        <w:spacing w:after="0" w:line="200" w:lineRule="exact"/>
        <w:rPr>
          <w:rFonts w:ascii="Arial" w:cs="Arial" w:eastAsia="Arial" w:hAnsi="Arial"/>
          <w:sz w:val="18"/>
          <w:szCs w:val="18"/>
          <w:color w:val="auto"/>
        </w:rPr>
      </w:pPr>
    </w:p>
    <w:p>
      <w:pPr>
        <w:spacing w:after="0" w:line="227" w:lineRule="exact"/>
        <w:rPr>
          <w:rFonts w:ascii="Arial" w:cs="Arial" w:eastAsia="Arial" w:hAnsi="Arial"/>
          <w:sz w:val="18"/>
          <w:szCs w:val="18"/>
          <w:color w:val="auto"/>
        </w:rPr>
      </w:pPr>
    </w:p>
    <w:p>
      <w:pPr>
        <w:ind w:left="900" w:hanging="446"/>
        <w:spacing w:after="0" w:line="268" w:lineRule="auto"/>
        <w:tabs>
          <w:tab w:leader="none" w:pos="900" w:val="left"/>
        </w:tabs>
        <w:numPr>
          <w:ilvl w:val="1"/>
          <w:numId w:val="3"/>
        </w:numPr>
        <w:rPr>
          <w:rFonts w:ascii="Arial" w:cs="Arial" w:eastAsia="Arial" w:hAnsi="Arial"/>
          <w:sz w:val="18"/>
          <w:szCs w:val="18"/>
          <w:color w:val="auto"/>
        </w:rPr>
      </w:pPr>
      <w:r>
        <w:rPr>
          <w:rFonts w:ascii="Arial" w:cs="Arial" w:eastAsia="Arial" w:hAnsi="Arial"/>
          <w:sz w:val="18"/>
          <w:szCs w:val="18"/>
          <w:color w:val="auto"/>
        </w:rPr>
        <w:t>Per unit price or other underlying value of transaction computed pursuant to Exchange Act Rule 0-11 (Set forth the amount on which the filing fee is calculated and state how it was determined):</w:t>
      </w:r>
    </w:p>
    <w:p>
      <w:pPr>
        <w:spacing w:after="0" w:line="388" w:lineRule="exact"/>
        <w:rPr>
          <w:rFonts w:ascii="Arial" w:cs="Arial" w:eastAsia="Arial" w:hAnsi="Arial"/>
          <w:sz w:val="18"/>
          <w:szCs w:val="18"/>
          <w:color w:val="auto"/>
        </w:rPr>
      </w:pPr>
    </w:p>
    <w:p>
      <w:pPr>
        <w:ind w:left="900" w:hanging="446"/>
        <w:spacing w:after="0"/>
        <w:tabs>
          <w:tab w:leader="none" w:pos="900" w:val="left"/>
        </w:tabs>
        <w:numPr>
          <w:ilvl w:val="1"/>
          <w:numId w:val="3"/>
        </w:numPr>
        <w:rPr>
          <w:rFonts w:ascii="Arial" w:cs="Arial" w:eastAsia="Arial" w:hAnsi="Arial"/>
          <w:sz w:val="18"/>
          <w:szCs w:val="18"/>
          <w:color w:val="auto"/>
        </w:rPr>
      </w:pPr>
      <w:r>
        <w:rPr>
          <w:rFonts w:ascii="Arial" w:cs="Arial" w:eastAsia="Arial" w:hAnsi="Arial"/>
          <w:sz w:val="18"/>
          <w:szCs w:val="18"/>
          <w:color w:val="auto"/>
        </w:rPr>
        <w:t>Proposed maximum aggregate value of transaction:</w:t>
      </w:r>
    </w:p>
    <w:p>
      <w:pPr>
        <w:spacing w:after="0" w:line="200" w:lineRule="exact"/>
        <w:rPr>
          <w:rFonts w:ascii="Arial" w:cs="Arial" w:eastAsia="Arial" w:hAnsi="Arial"/>
          <w:sz w:val="18"/>
          <w:szCs w:val="18"/>
          <w:color w:val="auto"/>
        </w:rPr>
      </w:pPr>
    </w:p>
    <w:p>
      <w:pPr>
        <w:spacing w:after="0" w:line="227" w:lineRule="exact"/>
        <w:rPr>
          <w:rFonts w:ascii="Arial" w:cs="Arial" w:eastAsia="Arial" w:hAnsi="Arial"/>
          <w:sz w:val="18"/>
          <w:szCs w:val="18"/>
          <w:color w:val="auto"/>
        </w:rPr>
      </w:pPr>
    </w:p>
    <w:p>
      <w:pPr>
        <w:ind w:left="900" w:hanging="446"/>
        <w:spacing w:after="0"/>
        <w:tabs>
          <w:tab w:leader="none" w:pos="900" w:val="left"/>
        </w:tabs>
        <w:numPr>
          <w:ilvl w:val="1"/>
          <w:numId w:val="3"/>
        </w:numPr>
        <w:rPr>
          <w:rFonts w:ascii="Arial" w:cs="Arial" w:eastAsia="Arial" w:hAnsi="Arial"/>
          <w:sz w:val="18"/>
          <w:szCs w:val="18"/>
          <w:color w:val="auto"/>
        </w:rPr>
      </w:pPr>
      <w:r>
        <w:rPr>
          <w:rFonts w:ascii="Arial" w:cs="Arial" w:eastAsia="Arial" w:hAnsi="Arial"/>
          <w:sz w:val="18"/>
          <w:szCs w:val="18"/>
          <w:color w:val="auto"/>
        </w:rPr>
        <w:t>Total fee paid:</w:t>
      </w:r>
    </w:p>
    <w:p>
      <w:pPr>
        <w:spacing w:after="0" w:line="200" w:lineRule="exact"/>
        <w:rPr>
          <w:rFonts w:ascii="Arial" w:cs="Arial" w:eastAsia="Arial" w:hAnsi="Arial"/>
          <w:sz w:val="18"/>
          <w:szCs w:val="18"/>
          <w:color w:val="auto"/>
        </w:rPr>
      </w:pPr>
    </w:p>
    <w:p>
      <w:pPr>
        <w:spacing w:after="0" w:line="227" w:lineRule="exact"/>
        <w:rPr>
          <w:rFonts w:ascii="Arial" w:cs="Arial" w:eastAsia="Arial" w:hAnsi="Arial"/>
          <w:sz w:val="18"/>
          <w:szCs w:val="18"/>
          <w:color w:val="auto"/>
        </w:rPr>
      </w:pPr>
    </w:p>
    <w:p>
      <w:pPr>
        <w:ind w:left="460" w:hanging="452"/>
        <w:spacing w:after="0"/>
        <w:tabs>
          <w:tab w:leader="none" w:pos="460" w:val="left"/>
        </w:tabs>
        <w:numPr>
          <w:ilvl w:val="0"/>
          <w:numId w:val="3"/>
        </w:numPr>
        <w:rPr>
          <w:rFonts w:ascii="MS PGothic" w:cs="MS PGothic" w:eastAsia="MS PGothic" w:hAnsi="MS PGothic"/>
          <w:sz w:val="18"/>
          <w:szCs w:val="18"/>
          <w:color w:val="auto"/>
        </w:rPr>
      </w:pPr>
      <w:r>
        <w:rPr>
          <w:rFonts w:ascii="Arial" w:cs="Arial" w:eastAsia="Arial" w:hAnsi="Arial"/>
          <w:sz w:val="18"/>
          <w:szCs w:val="18"/>
          <w:color w:val="auto"/>
        </w:rPr>
        <w:t>Fee paid previously with preliminary materials</w:t>
      </w:r>
    </w:p>
    <w:p>
      <w:pPr>
        <w:spacing w:after="0" w:line="90" w:lineRule="exact"/>
        <w:rPr>
          <w:rFonts w:ascii="MS PGothic" w:cs="MS PGothic" w:eastAsia="MS PGothic" w:hAnsi="MS PGothic"/>
          <w:sz w:val="18"/>
          <w:szCs w:val="18"/>
          <w:color w:val="auto"/>
        </w:rPr>
      </w:pPr>
    </w:p>
    <w:p>
      <w:pPr>
        <w:ind w:left="460" w:right="620" w:hanging="452"/>
        <w:spacing w:after="0" w:line="332" w:lineRule="auto"/>
        <w:tabs>
          <w:tab w:leader="none" w:pos="460" w:val="left"/>
        </w:tabs>
        <w:numPr>
          <w:ilvl w:val="0"/>
          <w:numId w:val="3"/>
        </w:numPr>
        <w:rPr>
          <w:rFonts w:ascii="MS PGothic" w:cs="MS PGothic" w:eastAsia="MS PGothic" w:hAnsi="MS PGothic"/>
          <w:sz w:val="16"/>
          <w:szCs w:val="16"/>
          <w:color w:val="auto"/>
        </w:rPr>
      </w:pPr>
      <w:r>
        <w:rPr>
          <w:rFonts w:ascii="Arial" w:cs="Arial" w:eastAsia="Arial" w:hAnsi="Arial"/>
          <w:sz w:val="16"/>
          <w:szCs w:val="16"/>
          <w:color w:val="auto"/>
        </w:rPr>
        <w:t>Check box if any part of the fee is offset as provided by Exchange Act Rule 0-11(a)(2) and identify the filing for which the offsetting fee was paid previously. Identify the previous filing by registration statement number, or the form or schedule and the date of its filing.</w:t>
      </w:r>
    </w:p>
    <w:p>
      <w:pPr>
        <w:spacing w:after="0" w:line="4" w:lineRule="exact"/>
        <w:rPr>
          <w:rFonts w:ascii="MS PGothic" w:cs="MS PGothic" w:eastAsia="MS PGothic" w:hAnsi="MS PGothic"/>
          <w:sz w:val="16"/>
          <w:szCs w:val="16"/>
          <w:color w:val="auto"/>
        </w:rPr>
      </w:pPr>
    </w:p>
    <w:p>
      <w:pPr>
        <w:ind w:left="900" w:hanging="446"/>
        <w:spacing w:after="0"/>
        <w:tabs>
          <w:tab w:leader="none" w:pos="900" w:val="left"/>
        </w:tabs>
        <w:numPr>
          <w:ilvl w:val="1"/>
          <w:numId w:val="3"/>
        </w:numPr>
        <w:rPr>
          <w:rFonts w:ascii="Arial" w:cs="Arial" w:eastAsia="Arial" w:hAnsi="Arial"/>
          <w:sz w:val="18"/>
          <w:szCs w:val="18"/>
          <w:color w:val="auto"/>
        </w:rPr>
      </w:pPr>
      <w:r>
        <w:rPr>
          <w:rFonts w:ascii="Arial" w:cs="Arial" w:eastAsia="Arial" w:hAnsi="Arial"/>
          <w:sz w:val="18"/>
          <w:szCs w:val="18"/>
          <w:color w:val="auto"/>
        </w:rPr>
        <w:t>Amount previously paid:</w:t>
      </w:r>
    </w:p>
    <w:p>
      <w:pPr>
        <w:spacing w:after="0" w:line="200" w:lineRule="exact"/>
        <w:rPr>
          <w:rFonts w:ascii="Arial" w:cs="Arial" w:eastAsia="Arial" w:hAnsi="Arial"/>
          <w:sz w:val="18"/>
          <w:szCs w:val="18"/>
          <w:color w:val="auto"/>
        </w:rPr>
      </w:pPr>
    </w:p>
    <w:p>
      <w:pPr>
        <w:spacing w:after="0" w:line="227" w:lineRule="exact"/>
        <w:rPr>
          <w:rFonts w:ascii="Arial" w:cs="Arial" w:eastAsia="Arial" w:hAnsi="Arial"/>
          <w:sz w:val="18"/>
          <w:szCs w:val="18"/>
          <w:color w:val="auto"/>
        </w:rPr>
      </w:pPr>
    </w:p>
    <w:p>
      <w:pPr>
        <w:ind w:left="900" w:hanging="446"/>
        <w:spacing w:after="0"/>
        <w:tabs>
          <w:tab w:leader="none" w:pos="900" w:val="left"/>
        </w:tabs>
        <w:numPr>
          <w:ilvl w:val="1"/>
          <w:numId w:val="3"/>
        </w:numPr>
        <w:rPr>
          <w:rFonts w:ascii="Arial" w:cs="Arial" w:eastAsia="Arial" w:hAnsi="Arial"/>
          <w:sz w:val="18"/>
          <w:szCs w:val="18"/>
          <w:color w:val="auto"/>
        </w:rPr>
      </w:pPr>
      <w:r>
        <w:rPr>
          <w:rFonts w:ascii="Arial" w:cs="Arial" w:eastAsia="Arial" w:hAnsi="Arial"/>
          <w:sz w:val="18"/>
          <w:szCs w:val="18"/>
          <w:color w:val="auto"/>
        </w:rPr>
        <w:t>Form, schedule or registration statement no.:</w:t>
      </w:r>
    </w:p>
    <w:p>
      <w:pPr>
        <w:spacing w:after="0" w:line="200" w:lineRule="exact"/>
        <w:rPr>
          <w:rFonts w:ascii="Arial" w:cs="Arial" w:eastAsia="Arial" w:hAnsi="Arial"/>
          <w:sz w:val="18"/>
          <w:szCs w:val="18"/>
          <w:color w:val="auto"/>
        </w:rPr>
      </w:pPr>
    </w:p>
    <w:p>
      <w:pPr>
        <w:spacing w:after="0" w:line="227" w:lineRule="exact"/>
        <w:rPr>
          <w:rFonts w:ascii="Arial" w:cs="Arial" w:eastAsia="Arial" w:hAnsi="Arial"/>
          <w:sz w:val="18"/>
          <w:szCs w:val="18"/>
          <w:color w:val="auto"/>
        </w:rPr>
      </w:pPr>
    </w:p>
    <w:p>
      <w:pPr>
        <w:ind w:left="900" w:hanging="446"/>
        <w:spacing w:after="0"/>
        <w:tabs>
          <w:tab w:leader="none" w:pos="900" w:val="left"/>
        </w:tabs>
        <w:numPr>
          <w:ilvl w:val="1"/>
          <w:numId w:val="3"/>
        </w:numPr>
        <w:rPr>
          <w:rFonts w:ascii="Arial" w:cs="Arial" w:eastAsia="Arial" w:hAnsi="Arial"/>
          <w:sz w:val="18"/>
          <w:szCs w:val="18"/>
          <w:color w:val="auto"/>
        </w:rPr>
      </w:pPr>
      <w:r>
        <w:rPr>
          <w:rFonts w:ascii="Arial" w:cs="Arial" w:eastAsia="Arial" w:hAnsi="Arial"/>
          <w:sz w:val="18"/>
          <w:szCs w:val="18"/>
          <w:color w:val="auto"/>
        </w:rPr>
        <w:t>Filing party:</w:t>
      </w:r>
    </w:p>
    <w:p>
      <w:pPr>
        <w:spacing w:after="0" w:line="200" w:lineRule="exact"/>
        <w:rPr>
          <w:rFonts w:ascii="Arial" w:cs="Arial" w:eastAsia="Arial" w:hAnsi="Arial"/>
          <w:sz w:val="18"/>
          <w:szCs w:val="18"/>
          <w:color w:val="auto"/>
        </w:rPr>
      </w:pPr>
    </w:p>
    <w:p>
      <w:pPr>
        <w:spacing w:after="0" w:line="227" w:lineRule="exact"/>
        <w:rPr>
          <w:rFonts w:ascii="Arial" w:cs="Arial" w:eastAsia="Arial" w:hAnsi="Arial"/>
          <w:sz w:val="18"/>
          <w:szCs w:val="18"/>
          <w:color w:val="auto"/>
        </w:rPr>
      </w:pPr>
    </w:p>
    <w:p>
      <w:pPr>
        <w:ind w:left="900" w:hanging="446"/>
        <w:spacing w:after="0"/>
        <w:tabs>
          <w:tab w:leader="none" w:pos="900" w:val="left"/>
        </w:tabs>
        <w:numPr>
          <w:ilvl w:val="1"/>
          <w:numId w:val="3"/>
        </w:numPr>
        <w:rPr>
          <w:rFonts w:ascii="Arial" w:cs="Arial" w:eastAsia="Arial" w:hAnsi="Arial"/>
          <w:sz w:val="18"/>
          <w:szCs w:val="18"/>
          <w:color w:val="auto"/>
        </w:rPr>
      </w:pPr>
      <w:r>
        <w:rPr>
          <w:rFonts w:ascii="Arial" w:cs="Arial" w:eastAsia="Arial" w:hAnsi="Arial"/>
          <w:sz w:val="18"/>
          <w:szCs w:val="18"/>
          <w:color w:val="auto"/>
        </w:rPr>
        <w:t>Date filed: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570865</wp:posOffset>
            </wp:positionH>
            <wp:positionV relativeFrom="paragraph">
              <wp:posOffset>-3676015</wp:posOffset>
            </wp:positionV>
            <wp:extent cx="562991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5629910" cy="8890"/>
                    </a:xfrm>
                    <a:prstGeom prst="rect">
                      <a:avLst/>
                    </a:prstGeom>
                    <a:noFill/>
                  </pic:spPr>
                </pic:pic>
              </a:graphicData>
            </a:graphic>
          </wp:anchor>
        </w:drawing>
        <w:drawing>
          <wp:anchor simplePos="0" relativeHeight="251657728" behindDoc="1" locked="0" layoutInCell="0" allowOverlap="1">
            <wp:simplePos x="0" y="0"/>
            <wp:positionH relativeFrom="column">
              <wp:posOffset>570865</wp:posOffset>
            </wp:positionH>
            <wp:positionV relativeFrom="paragraph">
              <wp:posOffset>-3272790</wp:posOffset>
            </wp:positionV>
            <wp:extent cx="562991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629910" cy="8890"/>
                    </a:xfrm>
                    <a:prstGeom prst="rect">
                      <a:avLst/>
                    </a:prstGeom>
                    <a:noFill/>
                  </pic:spPr>
                </pic:pic>
              </a:graphicData>
            </a:graphic>
          </wp:anchor>
        </w:drawing>
        <w:drawing>
          <wp:anchor simplePos="0" relativeHeight="251657728" behindDoc="1" locked="0" layoutInCell="0" allowOverlap="1">
            <wp:simplePos x="0" y="0"/>
            <wp:positionH relativeFrom="column">
              <wp:posOffset>570865</wp:posOffset>
            </wp:positionH>
            <wp:positionV relativeFrom="paragraph">
              <wp:posOffset>-2732405</wp:posOffset>
            </wp:positionV>
            <wp:extent cx="562991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629910" cy="8890"/>
                    </a:xfrm>
                    <a:prstGeom prst="rect">
                      <a:avLst/>
                    </a:prstGeom>
                    <a:noFill/>
                  </pic:spPr>
                </pic:pic>
              </a:graphicData>
            </a:graphic>
          </wp:anchor>
        </w:drawing>
        <w:drawing>
          <wp:anchor simplePos="0" relativeHeight="251657728" behindDoc="1" locked="0" layoutInCell="0" allowOverlap="1">
            <wp:simplePos x="0" y="0"/>
            <wp:positionH relativeFrom="column">
              <wp:posOffset>570865</wp:posOffset>
            </wp:positionH>
            <wp:positionV relativeFrom="paragraph">
              <wp:posOffset>-2329180</wp:posOffset>
            </wp:positionV>
            <wp:extent cx="562991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629910" cy="8890"/>
                    </a:xfrm>
                    <a:prstGeom prst="rect">
                      <a:avLst/>
                    </a:prstGeom>
                    <a:noFill/>
                  </pic:spPr>
                </pic:pic>
              </a:graphicData>
            </a:graphic>
          </wp:anchor>
        </w:drawing>
        <w:drawing>
          <wp:anchor simplePos="0" relativeHeight="251657728" behindDoc="1" locked="0" layoutInCell="0" allowOverlap="1">
            <wp:simplePos x="0" y="0"/>
            <wp:positionH relativeFrom="column">
              <wp:posOffset>570865</wp:posOffset>
            </wp:positionH>
            <wp:positionV relativeFrom="paragraph">
              <wp:posOffset>-1926590</wp:posOffset>
            </wp:positionV>
            <wp:extent cx="562991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5629910" cy="8890"/>
                    </a:xfrm>
                    <a:prstGeom prst="rect">
                      <a:avLst/>
                    </a:prstGeom>
                    <a:noFill/>
                  </pic:spPr>
                </pic:pic>
              </a:graphicData>
            </a:graphic>
          </wp:anchor>
        </w:drawing>
        <w:drawing>
          <wp:anchor simplePos="0" relativeHeight="251657728" behindDoc="1" locked="0" layoutInCell="0" allowOverlap="1">
            <wp:simplePos x="0" y="0"/>
            <wp:positionH relativeFrom="column">
              <wp:posOffset>570865</wp:posOffset>
            </wp:positionH>
            <wp:positionV relativeFrom="paragraph">
              <wp:posOffset>-1009015</wp:posOffset>
            </wp:positionV>
            <wp:extent cx="562991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629910" cy="8890"/>
                    </a:xfrm>
                    <a:prstGeom prst="rect">
                      <a:avLst/>
                    </a:prstGeom>
                    <a:noFill/>
                  </pic:spPr>
                </pic:pic>
              </a:graphicData>
            </a:graphic>
          </wp:anchor>
        </w:drawing>
        <w:drawing>
          <wp:anchor simplePos="0" relativeHeight="251657728" behindDoc="1" locked="0" layoutInCell="0" allowOverlap="1">
            <wp:simplePos x="0" y="0"/>
            <wp:positionH relativeFrom="column">
              <wp:posOffset>570865</wp:posOffset>
            </wp:positionH>
            <wp:positionV relativeFrom="paragraph">
              <wp:posOffset>-605790</wp:posOffset>
            </wp:positionV>
            <wp:extent cx="562991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5629910" cy="8890"/>
                    </a:xfrm>
                    <a:prstGeom prst="rect">
                      <a:avLst/>
                    </a:prstGeom>
                    <a:noFill/>
                  </pic:spPr>
                </pic:pic>
              </a:graphicData>
            </a:graphic>
          </wp:anchor>
        </w:drawing>
        <w:drawing>
          <wp:anchor simplePos="0" relativeHeight="251657728" behindDoc="1" locked="0" layoutInCell="0" allowOverlap="1">
            <wp:simplePos x="0" y="0"/>
            <wp:positionH relativeFrom="column">
              <wp:posOffset>570865</wp:posOffset>
            </wp:positionH>
            <wp:positionV relativeFrom="paragraph">
              <wp:posOffset>-202565</wp:posOffset>
            </wp:positionV>
            <wp:extent cx="562991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5629910" cy="8890"/>
                    </a:xfrm>
                    <a:prstGeom prst="rect">
                      <a:avLst/>
                    </a:prstGeom>
                    <a:noFill/>
                  </pic:spPr>
                </pic:pic>
              </a:graphicData>
            </a:graphic>
          </wp:anchor>
        </w:drawing>
        <w:drawing>
          <wp:anchor simplePos="0" relativeHeight="251657728" behindDoc="1" locked="0" layoutInCell="0" allowOverlap="1">
            <wp:simplePos x="0" y="0"/>
            <wp:positionH relativeFrom="column">
              <wp:posOffset>570865</wp:posOffset>
            </wp:positionH>
            <wp:positionV relativeFrom="paragraph">
              <wp:posOffset>200025</wp:posOffset>
            </wp:positionV>
            <wp:extent cx="562991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5629910" cy="8890"/>
                    </a:xfrm>
                    <a:prstGeom prst="rect">
                      <a:avLst/>
                    </a:prstGeom>
                    <a:noFill/>
                  </pic:spPr>
                </pic:pic>
              </a:graphicData>
            </a:graphic>
          </wp:anchor>
        </w:drawing>
      </w:r>
    </w:p>
    <w:p>
      <w:pPr>
        <w:sectPr>
          <w:pgSz w:w="11900" w:h="16838" w:orient="portrait"/>
          <w:cols w:equalWidth="0" w:num="1">
            <w:col w:w="11340"/>
          </w:cols>
          <w:pgMar w:left="240" w:top="206" w:right="319" w:bottom="1440" w:gutter="0" w:footer="0" w:header="0"/>
          <w:type w:val="continuous"/>
        </w:sectPr>
      </w:pPr>
    </w:p>
    <w:bookmarkStart w:id="1" w:name="page2"/>
    <w:bookmarkEnd w:id="1"/>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61722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89165" cy="617220"/>
                    </a:xfrm>
                    <a:prstGeom prst="rect">
                      <a:avLst/>
                    </a:prstGeom>
                    <a:noFill/>
                  </pic:spPr>
                </pic:pic>
              </a:graphicData>
            </a:graphic>
          </wp:anchor>
        </w:drawing>
        <w:t>590 Madison Avenue, 15th Floor</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New York, New York 10022</w:t>
      </w:r>
    </w:p>
    <w:p>
      <w:pPr>
        <w:spacing w:after="0" w:line="165" w:lineRule="exact"/>
        <w:rPr>
          <w:sz w:val="20"/>
          <w:szCs w:val="20"/>
          <w:color w:val="auto"/>
        </w:rPr>
      </w:pPr>
    </w:p>
    <w:p>
      <w:pPr>
        <w:jc w:val="right"/>
        <w:spacing w:after="0"/>
        <w:rPr>
          <w:sz w:val="20"/>
          <w:szCs w:val="20"/>
          <w:color w:val="auto"/>
        </w:rPr>
      </w:pPr>
      <w:r>
        <w:rPr>
          <w:rFonts w:ascii="Arial" w:cs="Arial" w:eastAsia="Arial" w:hAnsi="Arial"/>
          <w:sz w:val="18"/>
          <w:szCs w:val="18"/>
          <w:color w:val="auto"/>
        </w:rPr>
        <w:t>December 21, 2009</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Dear Stockholder:</w:t>
      </w:r>
    </w:p>
    <w:p>
      <w:pPr>
        <w:spacing w:after="0" w:line="90" w:lineRule="exact"/>
        <w:rPr>
          <w:sz w:val="20"/>
          <w:szCs w:val="20"/>
          <w:color w:val="auto"/>
        </w:rPr>
      </w:pPr>
    </w:p>
    <w:p>
      <w:pPr>
        <w:ind w:right="520" w:firstLine="456"/>
        <w:spacing w:after="0" w:line="332" w:lineRule="auto"/>
        <w:rPr>
          <w:sz w:val="20"/>
          <w:szCs w:val="20"/>
          <w:color w:val="auto"/>
        </w:rPr>
      </w:pPr>
      <w:r>
        <w:rPr>
          <w:rFonts w:ascii="Arial" w:cs="Arial" w:eastAsia="Arial" w:hAnsi="Arial"/>
          <w:sz w:val="16"/>
          <w:szCs w:val="16"/>
          <w:color w:val="auto"/>
        </w:rPr>
        <w:t>You are cordially invited to attend the 2010 Annual Meeting of Stockholders of PennantPark Investment Corporation (the “Company”) to be held on February 2, 2010 at 9:30 a.m., Eastern Time, at the offices of Dechert LLP, located at 1095 Avenue of the Americas, New York, New York.</w:t>
      </w:r>
    </w:p>
    <w:p>
      <w:pPr>
        <w:spacing w:after="0" w:line="85" w:lineRule="exact"/>
        <w:rPr>
          <w:sz w:val="20"/>
          <w:szCs w:val="20"/>
          <w:color w:val="auto"/>
        </w:rPr>
      </w:pPr>
    </w:p>
    <w:p>
      <w:pPr>
        <w:ind w:right="20" w:firstLine="456"/>
        <w:spacing w:after="0" w:line="291" w:lineRule="auto"/>
        <w:rPr>
          <w:sz w:val="20"/>
          <w:szCs w:val="20"/>
          <w:color w:val="auto"/>
        </w:rPr>
      </w:pPr>
      <w:r>
        <w:rPr>
          <w:rFonts w:ascii="Arial" w:cs="Arial" w:eastAsia="Arial" w:hAnsi="Arial"/>
          <w:sz w:val="16"/>
          <w:szCs w:val="16"/>
          <w:color w:val="auto"/>
        </w:rPr>
        <w:t>The Notice of Annual Meeting of Stockholders and the proxy statement of the Board of Directors of the Company, which is accessible on the Internet or by request, provide an outline of the business to be conducted at our Annual Meeting of Stockholders. At the meeting, you will be asked to: (i) elect one director of the Company, (ii) ratify the selection of KPMG LLP as the Company’s independent registered public accounting firm for the fiscal year ending September 30, 2010 and (iii) approve a proposal to authorize flexibility for us, with approval of our Board of Directors, to sell shares of our Common Stock at a price below our then current net asset value per share in one or more offerings, subject to certain conditions as set forth in the proxy statement. I will also report on the progress of the Company during the past year and respond to stockholder’s questions.</w:t>
      </w:r>
    </w:p>
    <w:p>
      <w:pPr>
        <w:spacing w:after="0" w:line="120" w:lineRule="exact"/>
        <w:rPr>
          <w:sz w:val="20"/>
          <w:szCs w:val="20"/>
          <w:color w:val="auto"/>
        </w:rPr>
      </w:pPr>
    </w:p>
    <w:p>
      <w:pPr>
        <w:ind w:right="20" w:firstLine="456"/>
        <w:spacing w:after="0" w:line="294" w:lineRule="auto"/>
        <w:rPr>
          <w:sz w:val="20"/>
          <w:szCs w:val="20"/>
          <w:color w:val="auto"/>
        </w:rPr>
      </w:pPr>
      <w:r>
        <w:rPr>
          <w:rFonts w:ascii="Arial" w:cs="Arial" w:eastAsia="Arial" w:hAnsi="Arial"/>
          <w:sz w:val="16"/>
          <w:szCs w:val="16"/>
          <w:color w:val="auto"/>
        </w:rPr>
        <w:t>It is important that your shares be represented at the Annual Meeting. If you are unable to attend the meeting in person, I urge you to follow the instructions on the Notice of Internet Availability of Proxy Materials to vote your proxy on the Internet. We encourage you to vote via the Internet, as it saves us significant time and processing costs. However, on the Notice of Internet Availability of Proxy Materials you also will find instructions on how to request a hard copy of the proxy statement and proxy card free of charge, and you may vote your proxy by returning a proxy card to us after you request the hard copy materials. Your vote and participation in the governance of the Company is very important to us.</w:t>
      </w:r>
    </w:p>
    <w:p>
      <w:pPr>
        <w:spacing w:after="0" w:line="116"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Sincerely yours,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3855720</wp:posOffset>
            </wp:positionH>
            <wp:positionV relativeFrom="paragraph">
              <wp:posOffset>10795</wp:posOffset>
            </wp:positionV>
            <wp:extent cx="1861185" cy="3689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861185" cy="368935"/>
                    </a:xfrm>
                    <a:prstGeom prst="rect">
                      <a:avLst/>
                    </a:prstGeom>
                    <a:noFill/>
                  </pic:spPr>
                </pic:pic>
              </a:graphicData>
            </a:graphic>
          </wp:anchor>
        </w:drawing>
      </w:r>
    </w:p>
    <w:p>
      <w:pPr>
        <w:spacing w:after="0" w:line="200" w:lineRule="exact"/>
        <w:rPr>
          <w:sz w:val="20"/>
          <w:szCs w:val="20"/>
          <w:color w:val="auto"/>
        </w:rPr>
      </w:pPr>
    </w:p>
    <w:p>
      <w:pPr>
        <w:spacing w:after="0" w:line="370"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Arthur H. Penn</w:t>
      </w:r>
    </w:p>
    <w:p>
      <w:pPr>
        <w:spacing w:after="0" w:line="15"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Chief Executive Officer</w:t>
      </w:r>
    </w:p>
    <w:p>
      <w:pPr>
        <w:sectPr>
          <w:pgSz w:w="11900" w:h="16838" w:orient="portrait"/>
          <w:cols w:equalWidth="0" w:num="1">
            <w:col w:w="11420"/>
          </w:cols>
          <w:pgMar w:left="240" w:top="1179" w:right="239" w:bottom="1440" w:gutter="0" w:footer="0" w:header="0"/>
        </w:sectPr>
      </w:pPr>
    </w:p>
    <w:bookmarkStart w:id="2" w:name="page3"/>
    <w:bookmarkEnd w:id="2"/>
    <w:p>
      <w:pPr>
        <w:jc w:val="center"/>
        <w:ind w:right="-7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PENNANTPARK INVESTMENT CORPORATION</w:t>
      </w:r>
    </w:p>
    <w:p>
      <w:pPr>
        <w:spacing w:after="0" w:line="21"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590 Madison Avenue, 15th Floor</w:t>
      </w:r>
    </w:p>
    <w:p>
      <w:pPr>
        <w:spacing w:after="0" w:line="9"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New York, New York 10022</w:t>
      </w:r>
    </w:p>
    <w:p>
      <w:pPr>
        <w:spacing w:after="0" w:line="9"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(212) 905-1000</w:t>
      </w:r>
    </w:p>
    <w:p>
      <w:pPr>
        <w:spacing w:after="0" w:line="78"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NOTICE OF ANNUAL MEETING OF STOCKHOLDERS</w:t>
      </w:r>
    </w:p>
    <w:p>
      <w:pPr>
        <w:spacing w:after="0" w:line="21"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TO BE HELD ON FEBRUARY 2, 2010</w:t>
      </w:r>
    </w:p>
    <w:p>
      <w:pPr>
        <w:spacing w:after="0" w:line="165" w:lineRule="exact"/>
        <w:rPr>
          <w:sz w:val="20"/>
          <w:szCs w:val="20"/>
          <w:color w:val="auto"/>
        </w:rPr>
      </w:pPr>
    </w:p>
    <w:p>
      <w:pPr>
        <w:ind w:left="460"/>
        <w:spacing w:after="0"/>
        <w:rPr>
          <w:sz w:val="20"/>
          <w:szCs w:val="20"/>
          <w:color w:val="auto"/>
        </w:rPr>
      </w:pPr>
      <w:r>
        <w:rPr>
          <w:rFonts w:ascii="Arial" w:cs="Arial" w:eastAsia="Arial" w:hAnsi="Arial"/>
          <w:sz w:val="16"/>
          <w:szCs w:val="16"/>
          <w:color w:val="auto"/>
        </w:rPr>
        <w:t>Notice is hereby given to the owners of shares of common stock (the “Stockholders”) of PennantPark Investment Corporation (the “Company”) that:</w:t>
      </w:r>
    </w:p>
    <w:p>
      <w:pPr>
        <w:spacing w:after="0" w:line="113"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The 2010 Annual Meeting of Stockholders of the Company will be held at the offices of Dechert LLP, located at 1095 Avenue of the Americas, New York, New York, on February 2, 2010 at 9:30 a.m., Eastern Time, for the following purposes:</w:t>
      </w:r>
    </w:p>
    <w:p>
      <w:pPr>
        <w:spacing w:after="0" w:line="51" w:lineRule="exact"/>
        <w:rPr>
          <w:sz w:val="20"/>
          <w:szCs w:val="20"/>
          <w:color w:val="auto"/>
        </w:rPr>
      </w:pPr>
    </w:p>
    <w:p>
      <w:pPr>
        <w:ind w:left="900" w:hanging="446"/>
        <w:spacing w:after="0"/>
        <w:tabs>
          <w:tab w:leader="none" w:pos="900" w:val="left"/>
        </w:tabs>
        <w:numPr>
          <w:ilvl w:val="0"/>
          <w:numId w:val="4"/>
        </w:numPr>
        <w:rPr>
          <w:rFonts w:ascii="Arial" w:cs="Arial" w:eastAsia="Arial" w:hAnsi="Arial"/>
          <w:sz w:val="16"/>
          <w:szCs w:val="16"/>
          <w:color w:val="auto"/>
        </w:rPr>
      </w:pPr>
      <w:r>
        <w:rPr>
          <w:rFonts w:ascii="Arial" w:cs="Arial" w:eastAsia="Arial" w:hAnsi="Arial"/>
          <w:sz w:val="16"/>
          <w:szCs w:val="16"/>
          <w:color w:val="auto"/>
        </w:rPr>
        <w:t>To elect one Class III director of the Company who will serve for a term of three years or until his successor is duly elected and qualified;</w:t>
      </w:r>
    </w:p>
    <w:p>
      <w:pPr>
        <w:spacing w:after="0" w:line="113" w:lineRule="exact"/>
        <w:rPr>
          <w:rFonts w:ascii="Arial" w:cs="Arial" w:eastAsia="Arial" w:hAnsi="Arial"/>
          <w:sz w:val="16"/>
          <w:szCs w:val="16"/>
          <w:color w:val="auto"/>
        </w:rPr>
      </w:pPr>
    </w:p>
    <w:p>
      <w:pPr>
        <w:ind w:left="900" w:right="840" w:hanging="446"/>
        <w:spacing w:after="0" w:line="268" w:lineRule="auto"/>
        <w:tabs>
          <w:tab w:leader="none" w:pos="900" w:val="left"/>
        </w:tabs>
        <w:numPr>
          <w:ilvl w:val="0"/>
          <w:numId w:val="4"/>
        </w:numPr>
        <w:rPr>
          <w:rFonts w:ascii="Arial" w:cs="Arial" w:eastAsia="Arial" w:hAnsi="Arial"/>
          <w:sz w:val="18"/>
          <w:szCs w:val="18"/>
          <w:color w:val="auto"/>
        </w:rPr>
      </w:pPr>
      <w:r>
        <w:rPr>
          <w:rFonts w:ascii="Arial" w:cs="Arial" w:eastAsia="Arial" w:hAnsi="Arial"/>
          <w:sz w:val="18"/>
          <w:szCs w:val="18"/>
          <w:color w:val="auto"/>
        </w:rPr>
        <w:t>To ratify the selection of KPMG LLP to serve as the Company’s independent registered public accounting firm for the fiscal year ending September 30, 2010;</w:t>
      </w:r>
    </w:p>
    <w:p>
      <w:pPr>
        <w:spacing w:after="0" w:line="50" w:lineRule="exact"/>
        <w:rPr>
          <w:rFonts w:ascii="Arial" w:cs="Arial" w:eastAsia="Arial" w:hAnsi="Arial"/>
          <w:sz w:val="18"/>
          <w:szCs w:val="18"/>
          <w:color w:val="auto"/>
        </w:rPr>
      </w:pPr>
    </w:p>
    <w:p>
      <w:pPr>
        <w:ind w:left="900" w:hanging="446"/>
        <w:spacing w:after="0" w:line="259" w:lineRule="auto"/>
        <w:tabs>
          <w:tab w:leader="none" w:pos="900" w:val="left"/>
        </w:tabs>
        <w:numPr>
          <w:ilvl w:val="0"/>
          <w:numId w:val="4"/>
        </w:numPr>
        <w:rPr>
          <w:rFonts w:ascii="Arial" w:cs="Arial" w:eastAsia="Arial" w:hAnsi="Arial"/>
          <w:sz w:val="18"/>
          <w:szCs w:val="18"/>
          <w:color w:val="auto"/>
        </w:rPr>
      </w:pPr>
      <w:r>
        <w:rPr>
          <w:rFonts w:ascii="Arial" w:cs="Arial" w:eastAsia="Arial" w:hAnsi="Arial"/>
          <w:sz w:val="18"/>
          <w:szCs w:val="18"/>
          <w:color w:val="auto"/>
        </w:rPr>
        <w:t>To consider and vote upon a proposal to authorize flexibility for us, with the approval of our Board of Directors, to sell shares of our Common Stock (during the next 12 months) at a price below our then current net asset value per share, subject to certain limitations described in this proxy statement;</w:t>
      </w:r>
    </w:p>
    <w:p>
      <w:pPr>
        <w:spacing w:after="0" w:line="59" w:lineRule="exact"/>
        <w:rPr>
          <w:rFonts w:ascii="Arial" w:cs="Arial" w:eastAsia="Arial" w:hAnsi="Arial"/>
          <w:sz w:val="18"/>
          <w:szCs w:val="18"/>
          <w:color w:val="auto"/>
        </w:rPr>
      </w:pPr>
    </w:p>
    <w:p>
      <w:pPr>
        <w:ind w:left="900" w:hanging="446"/>
        <w:spacing w:after="0"/>
        <w:tabs>
          <w:tab w:leader="none" w:pos="900" w:val="left"/>
        </w:tabs>
        <w:numPr>
          <w:ilvl w:val="0"/>
          <w:numId w:val="4"/>
        </w:numPr>
        <w:rPr>
          <w:rFonts w:ascii="Arial" w:cs="Arial" w:eastAsia="Arial" w:hAnsi="Arial"/>
          <w:sz w:val="18"/>
          <w:szCs w:val="18"/>
          <w:color w:val="auto"/>
        </w:rPr>
      </w:pPr>
      <w:r>
        <w:rPr>
          <w:rFonts w:ascii="Arial" w:cs="Arial" w:eastAsia="Arial" w:hAnsi="Arial"/>
          <w:sz w:val="18"/>
          <w:szCs w:val="18"/>
          <w:color w:val="auto"/>
        </w:rPr>
        <w:t>To transact such other business as may properly come before the Meeting or any adjournments or postponements thereof.</w:t>
      </w:r>
    </w:p>
    <w:p>
      <w:pPr>
        <w:spacing w:after="0" w:line="171" w:lineRule="exact"/>
        <w:rPr>
          <w:sz w:val="20"/>
          <w:szCs w:val="20"/>
          <w:color w:val="auto"/>
        </w:rPr>
      </w:pPr>
    </w:p>
    <w:p>
      <w:pPr>
        <w:ind w:right="120" w:firstLine="456"/>
        <w:spacing w:after="0" w:line="294" w:lineRule="auto"/>
        <w:rPr>
          <w:sz w:val="20"/>
          <w:szCs w:val="20"/>
          <w:color w:val="auto"/>
        </w:rPr>
      </w:pPr>
      <w:r>
        <w:rPr>
          <w:rFonts w:ascii="Arial" w:cs="Arial" w:eastAsia="Arial" w:hAnsi="Arial"/>
          <w:sz w:val="16"/>
          <w:szCs w:val="16"/>
          <w:color w:val="auto"/>
        </w:rPr>
        <w:t>You have the right to receive notice of, and to vote at, the Annual Meeting if you were a stockholder of record at the close of business on December 15, 2009. Under rules adopted by the U.S. Securities and Exchange Commission, we are now furnishing proxy materials to our shareholders on the Internet, rather than mailing printed copies of those materials to each shareholder. If you received a Notice of Internet Availability of Proxy Materials by mail, you will not receive a printed copy of the proxy materials unless you request them. Instead, the Notice of Internet Availability of Proxy Materials will instruct you as to how you may access and review the proxy materials, and vote your proxy, on the Internet.</w:t>
      </w:r>
    </w:p>
    <w:p>
      <w:pPr>
        <w:spacing w:after="0" w:line="116"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Your vote is extremely important to us. If you are unable to attend the Annual Meeting of Stockholders, we encourage you to vote your proxy on the Internet by following the instructions provided on the Notice of Internet Availability of Proxy Materials. You may also request from us free of charge hard copies of the proxy statement and a proxy card by following the instructions on the Notice of Availability of Proxy Materials. In the event there are not sufficient votes for a quorum or to approve the proposals at the time of the Annual Meeting, the Annual Meeting may be adjourned in order to permit further solicitation of proxies by the Company.</w:t>
      </w:r>
    </w:p>
    <w:p>
      <w:pPr>
        <w:spacing w:after="0" w:line="137" w:lineRule="exact"/>
        <w:rPr>
          <w:sz w:val="20"/>
          <w:szCs w:val="20"/>
          <w:color w:val="auto"/>
        </w:rPr>
      </w:pPr>
    </w:p>
    <w:p>
      <w:pPr>
        <w:ind w:right="120"/>
        <w:spacing w:after="0" w:line="275" w:lineRule="auto"/>
        <w:rPr>
          <w:sz w:val="20"/>
          <w:szCs w:val="20"/>
          <w:color w:val="auto"/>
        </w:rPr>
      </w:pPr>
      <w:r>
        <w:rPr>
          <w:rFonts w:ascii="Arial" w:cs="Arial" w:eastAsia="Arial" w:hAnsi="Arial"/>
          <w:sz w:val="18"/>
          <w:szCs w:val="18"/>
          <w:b w:val="1"/>
          <w:bCs w:val="1"/>
          <w:color w:val="auto"/>
        </w:rPr>
        <w:t>THE BOARD OF DIRECTORS, INCLUDING THE INDEPENDENT DIRECTORS, UNANIMOUSLY RECOMMENDS THAT YOU VOTE “FOR” EACH OF THE PROPOSALS.</w:t>
      </w:r>
    </w:p>
    <w:p>
      <w:pPr>
        <w:spacing w:after="0" w:line="166"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By Order of the Board of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80010</wp:posOffset>
            </wp:positionV>
            <wp:extent cx="1414780" cy="42862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414780" cy="4286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72"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Thomas Friedmann</w:t>
      </w:r>
    </w:p>
    <w:p>
      <w:pPr>
        <w:spacing w:after="0" w:line="1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Secretary</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color w:val="auto"/>
        </w:rPr>
        <w:t>New York, New York</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December 21, 2009</w:t>
      </w:r>
    </w:p>
    <w:p>
      <w:pPr>
        <w:sectPr>
          <w:pgSz w:w="11900" w:h="16838" w:orient="portrait"/>
          <w:cols w:equalWidth="0" w:num="1">
            <w:col w:w="11340"/>
          </w:cols>
          <w:pgMar w:left="240" w:top="274" w:right="319" w:bottom="1440" w:gutter="0" w:footer="0" w:header="0"/>
        </w:sectPr>
      </w:pPr>
    </w:p>
    <w:bookmarkStart w:id="3" w:name="page4"/>
    <w:bookmarkEnd w:id="3"/>
    <w:p>
      <w:pPr>
        <w:jc w:val="center"/>
        <w:ind w:right="-7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PENNANTPARK INVESTMENT CORPORATION</w:t>
      </w:r>
    </w:p>
    <w:p>
      <w:pPr>
        <w:spacing w:after="0" w:line="21"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590 Madison Avenue, 15th Floor</w:t>
      </w:r>
    </w:p>
    <w:p>
      <w:pPr>
        <w:spacing w:after="0" w:line="9"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New York, New York 10022</w:t>
      </w:r>
    </w:p>
    <w:p>
      <w:pPr>
        <w:spacing w:after="0" w:line="9" w:lineRule="exact"/>
        <w:rPr>
          <w:sz w:val="20"/>
          <w:szCs w:val="20"/>
          <w:color w:val="auto"/>
        </w:rPr>
      </w:pPr>
    </w:p>
    <w:p>
      <w:pPr>
        <w:ind w:left="5580" w:hanging="415"/>
        <w:spacing w:after="0"/>
        <w:tabs>
          <w:tab w:leader="none" w:pos="5580" w:val="left"/>
        </w:tabs>
        <w:numPr>
          <w:ilvl w:val="0"/>
          <w:numId w:val="5"/>
        </w:numPr>
        <w:rPr>
          <w:rFonts w:ascii="Arial" w:cs="Arial" w:eastAsia="Arial" w:hAnsi="Arial"/>
          <w:sz w:val="16"/>
          <w:szCs w:val="16"/>
          <w:b w:val="1"/>
          <w:bCs w:val="1"/>
          <w:color w:val="auto"/>
        </w:rPr>
      </w:pPr>
      <w:r>
        <w:rPr>
          <w:rFonts w:ascii="Arial" w:cs="Arial" w:eastAsia="Arial" w:hAnsi="Arial"/>
          <w:sz w:val="16"/>
          <w:szCs w:val="16"/>
          <w:b w:val="1"/>
          <w:bCs w:val="1"/>
          <w:color w:val="auto"/>
        </w:rPr>
        <w:t>905-1000</w:t>
      </w:r>
    </w:p>
    <w:p>
      <w:pPr>
        <w:spacing w:after="0" w:line="100" w:lineRule="exact"/>
        <w:rPr>
          <w:rFonts w:ascii="Arial" w:cs="Arial" w:eastAsia="Arial" w:hAnsi="Arial"/>
          <w:sz w:val="16"/>
          <w:szCs w:val="16"/>
          <w:b w:val="1"/>
          <w:bCs w:val="1"/>
          <w:color w:val="auto"/>
        </w:rPr>
      </w:pPr>
    </w:p>
    <w:p>
      <w:pPr>
        <w:ind w:left="4840"/>
        <w:spacing w:after="0"/>
        <w:rPr>
          <w:rFonts w:ascii="Arial" w:cs="Arial" w:eastAsia="Arial" w:hAnsi="Arial"/>
          <w:sz w:val="16"/>
          <w:szCs w:val="16"/>
          <w:b w:val="1"/>
          <w:bCs w:val="1"/>
          <w:color w:val="auto"/>
        </w:rPr>
      </w:pPr>
      <w:r>
        <w:rPr>
          <w:rFonts w:ascii="Arial" w:cs="Arial" w:eastAsia="Arial" w:hAnsi="Arial"/>
          <w:sz w:val="18"/>
          <w:szCs w:val="18"/>
          <w:b w:val="1"/>
          <w:bCs w:val="1"/>
          <w:color w:val="auto"/>
        </w:rPr>
        <w:t>PROXY STATEMENT</w:t>
      </w:r>
    </w:p>
    <w:p>
      <w:pPr>
        <w:spacing w:after="0" w:line="90"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For</w:t>
      </w:r>
    </w:p>
    <w:p>
      <w:pPr>
        <w:spacing w:after="0" w:line="90"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2010 Annual Meeting of Stockholders</w:t>
      </w:r>
    </w:p>
    <w:p>
      <w:pPr>
        <w:spacing w:after="0" w:line="90"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To Be Held on February 2, 2010</w:t>
      </w:r>
    </w:p>
    <w:p>
      <w:pPr>
        <w:spacing w:after="0" w:line="177" w:lineRule="exact"/>
        <w:rPr>
          <w:sz w:val="20"/>
          <w:szCs w:val="20"/>
          <w:color w:val="auto"/>
        </w:rPr>
      </w:pPr>
    </w:p>
    <w:p>
      <w:pPr>
        <w:ind w:right="240" w:firstLine="456"/>
        <w:spacing w:after="0" w:line="306" w:lineRule="auto"/>
        <w:rPr>
          <w:sz w:val="20"/>
          <w:szCs w:val="20"/>
          <w:color w:val="auto"/>
        </w:rPr>
      </w:pPr>
      <w:r>
        <w:rPr>
          <w:rFonts w:ascii="Arial" w:cs="Arial" w:eastAsia="Arial" w:hAnsi="Arial"/>
          <w:sz w:val="16"/>
          <w:szCs w:val="16"/>
          <w:color w:val="auto"/>
        </w:rPr>
        <w:t>This document will give you the information you need to vote on the matters listed on the accompanying Notice of Annual Meeting of Stockholders (“Notice of Annual Meeting”). Much of the information in this Proxy Statement is required under rules of the Securities and Exchange Commission (“SEC”); some of it is technical in nature. If there is anything you do not understand, please contact us at 212-905-1000.</w:t>
      </w:r>
    </w:p>
    <w:p>
      <w:pPr>
        <w:spacing w:after="0" w:line="107" w:lineRule="exact"/>
        <w:rPr>
          <w:sz w:val="20"/>
          <w:szCs w:val="20"/>
          <w:color w:val="auto"/>
        </w:rPr>
      </w:pPr>
    </w:p>
    <w:p>
      <w:pPr>
        <w:ind w:right="20" w:firstLine="456"/>
        <w:spacing w:after="0" w:line="291" w:lineRule="auto"/>
        <w:rPr>
          <w:sz w:val="20"/>
          <w:szCs w:val="20"/>
          <w:color w:val="auto"/>
        </w:rPr>
      </w:pPr>
      <w:r>
        <w:rPr>
          <w:rFonts w:ascii="Arial" w:cs="Arial" w:eastAsia="Arial" w:hAnsi="Arial"/>
          <w:sz w:val="16"/>
          <w:szCs w:val="16"/>
          <w:color w:val="auto"/>
        </w:rPr>
        <w:t>This Proxy Statement is furnished in connection with the solicitation of proxies by the Board of Directors (the “Board”) of PennantPark Investment Corporation (the “Company,” “we,” “us” or “our”) for use at our 2010 Annual Meeting of Stockholders (the “Meeting”) to be held on Tuesday, February 2, 2010 at 9:30 a.m., Eastern Time, at the offices of Dechert LLP, located at 1095 Avenue of the Americas, New York, New York and at any postponements or adjournments thereof. This Proxy Statement and the Company’s Annual Report for the fiscal year ended September 30, 2009, are being provided to stockholders of the Company (the “Stockholders”) via the Internet on or about December 21, 2009. In addition, a Notice of Annual Meeting and a Notice of Internet Availability of Proxy Materials are being sent to Stockholders of record as of December 15, 2009.</w:t>
      </w:r>
    </w:p>
    <w:p>
      <w:pPr>
        <w:spacing w:after="0" w:line="120" w:lineRule="exact"/>
        <w:rPr>
          <w:sz w:val="20"/>
          <w:szCs w:val="20"/>
          <w:color w:val="auto"/>
        </w:rPr>
      </w:pPr>
    </w:p>
    <w:p>
      <w:pPr>
        <w:ind w:right="120" w:firstLine="456"/>
        <w:spacing w:after="0" w:line="256" w:lineRule="auto"/>
        <w:rPr>
          <w:sz w:val="20"/>
          <w:szCs w:val="20"/>
          <w:color w:val="auto"/>
        </w:rPr>
      </w:pPr>
      <w:r>
        <w:rPr>
          <w:rFonts w:ascii="Arial" w:cs="Arial" w:eastAsia="Arial" w:hAnsi="Arial"/>
          <w:sz w:val="18"/>
          <w:szCs w:val="18"/>
          <w:color w:val="auto"/>
        </w:rPr>
        <w:t>We encourage you to vote your shares, either by voting in person at the Meeting or by voting by proxy (i.e., authorizing someone to vote your shares). Shares represented by duly executed proxies will be voted in accordance with your instructions. If you execute a proxy without specifying your voting instructions, your shares will be voted in accordance with the Board’s recommendation. If any other business is brought before the Meeting, your shares will be voted at the Board’s discretion unless you specifically state otherwise on your proxy.</w:t>
      </w:r>
    </w:p>
    <w:p>
      <w:pPr>
        <w:spacing w:after="0" w:line="143" w:lineRule="exact"/>
        <w:rPr>
          <w:sz w:val="20"/>
          <w:szCs w:val="20"/>
          <w:color w:val="auto"/>
        </w:rPr>
      </w:pPr>
    </w:p>
    <w:p>
      <w:pPr>
        <w:jc w:val="both"/>
        <w:ind w:right="20" w:firstLine="456"/>
        <w:spacing w:after="0" w:line="259" w:lineRule="auto"/>
        <w:rPr>
          <w:sz w:val="20"/>
          <w:szCs w:val="20"/>
          <w:color w:val="auto"/>
        </w:rPr>
      </w:pPr>
      <w:r>
        <w:rPr>
          <w:rFonts w:ascii="Arial" w:cs="Arial" w:eastAsia="Arial" w:hAnsi="Arial"/>
          <w:sz w:val="18"/>
          <w:szCs w:val="18"/>
          <w:color w:val="auto"/>
        </w:rPr>
        <w:t>You may revoke a proxy at any time before it is exercised by notifying the Company’s Secretary in writing, by submitting a properly executed, later-dated proxy, or by voting in person at the Meeting. Any Stockholder entitled to vote at the Meeting may attend the Meeting and vote in person whether or not he or she has previously voted his or her shares via proxy or wishes to change a previous vote.</w:t>
      </w:r>
    </w:p>
    <w:p>
      <w:pPr>
        <w:spacing w:after="0" w:line="14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You will be eligible to vote your shares electronically via the Internet, telephone or by mail.</w:t>
      </w:r>
    </w:p>
    <w:p>
      <w:pPr>
        <w:spacing w:after="0" w:line="333" w:lineRule="exact"/>
        <w:rPr>
          <w:sz w:val="20"/>
          <w:szCs w:val="20"/>
          <w:color w:val="auto"/>
        </w:rPr>
      </w:pPr>
    </w:p>
    <w:p>
      <w:pPr>
        <w:ind w:left="5000"/>
        <w:spacing w:after="0"/>
        <w:rPr>
          <w:sz w:val="20"/>
          <w:szCs w:val="20"/>
          <w:color w:val="auto"/>
        </w:rPr>
      </w:pPr>
      <w:r>
        <w:rPr>
          <w:rFonts w:ascii="Arial" w:cs="Arial" w:eastAsia="Arial" w:hAnsi="Arial"/>
          <w:sz w:val="18"/>
          <w:szCs w:val="18"/>
          <w:b w:val="1"/>
          <w:bCs w:val="1"/>
          <w:i w:val="1"/>
          <w:iCs w:val="1"/>
          <w:color w:val="auto"/>
        </w:rPr>
        <w:t>Purpose of Meeting</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At the Meeting, you will be asked to vote on the following proposals:</w:t>
      </w:r>
    </w:p>
    <w:p>
      <w:pPr>
        <w:spacing w:after="0" w:line="90" w:lineRule="exact"/>
        <w:rPr>
          <w:sz w:val="20"/>
          <w:szCs w:val="20"/>
          <w:color w:val="auto"/>
        </w:rPr>
      </w:pPr>
    </w:p>
    <w:p>
      <w:pPr>
        <w:ind w:left="900" w:hanging="446"/>
        <w:spacing w:after="0"/>
        <w:tabs>
          <w:tab w:leader="none" w:pos="900" w:val="left"/>
        </w:tabs>
        <w:numPr>
          <w:ilvl w:val="0"/>
          <w:numId w:val="6"/>
        </w:numPr>
        <w:rPr>
          <w:rFonts w:ascii="Arial" w:cs="Arial" w:eastAsia="Arial" w:hAnsi="Arial"/>
          <w:sz w:val="16"/>
          <w:szCs w:val="16"/>
          <w:color w:val="auto"/>
        </w:rPr>
      </w:pPr>
      <w:r>
        <w:rPr>
          <w:rFonts w:ascii="Arial" w:cs="Arial" w:eastAsia="Arial" w:hAnsi="Arial"/>
          <w:sz w:val="16"/>
          <w:szCs w:val="16"/>
          <w:color w:val="auto"/>
        </w:rPr>
        <w:t>To elect one Class III director of the Company who will serve for a term of three years or until his successor is duly elected and qualified;</w:t>
      </w:r>
    </w:p>
    <w:p>
      <w:pPr>
        <w:spacing w:after="0" w:line="113" w:lineRule="exact"/>
        <w:rPr>
          <w:rFonts w:ascii="Arial" w:cs="Arial" w:eastAsia="Arial" w:hAnsi="Arial"/>
          <w:sz w:val="16"/>
          <w:szCs w:val="16"/>
          <w:color w:val="auto"/>
        </w:rPr>
      </w:pPr>
    </w:p>
    <w:p>
      <w:pPr>
        <w:ind w:left="900" w:right="840" w:hanging="446"/>
        <w:spacing w:after="0" w:line="268" w:lineRule="auto"/>
        <w:tabs>
          <w:tab w:leader="none" w:pos="900" w:val="left"/>
        </w:tabs>
        <w:numPr>
          <w:ilvl w:val="0"/>
          <w:numId w:val="6"/>
        </w:numPr>
        <w:rPr>
          <w:rFonts w:ascii="Arial" w:cs="Arial" w:eastAsia="Arial" w:hAnsi="Arial"/>
          <w:sz w:val="18"/>
          <w:szCs w:val="18"/>
          <w:color w:val="auto"/>
        </w:rPr>
      </w:pPr>
      <w:r>
        <w:rPr>
          <w:rFonts w:ascii="Arial" w:cs="Arial" w:eastAsia="Arial" w:hAnsi="Arial"/>
          <w:sz w:val="18"/>
          <w:szCs w:val="18"/>
          <w:color w:val="auto"/>
        </w:rPr>
        <w:t>To ratify the selection of KPMG LLP to serve as the Company’s independent registered public accounting firm for the fiscal year ending September 30, 2010; and</w:t>
      </w:r>
    </w:p>
    <w:p>
      <w:pPr>
        <w:spacing w:after="0" w:line="50" w:lineRule="exact"/>
        <w:rPr>
          <w:rFonts w:ascii="Arial" w:cs="Arial" w:eastAsia="Arial" w:hAnsi="Arial"/>
          <w:sz w:val="18"/>
          <w:szCs w:val="18"/>
          <w:color w:val="auto"/>
        </w:rPr>
      </w:pPr>
    </w:p>
    <w:p>
      <w:pPr>
        <w:ind w:left="900" w:hanging="446"/>
        <w:spacing w:after="0" w:line="259" w:lineRule="auto"/>
        <w:tabs>
          <w:tab w:leader="none" w:pos="900" w:val="left"/>
        </w:tabs>
        <w:numPr>
          <w:ilvl w:val="0"/>
          <w:numId w:val="6"/>
        </w:numPr>
        <w:rPr>
          <w:rFonts w:ascii="Arial" w:cs="Arial" w:eastAsia="Arial" w:hAnsi="Arial"/>
          <w:sz w:val="18"/>
          <w:szCs w:val="18"/>
          <w:color w:val="auto"/>
        </w:rPr>
      </w:pPr>
      <w:r>
        <w:rPr>
          <w:rFonts w:ascii="Arial" w:cs="Arial" w:eastAsia="Arial" w:hAnsi="Arial"/>
          <w:sz w:val="18"/>
          <w:szCs w:val="18"/>
          <w:color w:val="auto"/>
        </w:rPr>
        <w:t>To consider and vote upon a proposal to authorize flexibility for us, with the approval of our Board of Directors, to sell shares of our Common Stock (during the next 12 months) at a price below our then current net asset value per share, subject to certain limitations described in this proxy statement;</w:t>
      </w:r>
    </w:p>
    <w:p>
      <w:pPr>
        <w:spacing w:after="0" w:line="127"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340"/>
          </w:cols>
          <w:pgMar w:left="240" w:top="274" w:right="319" w:bottom="1440" w:gutter="0" w:footer="0" w:header="0"/>
        </w:sectPr>
      </w:pPr>
    </w:p>
    <w:bookmarkStart w:id="4" w:name="page5"/>
    <w:bookmarkEnd w:id="4"/>
    <w:p>
      <w:pPr>
        <w:ind w:left="900" w:hanging="446"/>
        <w:spacing w:after="0"/>
        <w:tabs>
          <w:tab w:leader="none" w:pos="900" w:val="left"/>
        </w:tabs>
        <w:numPr>
          <w:ilvl w:val="0"/>
          <w:numId w:val="7"/>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To transact such other business as may properly come before the Meeting or any adjournments or postponements thereof.</w:t>
      </w:r>
    </w:p>
    <w:p>
      <w:pPr>
        <w:spacing w:after="0" w:line="33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i w:val="1"/>
          <w:iCs w:val="1"/>
          <w:color w:val="auto"/>
        </w:rPr>
        <w:t>Voting Securities</w:t>
      </w:r>
    </w:p>
    <w:p>
      <w:pPr>
        <w:spacing w:after="0" w:line="171" w:lineRule="exact"/>
        <w:rPr>
          <w:sz w:val="20"/>
          <w:szCs w:val="20"/>
          <w:color w:val="auto"/>
        </w:rPr>
      </w:pPr>
    </w:p>
    <w:p>
      <w:pPr>
        <w:jc w:val="both"/>
        <w:ind w:right="360" w:firstLine="456"/>
        <w:spacing w:after="0" w:line="259" w:lineRule="auto"/>
        <w:rPr>
          <w:sz w:val="20"/>
          <w:szCs w:val="20"/>
          <w:color w:val="auto"/>
        </w:rPr>
      </w:pPr>
      <w:r>
        <w:rPr>
          <w:rFonts w:ascii="Arial" w:cs="Arial" w:eastAsia="Arial" w:hAnsi="Arial"/>
          <w:sz w:val="18"/>
          <w:szCs w:val="18"/>
          <w:color w:val="auto"/>
        </w:rPr>
        <w:t>You may vote your shares at the Meeting only if you were a Stockholder of record at the close of business on December 15, 2009 (the “Record Date”). There were 25,808,772 shares of the Company’s common stock (the “Common Stock”) outstanding on the Record Date. Each share of the Common Stock is entitled to one vote.</w:t>
      </w:r>
    </w:p>
    <w:p>
      <w:pPr>
        <w:spacing w:after="0" w:line="302"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i w:val="1"/>
          <w:iCs w:val="1"/>
          <w:color w:val="auto"/>
        </w:rPr>
        <w:t>Quorum Required</w:t>
      </w:r>
    </w:p>
    <w:p>
      <w:pPr>
        <w:spacing w:after="0" w:line="171"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color w:val="auto"/>
        </w:rPr>
        <w:t>A quorum must be present at the Meeting for any business to be conducted. The presence at the Meeting, in person or by proxy, of the holders of a majority of the shares of Common Stock outstanding on the Record Date will constitute a quorum. Shares held by a broker or other nominee for which the nominee has not received voting instructions from the record holder and does not have discretionary authority to vote the shares on non-routine proposals (which are considered “broker non-votes” with respect to such proposals), will be treated as shares present for quorum purposes. If there are not enough votes for a quorum, the chairman of the Meeting will adjourn the Meeting to permit the further solicitation of proxies.</w:t>
      </w:r>
    </w:p>
    <w:p>
      <w:pPr>
        <w:spacing w:after="0" w:line="27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i w:val="1"/>
          <w:iCs w:val="1"/>
          <w:color w:val="auto"/>
        </w:rPr>
        <w:t>Votes Required</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Election of Director</w:t>
      </w:r>
    </w:p>
    <w:p>
      <w:pPr>
        <w:spacing w:after="0" w:line="96" w:lineRule="exact"/>
        <w:rPr>
          <w:sz w:val="20"/>
          <w:szCs w:val="20"/>
          <w:color w:val="auto"/>
        </w:rPr>
      </w:pPr>
    </w:p>
    <w:p>
      <w:pPr>
        <w:ind w:right="60" w:firstLine="456"/>
        <w:spacing w:after="0" w:line="306" w:lineRule="auto"/>
        <w:rPr>
          <w:sz w:val="20"/>
          <w:szCs w:val="20"/>
          <w:color w:val="auto"/>
        </w:rPr>
      </w:pPr>
      <w:r>
        <w:rPr>
          <w:rFonts w:ascii="Arial" w:cs="Arial" w:eastAsia="Arial" w:hAnsi="Arial"/>
          <w:sz w:val="16"/>
          <w:szCs w:val="16"/>
          <w:color w:val="auto"/>
        </w:rPr>
        <w:t>The election of a director requires the vote of a majority of the shares of stock outstanding. Stockholders may not cumulate their votes. If you vote “Withhold Authority” with respect to a nominee, your shares will not be voted with respect to the person indicated. Because directors are elected by a majority of the votes of the outstanding Common Stock of the Company, votes to withhold authority, or no votes, will have the effect of a vote against the nominee.</w:t>
      </w:r>
    </w:p>
    <w:p>
      <w:pPr>
        <w:spacing w:after="0" w:line="10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Ratification of Independent Registered Public Accounting Firm</w:t>
      </w:r>
    </w:p>
    <w:p>
      <w:pPr>
        <w:spacing w:after="0" w:line="96" w:lineRule="exact"/>
        <w:rPr>
          <w:sz w:val="20"/>
          <w:szCs w:val="20"/>
          <w:color w:val="auto"/>
        </w:rPr>
      </w:pPr>
    </w:p>
    <w:p>
      <w:pPr>
        <w:jc w:val="both"/>
        <w:ind w:right="60" w:firstLine="456"/>
        <w:spacing w:after="0" w:line="259" w:lineRule="auto"/>
        <w:rPr>
          <w:sz w:val="20"/>
          <w:szCs w:val="20"/>
          <w:color w:val="auto"/>
        </w:rPr>
      </w:pPr>
      <w:r>
        <w:rPr>
          <w:rFonts w:ascii="Arial" w:cs="Arial" w:eastAsia="Arial" w:hAnsi="Arial"/>
          <w:sz w:val="18"/>
          <w:szCs w:val="18"/>
          <w:color w:val="auto"/>
        </w:rPr>
        <w:t>The affirmative vote of a majority of the votes cast at the Meeting in person or by proxy is required to ratify the appointment of KPMG LLP to serve as the Company’s independent registered public accounting firm. Abstentions will not be included in determining the number of votes cast and, as a result, will have no effect on this proposal.</w:t>
      </w:r>
    </w:p>
    <w:p>
      <w:pPr>
        <w:spacing w:after="0" w:line="1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Authorization to offer and sell shares of Common Stock below Net Asset Value</w:t>
      </w:r>
    </w:p>
    <w:p>
      <w:pPr>
        <w:spacing w:after="0" w:line="96" w:lineRule="exact"/>
        <w:rPr>
          <w:sz w:val="20"/>
          <w:szCs w:val="20"/>
          <w:color w:val="auto"/>
        </w:rPr>
      </w:pPr>
    </w:p>
    <w:p>
      <w:pPr>
        <w:ind w:right="120" w:firstLine="456"/>
        <w:spacing w:after="0" w:line="254" w:lineRule="auto"/>
        <w:rPr>
          <w:sz w:val="20"/>
          <w:szCs w:val="20"/>
          <w:color w:val="auto"/>
        </w:rPr>
      </w:pPr>
      <w:r>
        <w:rPr>
          <w:rFonts w:ascii="Arial" w:cs="Arial" w:eastAsia="Arial" w:hAnsi="Arial"/>
          <w:sz w:val="18"/>
          <w:szCs w:val="18"/>
          <w:color w:val="auto"/>
        </w:rPr>
        <w:t>Approval of Proposal 3 requires the affirmative vote of the Stockholders holding (1) a majority of the outstanding shares of our Common Stock entitled to vote at the Meeting and (2) a majority of the outstanding shares of our Common Stock entitled to vote at the meeting that are not held by affiliated persons of us. For purposes of this proposal, the Investment Company Act of 1940, as amended (the “1940 Act”), defines “a majority of outstanding voting securities of a company” as: (1) 67% or more of the voting securities present at the applicable meeting if the holders of more than 50% of the outstanding voting securities of such company are present or represented by proxy; or (2) more than 50% of the outstanding voting securities of such company, whichever is less. Abstentions will have the effect of a vote against this proposal.</w:t>
      </w:r>
    </w:p>
    <w:p>
      <w:pPr>
        <w:spacing w:after="0" w:line="13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Broker Non-votes</w:t>
      </w:r>
    </w:p>
    <w:p>
      <w:pPr>
        <w:spacing w:after="0" w:line="96" w:lineRule="exact"/>
        <w:rPr>
          <w:sz w:val="20"/>
          <w:szCs w:val="20"/>
          <w:color w:val="auto"/>
        </w:rPr>
      </w:pPr>
    </w:p>
    <w:p>
      <w:pPr>
        <w:ind w:right="20" w:firstLine="456"/>
        <w:spacing w:after="0" w:line="291" w:lineRule="auto"/>
        <w:rPr>
          <w:sz w:val="20"/>
          <w:szCs w:val="20"/>
          <w:color w:val="auto"/>
        </w:rPr>
      </w:pPr>
      <w:r>
        <w:rPr>
          <w:rFonts w:ascii="Arial" w:cs="Arial" w:eastAsia="Arial" w:hAnsi="Arial"/>
          <w:sz w:val="16"/>
          <w:szCs w:val="16"/>
          <w:color w:val="auto"/>
        </w:rPr>
        <w:t xml:space="preserve">Broker Non-votes are described a votes cast by a broker or other nominee on behalf of a beneficial holder who does not provide explicit voting instructions to such broker or nominee who does not attend the meeting. Proposals 1 and 3 are non-routine matters. As a result, if you hold shares in “street name” through a broker, bank or other nominee, your broker, bank or nominee will </w:t>
      </w:r>
      <w:r>
        <w:rPr>
          <w:rFonts w:ascii="Arial" w:cs="Arial" w:eastAsia="Arial" w:hAnsi="Arial"/>
          <w:sz w:val="16"/>
          <w:szCs w:val="16"/>
          <w:b w:val="1"/>
          <w:bCs w:val="1"/>
          <w:color w:val="auto"/>
        </w:rPr>
        <w:t>not</w:t>
      </w:r>
      <w:r>
        <w:rPr>
          <w:rFonts w:ascii="Arial" w:cs="Arial" w:eastAsia="Arial" w:hAnsi="Arial"/>
          <w:sz w:val="16"/>
          <w:szCs w:val="16"/>
          <w:color w:val="auto"/>
        </w:rPr>
        <w:t xml:space="preserve"> be permitted to exercise voting discretion with respect to Proposals 1 and 3. Thus, if you do not give your broker or nominee specific instructions on how to vote for you or do not vote for yourself in accordance with the voting instructions in the Notice of Internet Availability of Proxy Materials or by requesting hard copy proxy materials from us and returning a proxy card or by other arrangement with your broker or nominee, your shares will have the effect of a vote against Proposals 1 and 3.</w:t>
      </w:r>
    </w:p>
    <w:p>
      <w:pPr>
        <w:spacing w:after="0" w:line="10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420"/>
          </w:cols>
          <w:pgMar w:left="240" w:top="280" w:right="239" w:bottom="1440" w:gutter="0" w:footer="0" w:header="0"/>
        </w:sectPr>
      </w:pPr>
    </w:p>
    <w:bookmarkStart w:id="5" w:name="page6"/>
    <w:bookmarkEnd w:id="5"/>
    <w:p>
      <w:pPr>
        <w:ind w:right="120" w:firstLine="456"/>
        <w:spacing w:after="0" w:line="256"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Proposal 2 is a routine matter. As a result, if you beneficially own your shares and you do not provide your broker or nominee with proxy instructions, either by voting in accordance with the instructions on the Notice of Internet Availability of Proxy Materials or by requesting hard copy proxy materials from us and returning a proxy card or by other arrangement with your broker or nominee, your broker or nominee will be able to vote your shares for you on this routine matter and any other routine matter that comes before the Meeting.</w:t>
      </w:r>
    </w:p>
    <w:p>
      <w:pPr>
        <w:spacing w:after="0" w:line="143" w:lineRule="exact"/>
        <w:rPr>
          <w:sz w:val="20"/>
          <w:szCs w:val="20"/>
          <w:color w:val="auto"/>
        </w:rPr>
      </w:pPr>
    </w:p>
    <w:p>
      <w:pPr>
        <w:ind w:right="40" w:firstLine="456"/>
        <w:spacing w:after="0" w:line="256" w:lineRule="auto"/>
        <w:rPr>
          <w:sz w:val="20"/>
          <w:szCs w:val="20"/>
          <w:color w:val="auto"/>
        </w:rPr>
      </w:pPr>
      <w:r>
        <w:rPr>
          <w:rFonts w:ascii="Arial" w:cs="Arial" w:eastAsia="Arial" w:hAnsi="Arial"/>
          <w:sz w:val="18"/>
          <w:szCs w:val="18"/>
          <w:i w:val="1"/>
          <w:iCs w:val="1"/>
          <w:color w:val="auto"/>
        </w:rPr>
        <w:t xml:space="preserve">Adjournment and Additional Solicitation. </w:t>
      </w:r>
      <w:r>
        <w:rPr>
          <w:rFonts w:ascii="Arial" w:cs="Arial" w:eastAsia="Arial" w:hAnsi="Arial"/>
          <w:sz w:val="18"/>
          <w:szCs w:val="18"/>
          <w:color w:val="auto"/>
        </w:rPr>
        <w:t>If there appears not to be enough votes to approve the proposals at the Meeting, the Stockholders who are</w:t>
      </w:r>
      <w:r>
        <w:rPr>
          <w:rFonts w:ascii="Arial" w:cs="Arial" w:eastAsia="Arial" w:hAnsi="Arial"/>
          <w:sz w:val="18"/>
          <w:szCs w:val="18"/>
          <w:i w:val="1"/>
          <w:iCs w:val="1"/>
          <w:color w:val="auto"/>
        </w:rPr>
        <w:t xml:space="preserve"> </w:t>
      </w:r>
      <w:r>
        <w:rPr>
          <w:rFonts w:ascii="Arial" w:cs="Arial" w:eastAsia="Arial" w:hAnsi="Arial"/>
          <w:sz w:val="18"/>
          <w:szCs w:val="18"/>
          <w:color w:val="auto"/>
        </w:rPr>
        <w:t>represented in person or by proxy may vote to adjourn the Meeting to permit the further solicitation of proxies. Mr. Marshall Brozost and Mr. Samuel L. Katz are the persons named as proxies and will vote proxies held by them for such adjournment, unless marked to be voted against any proposal for which an adjournment is sought, to permit the further solicitation of proxies.</w:t>
      </w:r>
    </w:p>
    <w:p>
      <w:pPr>
        <w:spacing w:after="0" w:line="143" w:lineRule="exact"/>
        <w:rPr>
          <w:sz w:val="20"/>
          <w:szCs w:val="20"/>
          <w:color w:val="auto"/>
        </w:rPr>
      </w:pPr>
    </w:p>
    <w:p>
      <w:pPr>
        <w:ind w:right="40" w:firstLine="456"/>
        <w:spacing w:after="0" w:line="268" w:lineRule="auto"/>
        <w:rPr>
          <w:sz w:val="20"/>
          <w:szCs w:val="20"/>
          <w:color w:val="auto"/>
        </w:rPr>
      </w:pPr>
      <w:r>
        <w:rPr>
          <w:rFonts w:ascii="Arial" w:cs="Arial" w:eastAsia="Arial" w:hAnsi="Arial"/>
          <w:sz w:val="18"/>
          <w:szCs w:val="18"/>
          <w:color w:val="auto"/>
        </w:rPr>
        <w:t>A Stockholder vote may be taken on any of the proposals in this Proxy Statement prior to any such adjournment if there are sufficient votes for approval of such proposal.</w:t>
      </w:r>
    </w:p>
    <w:p>
      <w:pPr>
        <w:spacing w:after="0" w:line="294"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i w:val="1"/>
          <w:iCs w:val="1"/>
          <w:color w:val="auto"/>
        </w:rPr>
        <w:t>Information Regarding This Solicitation</w:t>
      </w:r>
    </w:p>
    <w:p>
      <w:pPr>
        <w:spacing w:after="0" w:line="171" w:lineRule="exact"/>
        <w:rPr>
          <w:sz w:val="20"/>
          <w:szCs w:val="20"/>
          <w:color w:val="auto"/>
        </w:rPr>
      </w:pPr>
    </w:p>
    <w:p>
      <w:pPr>
        <w:ind w:right="80" w:firstLine="456"/>
        <w:spacing w:after="0" w:line="291" w:lineRule="auto"/>
        <w:rPr>
          <w:sz w:val="20"/>
          <w:szCs w:val="20"/>
          <w:color w:val="auto"/>
        </w:rPr>
      </w:pPr>
      <w:r>
        <w:rPr>
          <w:rFonts w:ascii="Arial" w:cs="Arial" w:eastAsia="Arial" w:hAnsi="Arial"/>
          <w:sz w:val="16"/>
          <w:szCs w:val="16"/>
          <w:color w:val="auto"/>
        </w:rPr>
        <w:t>The Company will bear the expense of the solicitation of proxies for the Meeting, including the cost of preparing and posting this Proxy Statement and the Annual Report to the Internet and the cost of mailing the Notice of Annual Meeting of Stockholders, the Notice of Internet Availability of Proxy Materials and any requested proxy materials to Stockholders. The Company intends to use the services of Broadridge Financial Solutions, Inc., a leading provider of investor communications solutions, to aid in the distribution and collection of proxy votes. The Company expects to pay market rates for such services. If brokers, trustees, or fiduciaries and other institutions holding shares in their own names or in the names of their nominee, which shares are beneficially owned by others, forward the proxy materials to, and obtain proxies from, such beneficial owners, we will reimburse such persons for their reasonable expenses in so doing.</w:t>
      </w:r>
    </w:p>
    <w:p>
      <w:pPr>
        <w:spacing w:after="0" w:line="120"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In addition to the solicitation of proxies by the use of the Internet, proxies may be solicited in person and/or by telephone, mail or facsimile transmission by directors or officers of the Company, officers or employees of PennantPark Investment Advisers, LLC, the Company’s investment adviser and/or by a retained solicitor. No additional compensation will be paid to directors, officers or regular employees for such services. If the Company retains a solicitor, the Company has estimated that it will pay approximately $15,000 for such services. If the Company engages a solicitor, you could be contacted by telephone on behalf of the Company and urged to vote. The solicitor will not attempt to influence how you vote your shares, but only ask that you take the time to cast a vote. You may also be asked if you would like to vote over the telephone and to have your vote transmitted to our proxy tabulation firm.</w:t>
      </w:r>
    </w:p>
    <w:p>
      <w:pPr>
        <w:spacing w:after="0" w:line="120" w:lineRule="exact"/>
        <w:rPr>
          <w:sz w:val="20"/>
          <w:szCs w:val="20"/>
          <w:color w:val="auto"/>
        </w:rPr>
      </w:pPr>
    </w:p>
    <w:p>
      <w:pPr>
        <w:jc w:val="both"/>
        <w:ind w:right="60" w:firstLine="456"/>
        <w:spacing w:after="0" w:line="284" w:lineRule="auto"/>
        <w:rPr>
          <w:sz w:val="20"/>
          <w:szCs w:val="20"/>
          <w:color w:val="auto"/>
        </w:rPr>
      </w:pPr>
      <w:r>
        <w:rPr>
          <w:rFonts w:ascii="Arial" w:cs="Arial" w:eastAsia="Arial" w:hAnsi="Arial"/>
          <w:sz w:val="16"/>
          <w:szCs w:val="16"/>
          <w:color w:val="auto"/>
        </w:rPr>
        <w:t>Stockholders may provide their voting instructions through the Internet, by telephone or by mail by following the instructions on the Notice of Availability of Proxy Materials. These options require Stockholders to input the Control Number, which is provided with the Notice of Availability of Proxy Materials. If you vote using the Internet, after visiting www.proxyvote.com and inputting your Control Number, you will be prompted to provide your voting instructions.</w:t>
      </w:r>
    </w:p>
    <w:p>
      <w:pPr>
        <w:spacing w:after="0" w:line="1" w:lineRule="exact"/>
        <w:rPr>
          <w:sz w:val="20"/>
          <w:szCs w:val="20"/>
          <w:color w:val="auto"/>
        </w:rPr>
      </w:pPr>
    </w:p>
    <w:p>
      <w:pPr>
        <w:ind w:right="80"/>
        <w:spacing w:after="0" w:line="255" w:lineRule="auto"/>
        <w:rPr>
          <w:sz w:val="20"/>
          <w:szCs w:val="20"/>
          <w:color w:val="auto"/>
        </w:rPr>
      </w:pPr>
      <w:r>
        <w:rPr>
          <w:rFonts w:ascii="Arial" w:cs="Arial" w:eastAsia="Arial" w:hAnsi="Arial"/>
          <w:sz w:val="18"/>
          <w:szCs w:val="18"/>
          <w:color w:val="auto"/>
        </w:rPr>
        <w:t>Stockholders will have an opportunity to review their voting instructions and make any necessary changes before submitting their voting instructions and terminating their Internet link. Stockholders who vote via the Internet, in addition to confirming their voting instructions prior to submission, will also receive an e-mail confirming their instructions upon request.</w:t>
      </w:r>
    </w:p>
    <w:p>
      <w:pPr>
        <w:spacing w:after="0" w:line="144" w:lineRule="exact"/>
        <w:rPr>
          <w:sz w:val="20"/>
          <w:szCs w:val="20"/>
          <w:color w:val="auto"/>
        </w:rPr>
      </w:pPr>
    </w:p>
    <w:p>
      <w:pPr>
        <w:ind w:right="240" w:firstLine="456"/>
        <w:spacing w:after="0" w:line="268" w:lineRule="auto"/>
        <w:rPr>
          <w:sz w:val="20"/>
          <w:szCs w:val="20"/>
          <w:color w:val="auto"/>
        </w:rPr>
      </w:pPr>
      <w:r>
        <w:rPr>
          <w:rFonts w:ascii="Arial" w:cs="Arial" w:eastAsia="Arial" w:hAnsi="Arial"/>
          <w:sz w:val="18"/>
          <w:szCs w:val="18"/>
          <w:color w:val="auto"/>
        </w:rPr>
        <w:t>If a Stockholder wishes to participate in the Meeting, but does not wish to give a proxy by Internet, the Stockholder may attend the Meeting in person or request and submit a proxy card by following the instructions on the Notice of Availability of Internet Proxy Materials.</w:t>
      </w:r>
    </w:p>
    <w:p>
      <w:pPr>
        <w:spacing w:after="0" w:line="132" w:lineRule="exact"/>
        <w:rPr>
          <w:sz w:val="20"/>
          <w:szCs w:val="20"/>
          <w:color w:val="auto"/>
        </w:rPr>
      </w:pPr>
    </w:p>
    <w:p>
      <w:pPr>
        <w:ind w:right="680" w:firstLine="456"/>
        <w:spacing w:after="0" w:line="268" w:lineRule="auto"/>
        <w:rPr>
          <w:sz w:val="20"/>
          <w:szCs w:val="20"/>
          <w:color w:val="auto"/>
        </w:rPr>
      </w:pPr>
      <w:r>
        <w:rPr>
          <w:rFonts w:ascii="Arial" w:cs="Arial" w:eastAsia="Arial" w:hAnsi="Arial"/>
          <w:sz w:val="18"/>
          <w:szCs w:val="18"/>
          <w:color w:val="auto"/>
        </w:rPr>
        <w:t>Any proxy authorized pursuant to this solicitation may be revoked by notice from the person giving the proxy at any time before it is exercised. A revocation may be effected by resubmitting voting instructions via</w:t>
      </w:r>
    </w:p>
    <w:p>
      <w:pPr>
        <w:spacing w:after="0" w:line="11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00"/>
          </w:cols>
          <w:pgMar w:left="240" w:top="280" w:right="259" w:bottom="1440" w:gutter="0" w:footer="0" w:header="0"/>
        </w:sectPr>
      </w:pPr>
    </w:p>
    <w:bookmarkStart w:id="6" w:name="page7"/>
    <w:bookmarkEnd w:id="6"/>
    <w:p>
      <w:pPr>
        <w:jc w:val="both"/>
        <w:ind w:right="40"/>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the Internet voting site, by telephone, by obtaining and properly completing another proxy card that is dated later than the original proxy and returning it, by mail, in time to be received before the meeting, by attending the Meeting or by a notice, provided in writing and signed by the Stockholder, delivered to the Company’s Secretary on any business day before the date of the Meeting.</w:t>
      </w:r>
    </w:p>
    <w:p>
      <w:pPr>
        <w:spacing w:after="0" w:line="302" w:lineRule="exact"/>
        <w:rPr>
          <w:sz w:val="20"/>
          <w:szCs w:val="20"/>
          <w:color w:val="auto"/>
        </w:rPr>
      </w:pPr>
    </w:p>
    <w:p>
      <w:pPr>
        <w:ind w:left="3260"/>
        <w:spacing w:after="0"/>
        <w:rPr>
          <w:sz w:val="20"/>
          <w:szCs w:val="20"/>
          <w:color w:val="auto"/>
        </w:rPr>
      </w:pPr>
      <w:r>
        <w:rPr>
          <w:rFonts w:ascii="Arial" w:cs="Arial" w:eastAsia="Arial" w:hAnsi="Arial"/>
          <w:sz w:val="18"/>
          <w:szCs w:val="18"/>
          <w:b w:val="1"/>
          <w:bCs w:val="1"/>
          <w:i w:val="1"/>
          <w:iCs w:val="1"/>
          <w:color w:val="auto"/>
        </w:rPr>
        <w:t>Security Ownership of Certain Beneficial Owners and Management</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As of the Record Date, to our knowledge, no person would be deemed to control us, as such term is defined in the 1940 Act.</w:t>
      </w:r>
    </w:p>
    <w:p>
      <w:pPr>
        <w:spacing w:after="0" w:line="171" w:lineRule="exact"/>
        <w:rPr>
          <w:sz w:val="20"/>
          <w:szCs w:val="20"/>
          <w:color w:val="auto"/>
        </w:rPr>
      </w:pPr>
    </w:p>
    <w:p>
      <w:pPr>
        <w:ind w:right="120" w:firstLine="456"/>
        <w:spacing w:after="0" w:line="268" w:lineRule="auto"/>
        <w:rPr>
          <w:sz w:val="20"/>
          <w:szCs w:val="20"/>
          <w:color w:val="auto"/>
        </w:rPr>
      </w:pPr>
      <w:r>
        <w:rPr>
          <w:rFonts w:ascii="Arial" w:cs="Arial" w:eastAsia="Arial" w:hAnsi="Arial"/>
          <w:sz w:val="18"/>
          <w:szCs w:val="18"/>
          <w:color w:val="auto"/>
        </w:rPr>
        <w:t>Our directors consist of an interested director and independent directors. An interested director is an “interested person” of the Company, as defined in the 1940 Act, and independent directors are all other directors (the “Independent Directors”).</w:t>
      </w:r>
    </w:p>
    <w:p>
      <w:pPr>
        <w:spacing w:after="0" w:line="132" w:lineRule="exact"/>
        <w:rPr>
          <w:sz w:val="20"/>
          <w:szCs w:val="20"/>
          <w:color w:val="auto"/>
        </w:rPr>
      </w:pPr>
    </w:p>
    <w:p>
      <w:pPr>
        <w:ind w:right="160" w:firstLine="456"/>
        <w:spacing w:after="0" w:line="332" w:lineRule="auto"/>
        <w:rPr>
          <w:sz w:val="20"/>
          <w:szCs w:val="20"/>
          <w:color w:val="auto"/>
        </w:rPr>
      </w:pPr>
      <w:r>
        <w:rPr>
          <w:rFonts w:ascii="Arial" w:cs="Arial" w:eastAsia="Arial" w:hAnsi="Arial"/>
          <w:sz w:val="16"/>
          <w:szCs w:val="16"/>
          <w:color w:val="auto"/>
        </w:rPr>
        <w:t>The following table sets forth, as of December 11, 2009, certain ownership information with respect to our Common Stock for those persons who directly or indirectly own, control or hold with the power to vote, 5 percent or more of our outstanding Common Stock and all officers and directors, as a group.</w:t>
      </w:r>
    </w:p>
    <w:p>
      <w:pPr>
        <w:spacing w:after="0" w:line="10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58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98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84"/>
              </w:rPr>
              <w:t>Percentage of</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586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98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88"/>
              </w:rPr>
              <w:t>Common</w:t>
            </w:r>
          </w:p>
        </w:tc>
        <w:tc>
          <w:tcPr>
            <w:tcW w:w="0" w:type="dxa"/>
            <w:vAlign w:val="bottom"/>
          </w:tcPr>
          <w:p>
            <w:pPr>
              <w:spacing w:after="0"/>
              <w:rPr>
                <w:sz w:val="1"/>
                <w:szCs w:val="1"/>
                <w:color w:val="auto"/>
              </w:rPr>
            </w:pPr>
          </w:p>
        </w:tc>
      </w:tr>
      <w:tr>
        <w:trPr>
          <w:trHeight w:val="149"/>
        </w:trPr>
        <w:tc>
          <w:tcPr>
            <w:tcW w:w="1260" w:type="dxa"/>
            <w:vAlign w:val="bottom"/>
            <w:gridSpan w:val="2"/>
            <w:vMerge w:val="restart"/>
          </w:tcPr>
          <w:p>
            <w:pPr>
              <w:spacing w:after="0"/>
              <w:rPr>
                <w:sz w:val="20"/>
                <w:szCs w:val="20"/>
                <w:color w:val="auto"/>
              </w:rPr>
            </w:pPr>
            <w:r>
              <w:rPr>
                <w:rFonts w:ascii="Arial" w:cs="Arial" w:eastAsia="Arial" w:hAnsi="Arial"/>
                <w:sz w:val="14"/>
                <w:szCs w:val="14"/>
                <w:b w:val="1"/>
                <w:bCs w:val="1"/>
                <w:color w:val="auto"/>
                <w:w w:val="87"/>
              </w:rPr>
              <w:t>Name and address</w:t>
            </w:r>
            <w:r>
              <w:rPr>
                <w:rFonts w:ascii="Arial" w:cs="Arial" w:eastAsia="Arial" w:hAnsi="Arial"/>
                <w:sz w:val="22"/>
                <w:szCs w:val="22"/>
                <w:b w:val="1"/>
                <w:bCs w:val="1"/>
                <w:color w:val="auto"/>
                <w:w w:val="87"/>
                <w:vertAlign w:val="superscript"/>
              </w:rPr>
              <w:t>(1)</w:t>
            </w:r>
          </w:p>
        </w:tc>
        <w:tc>
          <w:tcPr>
            <w:tcW w:w="5860" w:type="dxa"/>
            <w:vAlign w:val="bottom"/>
            <w:vMerge w:val="restart"/>
          </w:tcPr>
          <w:p>
            <w:pPr>
              <w:spacing w:after="0"/>
              <w:rPr>
                <w:sz w:val="12"/>
                <w:szCs w:val="12"/>
                <w:color w:val="auto"/>
              </w:rPr>
            </w:pPr>
          </w:p>
        </w:tc>
        <w:tc>
          <w:tcPr>
            <w:tcW w:w="440" w:type="dxa"/>
            <w:vAlign w:val="bottom"/>
          </w:tcPr>
          <w:p>
            <w:pPr>
              <w:spacing w:after="0"/>
              <w:rPr>
                <w:sz w:val="12"/>
                <w:szCs w:val="12"/>
                <w:color w:val="auto"/>
              </w:rPr>
            </w:pPr>
          </w:p>
        </w:tc>
        <w:tc>
          <w:tcPr>
            <w:tcW w:w="128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84"/>
              </w:rPr>
              <w:t>Type of ownership</w:t>
            </w:r>
            <w:r>
              <w:rPr>
                <w:rFonts w:ascii="Arial" w:cs="Arial" w:eastAsia="Arial" w:hAnsi="Arial"/>
                <w:sz w:val="22"/>
                <w:szCs w:val="22"/>
                <w:b w:val="1"/>
                <w:bCs w:val="1"/>
                <w:color w:val="auto"/>
                <w:w w:val="84"/>
                <w:vertAlign w:val="superscript"/>
              </w:rPr>
              <w:t>(4)</w:t>
            </w:r>
          </w:p>
        </w:tc>
        <w:tc>
          <w:tcPr>
            <w:tcW w:w="440" w:type="dxa"/>
            <w:vAlign w:val="bottom"/>
          </w:tcPr>
          <w:p>
            <w:pPr>
              <w:spacing w:after="0"/>
              <w:rPr>
                <w:sz w:val="12"/>
                <w:szCs w:val="12"/>
                <w:color w:val="auto"/>
              </w:rPr>
            </w:pPr>
          </w:p>
        </w:tc>
        <w:tc>
          <w:tcPr>
            <w:tcW w:w="700" w:type="dxa"/>
            <w:vAlign w:val="bottom"/>
          </w:tcPr>
          <w:p>
            <w:pPr>
              <w:jc w:val="right"/>
              <w:ind w:right="66"/>
              <w:spacing w:after="0" w:line="149" w:lineRule="exact"/>
              <w:rPr>
                <w:sz w:val="20"/>
                <w:szCs w:val="20"/>
                <w:color w:val="auto"/>
              </w:rPr>
            </w:pPr>
            <w:r>
              <w:rPr>
                <w:rFonts w:ascii="Arial" w:cs="Arial" w:eastAsia="Arial" w:hAnsi="Arial"/>
                <w:sz w:val="14"/>
                <w:szCs w:val="14"/>
                <w:b w:val="1"/>
                <w:bCs w:val="1"/>
                <w:color w:val="auto"/>
              </w:rPr>
              <w:t>Shares</w:t>
            </w:r>
          </w:p>
        </w:tc>
        <w:tc>
          <w:tcPr>
            <w:tcW w:w="460" w:type="dxa"/>
            <w:vAlign w:val="bottom"/>
          </w:tcPr>
          <w:p>
            <w:pPr>
              <w:spacing w:after="0"/>
              <w:rPr>
                <w:sz w:val="12"/>
                <w:szCs w:val="12"/>
                <w:color w:val="auto"/>
              </w:rPr>
            </w:pPr>
          </w:p>
        </w:tc>
        <w:tc>
          <w:tcPr>
            <w:tcW w:w="98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83"/>
              </w:rPr>
              <w:t>Stock</w:t>
            </w:r>
          </w:p>
        </w:tc>
        <w:tc>
          <w:tcPr>
            <w:tcW w:w="0" w:type="dxa"/>
            <w:vAlign w:val="bottom"/>
          </w:tcPr>
          <w:p>
            <w:pPr>
              <w:spacing w:after="0"/>
              <w:rPr>
                <w:sz w:val="1"/>
                <w:szCs w:val="1"/>
                <w:color w:val="auto"/>
              </w:rPr>
            </w:pPr>
          </w:p>
        </w:tc>
      </w:tr>
      <w:tr>
        <w:trPr>
          <w:trHeight w:val="161"/>
        </w:trPr>
        <w:tc>
          <w:tcPr>
            <w:tcW w:w="1260" w:type="dxa"/>
            <w:vAlign w:val="bottom"/>
            <w:tcBorders>
              <w:bottom w:val="single" w:sz="8" w:color="auto"/>
            </w:tcBorders>
            <w:gridSpan w:val="2"/>
            <w:vMerge w:val="continue"/>
          </w:tcPr>
          <w:p>
            <w:pPr>
              <w:spacing w:after="0"/>
              <w:rPr>
                <w:sz w:val="14"/>
                <w:szCs w:val="14"/>
                <w:color w:val="auto"/>
              </w:rPr>
            </w:pPr>
          </w:p>
        </w:tc>
        <w:tc>
          <w:tcPr>
            <w:tcW w:w="5860" w:type="dxa"/>
            <w:vAlign w:val="bottom"/>
            <w:vMerge w:val="continue"/>
          </w:tcPr>
          <w:p>
            <w:pPr>
              <w:spacing w:after="0"/>
              <w:rPr>
                <w:sz w:val="14"/>
                <w:szCs w:val="14"/>
                <w:color w:val="auto"/>
              </w:rPr>
            </w:pPr>
          </w:p>
        </w:tc>
        <w:tc>
          <w:tcPr>
            <w:tcW w:w="440" w:type="dxa"/>
            <w:vAlign w:val="bottom"/>
          </w:tcPr>
          <w:p>
            <w:pPr>
              <w:spacing w:after="0"/>
              <w:rPr>
                <w:sz w:val="14"/>
                <w:szCs w:val="14"/>
                <w:color w:val="auto"/>
              </w:rPr>
            </w:pPr>
          </w:p>
        </w:tc>
        <w:tc>
          <w:tcPr>
            <w:tcW w:w="1280" w:type="dxa"/>
            <w:vAlign w:val="bottom"/>
            <w:tcBorders>
              <w:bottom w:val="single" w:sz="8" w:color="auto"/>
            </w:tcBorders>
            <w:vMerge w:val="continue"/>
          </w:tcPr>
          <w:p>
            <w:pPr>
              <w:spacing w:after="0"/>
              <w:rPr>
                <w:sz w:val="14"/>
                <w:szCs w:val="14"/>
                <w:color w:val="auto"/>
              </w:rPr>
            </w:pPr>
          </w:p>
        </w:tc>
        <w:tc>
          <w:tcPr>
            <w:tcW w:w="440" w:type="dxa"/>
            <w:vAlign w:val="bottom"/>
          </w:tcPr>
          <w:p>
            <w:pPr>
              <w:spacing w:after="0"/>
              <w:rPr>
                <w:sz w:val="14"/>
                <w:szCs w:val="14"/>
                <w:color w:val="auto"/>
              </w:rPr>
            </w:pPr>
          </w:p>
        </w:tc>
        <w:tc>
          <w:tcPr>
            <w:tcW w:w="700" w:type="dxa"/>
            <w:vAlign w:val="bottom"/>
            <w:tcBorders>
              <w:bottom w:val="single" w:sz="8" w:color="auto"/>
            </w:tcBorders>
          </w:tcPr>
          <w:p>
            <w:pPr>
              <w:jc w:val="right"/>
              <w:ind w:right="86"/>
              <w:spacing w:after="0"/>
              <w:rPr>
                <w:sz w:val="20"/>
                <w:szCs w:val="20"/>
                <w:color w:val="auto"/>
              </w:rPr>
            </w:pPr>
            <w:r>
              <w:rPr>
                <w:rFonts w:ascii="Arial" w:cs="Arial" w:eastAsia="Arial" w:hAnsi="Arial"/>
                <w:sz w:val="14"/>
                <w:szCs w:val="14"/>
                <w:b w:val="1"/>
                <w:bCs w:val="1"/>
                <w:color w:val="auto"/>
              </w:rPr>
              <w:t>owned</w:t>
            </w:r>
          </w:p>
        </w:tc>
        <w:tc>
          <w:tcPr>
            <w:tcW w:w="460" w:type="dxa"/>
            <w:vAlign w:val="bottom"/>
          </w:tcPr>
          <w:p>
            <w:pPr>
              <w:spacing w:after="0"/>
              <w:rPr>
                <w:sz w:val="14"/>
                <w:szCs w:val="14"/>
                <w:color w:val="auto"/>
              </w:rPr>
            </w:pPr>
          </w:p>
        </w:tc>
        <w:tc>
          <w:tcPr>
            <w:tcW w:w="7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7"/>
              </w:rPr>
              <w:t>Outstanding</w:t>
            </w:r>
          </w:p>
        </w:tc>
        <w:tc>
          <w:tcPr>
            <w:tcW w:w="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1"/>
        </w:trPr>
        <w:tc>
          <w:tcPr>
            <w:tcW w:w="1260" w:type="dxa"/>
            <w:vAlign w:val="bottom"/>
            <w:gridSpan w:val="2"/>
          </w:tcPr>
          <w:p>
            <w:pPr>
              <w:spacing w:after="0" w:line="201" w:lineRule="exact"/>
              <w:rPr>
                <w:sz w:val="20"/>
                <w:szCs w:val="20"/>
                <w:color w:val="auto"/>
              </w:rPr>
            </w:pPr>
            <w:r>
              <w:rPr>
                <w:rFonts w:ascii="Arial" w:cs="Arial" w:eastAsia="Arial" w:hAnsi="Arial"/>
                <w:sz w:val="18"/>
                <w:szCs w:val="18"/>
                <w:color w:val="auto"/>
              </w:rPr>
              <w:t>Clough Capital</w:t>
            </w:r>
          </w:p>
        </w:tc>
        <w:tc>
          <w:tcPr>
            <w:tcW w:w="5860" w:type="dxa"/>
            <w:vAlign w:val="bottom"/>
          </w:tcPr>
          <w:p>
            <w:pPr>
              <w:spacing w:after="0" w:line="201" w:lineRule="exact"/>
              <w:rPr>
                <w:sz w:val="20"/>
                <w:szCs w:val="20"/>
                <w:color w:val="auto"/>
              </w:rPr>
            </w:pPr>
            <w:r>
              <w:rPr>
                <w:rFonts w:ascii="Arial" w:cs="Arial" w:eastAsia="Arial" w:hAnsi="Arial"/>
                <w:sz w:val="18"/>
                <w:szCs w:val="18"/>
                <w:color w:val="auto"/>
              </w:rPr>
              <w:t>Partners L.P.</w:t>
            </w:r>
          </w:p>
        </w:tc>
        <w:tc>
          <w:tcPr>
            <w:tcW w:w="440" w:type="dxa"/>
            <w:vAlign w:val="bottom"/>
          </w:tcPr>
          <w:p>
            <w:pPr>
              <w:spacing w:after="0"/>
              <w:rPr>
                <w:sz w:val="17"/>
                <w:szCs w:val="17"/>
                <w:color w:val="auto"/>
              </w:rPr>
            </w:pPr>
          </w:p>
        </w:tc>
        <w:tc>
          <w:tcPr>
            <w:tcW w:w="1280" w:type="dxa"/>
            <w:vAlign w:val="bottom"/>
          </w:tcPr>
          <w:p>
            <w:pPr>
              <w:jc w:val="center"/>
              <w:spacing w:after="0" w:line="201" w:lineRule="exact"/>
              <w:rPr>
                <w:sz w:val="20"/>
                <w:szCs w:val="20"/>
                <w:color w:val="auto"/>
              </w:rPr>
            </w:pPr>
            <w:r>
              <w:rPr>
                <w:rFonts w:ascii="Arial" w:cs="Arial" w:eastAsia="Arial" w:hAnsi="Arial"/>
                <w:sz w:val="18"/>
                <w:szCs w:val="18"/>
                <w:color w:val="auto"/>
                <w:w w:val="92"/>
              </w:rPr>
              <w:t>Beneficial</w:t>
            </w:r>
          </w:p>
        </w:tc>
        <w:tc>
          <w:tcPr>
            <w:tcW w:w="440" w:type="dxa"/>
            <w:vAlign w:val="bottom"/>
          </w:tcPr>
          <w:p>
            <w:pPr>
              <w:spacing w:after="0"/>
              <w:rPr>
                <w:sz w:val="17"/>
                <w:szCs w:val="17"/>
                <w:color w:val="auto"/>
              </w:rPr>
            </w:pPr>
          </w:p>
        </w:tc>
        <w:tc>
          <w:tcPr>
            <w:tcW w:w="700" w:type="dxa"/>
            <w:vAlign w:val="bottom"/>
          </w:tcPr>
          <w:p>
            <w:pPr>
              <w:jc w:val="right"/>
              <w:spacing w:after="0" w:line="201" w:lineRule="exact"/>
              <w:rPr>
                <w:sz w:val="20"/>
                <w:szCs w:val="20"/>
                <w:color w:val="auto"/>
              </w:rPr>
            </w:pPr>
            <w:r>
              <w:rPr>
                <w:rFonts w:ascii="Arial" w:cs="Arial" w:eastAsia="Arial" w:hAnsi="Arial"/>
                <w:sz w:val="18"/>
                <w:szCs w:val="18"/>
                <w:color w:val="auto"/>
                <w:w w:val="84"/>
              </w:rPr>
              <w:t>1,600,691</w:t>
            </w:r>
          </w:p>
        </w:tc>
        <w:tc>
          <w:tcPr>
            <w:tcW w:w="460" w:type="dxa"/>
            <w:vAlign w:val="bottom"/>
          </w:tcPr>
          <w:p>
            <w:pPr>
              <w:spacing w:after="0"/>
              <w:rPr>
                <w:sz w:val="17"/>
                <w:szCs w:val="17"/>
                <w:color w:val="auto"/>
              </w:rPr>
            </w:pPr>
          </w:p>
        </w:tc>
        <w:tc>
          <w:tcPr>
            <w:tcW w:w="980" w:type="dxa"/>
            <w:vAlign w:val="bottom"/>
            <w:gridSpan w:val="2"/>
          </w:tcPr>
          <w:p>
            <w:pPr>
              <w:jc w:val="right"/>
              <w:ind w:right="60"/>
              <w:spacing w:after="0" w:line="201" w:lineRule="exact"/>
              <w:rPr>
                <w:sz w:val="20"/>
                <w:szCs w:val="20"/>
                <w:color w:val="auto"/>
              </w:rPr>
            </w:pPr>
            <w:r>
              <w:rPr>
                <w:rFonts w:ascii="Arial" w:cs="Arial" w:eastAsia="Arial" w:hAnsi="Arial"/>
                <w:sz w:val="18"/>
                <w:szCs w:val="18"/>
                <w:color w:val="auto"/>
              </w:rPr>
              <w:t>6.2%</w:t>
            </w:r>
          </w:p>
        </w:tc>
        <w:tc>
          <w:tcPr>
            <w:tcW w:w="0" w:type="dxa"/>
            <w:vAlign w:val="bottom"/>
          </w:tcPr>
          <w:p>
            <w:pPr>
              <w:spacing w:after="0"/>
              <w:rPr>
                <w:sz w:val="1"/>
                <w:szCs w:val="1"/>
                <w:color w:val="auto"/>
              </w:rPr>
            </w:pPr>
          </w:p>
        </w:tc>
      </w:tr>
      <w:tr>
        <w:trPr>
          <w:trHeight w:val="216"/>
        </w:trPr>
        <w:tc>
          <w:tcPr>
            <w:tcW w:w="7120" w:type="dxa"/>
            <w:vAlign w:val="bottom"/>
            <w:gridSpan w:val="3"/>
          </w:tcPr>
          <w:p>
            <w:pPr>
              <w:spacing w:after="0"/>
              <w:rPr>
                <w:sz w:val="20"/>
                <w:szCs w:val="20"/>
                <w:color w:val="auto"/>
              </w:rPr>
            </w:pPr>
            <w:r>
              <w:rPr>
                <w:rFonts w:ascii="Arial" w:cs="Arial" w:eastAsia="Arial" w:hAnsi="Arial"/>
                <w:sz w:val="18"/>
                <w:szCs w:val="18"/>
                <w:color w:val="auto"/>
              </w:rPr>
              <w:t>One Post Office Square, 40th Floor</w:t>
            </w:r>
          </w:p>
        </w:tc>
        <w:tc>
          <w:tcPr>
            <w:tcW w:w="44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7120" w:type="dxa"/>
            <w:vAlign w:val="bottom"/>
            <w:gridSpan w:val="3"/>
          </w:tcPr>
          <w:p>
            <w:pPr>
              <w:spacing w:after="0"/>
              <w:rPr>
                <w:sz w:val="20"/>
                <w:szCs w:val="20"/>
                <w:color w:val="auto"/>
              </w:rPr>
            </w:pPr>
            <w:r>
              <w:rPr>
                <w:rFonts w:ascii="Arial" w:cs="Arial" w:eastAsia="Arial" w:hAnsi="Arial"/>
                <w:sz w:val="18"/>
                <w:szCs w:val="18"/>
                <w:color w:val="auto"/>
              </w:rPr>
              <w:t>Boston, MA 02109</w:t>
            </w:r>
          </w:p>
        </w:tc>
        <w:tc>
          <w:tcPr>
            <w:tcW w:w="44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10"/>
        </w:trPr>
        <w:tc>
          <w:tcPr>
            <w:tcW w:w="20" w:type="dxa"/>
            <w:vAlign w:val="bottom"/>
            <w:vMerge w:val="restart"/>
          </w:tcPr>
          <w:p>
            <w:pPr>
              <w:spacing w:after="0"/>
              <w:rPr>
                <w:sz w:val="9"/>
                <w:szCs w:val="9"/>
                <w:color w:val="auto"/>
              </w:rPr>
            </w:pPr>
          </w:p>
        </w:tc>
        <w:tc>
          <w:tcPr>
            <w:tcW w:w="1240" w:type="dxa"/>
            <w:vAlign w:val="bottom"/>
          </w:tcPr>
          <w:p>
            <w:pPr>
              <w:spacing w:after="0"/>
              <w:rPr>
                <w:sz w:val="9"/>
                <w:szCs w:val="9"/>
                <w:color w:val="auto"/>
              </w:rPr>
            </w:pPr>
          </w:p>
        </w:tc>
        <w:tc>
          <w:tcPr>
            <w:tcW w:w="5860" w:type="dxa"/>
            <w:vAlign w:val="bottom"/>
          </w:tcPr>
          <w:p>
            <w:pPr>
              <w:spacing w:after="0"/>
              <w:rPr>
                <w:sz w:val="9"/>
                <w:szCs w:val="9"/>
                <w:color w:val="auto"/>
              </w:rPr>
            </w:pPr>
          </w:p>
        </w:tc>
        <w:tc>
          <w:tcPr>
            <w:tcW w:w="440" w:type="dxa"/>
            <w:vAlign w:val="bottom"/>
          </w:tcPr>
          <w:p>
            <w:pPr>
              <w:spacing w:after="0"/>
              <w:rPr>
                <w:sz w:val="9"/>
                <w:szCs w:val="9"/>
                <w:color w:val="auto"/>
              </w:rPr>
            </w:pPr>
          </w:p>
        </w:tc>
        <w:tc>
          <w:tcPr>
            <w:tcW w:w="1280" w:type="dxa"/>
            <w:vAlign w:val="bottom"/>
          </w:tcPr>
          <w:p>
            <w:pPr>
              <w:spacing w:after="0"/>
              <w:rPr>
                <w:sz w:val="9"/>
                <w:szCs w:val="9"/>
                <w:color w:val="auto"/>
              </w:rPr>
            </w:pPr>
          </w:p>
        </w:tc>
        <w:tc>
          <w:tcPr>
            <w:tcW w:w="440" w:type="dxa"/>
            <w:vAlign w:val="bottom"/>
          </w:tcPr>
          <w:p>
            <w:pPr>
              <w:spacing w:after="0"/>
              <w:rPr>
                <w:sz w:val="9"/>
                <w:szCs w:val="9"/>
                <w:color w:val="auto"/>
              </w:rPr>
            </w:pPr>
          </w:p>
        </w:tc>
        <w:tc>
          <w:tcPr>
            <w:tcW w:w="700" w:type="dxa"/>
            <w:vAlign w:val="bottom"/>
          </w:tcPr>
          <w:p>
            <w:pPr>
              <w:spacing w:after="0"/>
              <w:rPr>
                <w:sz w:val="9"/>
                <w:szCs w:val="9"/>
                <w:color w:val="auto"/>
              </w:rPr>
            </w:pPr>
          </w:p>
        </w:tc>
        <w:tc>
          <w:tcPr>
            <w:tcW w:w="460" w:type="dxa"/>
            <w:vAlign w:val="bottom"/>
          </w:tcPr>
          <w:p>
            <w:pPr>
              <w:spacing w:after="0"/>
              <w:rPr>
                <w:sz w:val="9"/>
                <w:szCs w:val="9"/>
                <w:color w:val="auto"/>
              </w:rPr>
            </w:pPr>
          </w:p>
        </w:tc>
        <w:tc>
          <w:tcPr>
            <w:tcW w:w="780" w:type="dxa"/>
            <w:vAlign w:val="bottom"/>
          </w:tcPr>
          <w:p>
            <w:pPr>
              <w:spacing w:after="0"/>
              <w:rPr>
                <w:sz w:val="9"/>
                <w:szCs w:val="9"/>
                <w:color w:val="auto"/>
              </w:rPr>
            </w:pPr>
          </w:p>
        </w:tc>
        <w:tc>
          <w:tcPr>
            <w:tcW w:w="2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1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Wellington Management Company LLP</w:t>
            </w:r>
          </w:p>
        </w:tc>
        <w:tc>
          <w:tcPr>
            <w:tcW w:w="440" w:type="dxa"/>
            <w:vAlign w:val="bottom"/>
            <w:shd w:val="clear" w:color="auto" w:fill="CCEEFF"/>
          </w:tcPr>
          <w:p>
            <w:pPr>
              <w:spacing w:after="0"/>
              <w:rPr>
                <w:sz w:val="18"/>
                <w:szCs w:val="18"/>
                <w:color w:val="auto"/>
              </w:rPr>
            </w:pPr>
          </w:p>
        </w:tc>
        <w:tc>
          <w:tcPr>
            <w:tcW w:w="12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2"/>
              </w:rPr>
              <w:t>Beneficial</w:t>
            </w:r>
          </w:p>
        </w:tc>
        <w:tc>
          <w:tcPr>
            <w:tcW w:w="11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2,827,541</w:t>
            </w:r>
          </w:p>
        </w:tc>
        <w:tc>
          <w:tcPr>
            <w:tcW w:w="144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11.0%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75 State Street</w:t>
            </w:r>
          </w:p>
        </w:tc>
        <w:tc>
          <w:tcPr>
            <w:tcW w:w="44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Boston, MA 02109</w:t>
            </w:r>
          </w:p>
        </w:tc>
        <w:tc>
          <w:tcPr>
            <w:tcW w:w="44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23"/>
        </w:trPr>
        <w:tc>
          <w:tcPr>
            <w:tcW w:w="7120" w:type="dxa"/>
            <w:vAlign w:val="bottom"/>
            <w:gridSpan w:val="3"/>
          </w:tcPr>
          <w:p>
            <w:pPr>
              <w:spacing w:after="0"/>
              <w:rPr>
                <w:sz w:val="20"/>
                <w:szCs w:val="20"/>
                <w:color w:val="auto"/>
              </w:rPr>
            </w:pPr>
            <w:r>
              <w:rPr>
                <w:rFonts w:ascii="Arial" w:cs="Arial" w:eastAsia="Arial" w:hAnsi="Arial"/>
                <w:sz w:val="18"/>
                <w:szCs w:val="18"/>
                <w:b w:val="1"/>
                <w:bCs w:val="1"/>
                <w:color w:val="auto"/>
              </w:rPr>
              <w:t>Independent directors</w:t>
            </w:r>
          </w:p>
        </w:tc>
        <w:tc>
          <w:tcPr>
            <w:tcW w:w="44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710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Adam K. Bernstein</w:t>
            </w:r>
            <w:r>
              <w:rPr>
                <w:rFonts w:ascii="Arial" w:cs="Arial" w:eastAsia="Arial" w:hAnsi="Arial"/>
                <w:sz w:val="11"/>
                <w:szCs w:val="11"/>
                <w:color w:val="auto"/>
              </w:rPr>
              <w:t>(2)</w:t>
            </w:r>
          </w:p>
        </w:tc>
        <w:tc>
          <w:tcPr>
            <w:tcW w:w="440" w:type="dxa"/>
            <w:vAlign w:val="bottom"/>
            <w:shd w:val="clear" w:color="auto" w:fill="CCEEFF"/>
          </w:tcPr>
          <w:p>
            <w:pPr>
              <w:spacing w:after="0"/>
              <w:rPr>
                <w:sz w:val="18"/>
                <w:szCs w:val="18"/>
                <w:color w:val="auto"/>
              </w:rPr>
            </w:pPr>
          </w:p>
        </w:tc>
        <w:tc>
          <w:tcPr>
            <w:tcW w:w="12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Record/Beneficial</w:t>
            </w:r>
          </w:p>
        </w:tc>
        <w:tc>
          <w:tcPr>
            <w:tcW w:w="11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85,291</w:t>
            </w:r>
          </w:p>
        </w:tc>
        <w:tc>
          <w:tcPr>
            <w:tcW w:w="144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00" w:type="dxa"/>
            <w:vAlign w:val="bottom"/>
            <w:gridSpan w:val="2"/>
          </w:tcPr>
          <w:p>
            <w:pPr>
              <w:ind w:left="420"/>
              <w:spacing w:after="0"/>
              <w:rPr>
                <w:sz w:val="20"/>
                <w:szCs w:val="20"/>
                <w:color w:val="auto"/>
              </w:rPr>
            </w:pPr>
            <w:r>
              <w:rPr>
                <w:rFonts w:ascii="Arial" w:cs="Arial" w:eastAsia="Arial" w:hAnsi="Arial"/>
                <w:sz w:val="18"/>
                <w:szCs w:val="18"/>
                <w:color w:val="auto"/>
              </w:rPr>
              <w:t>Marshall Brozost</w:t>
            </w:r>
          </w:p>
        </w:tc>
        <w:tc>
          <w:tcPr>
            <w:tcW w:w="440" w:type="dxa"/>
            <w:vAlign w:val="bottom"/>
          </w:tcPr>
          <w:p>
            <w:pPr>
              <w:spacing w:after="0"/>
              <w:rPr>
                <w:sz w:val="18"/>
                <w:szCs w:val="18"/>
                <w:color w:val="auto"/>
              </w:rPr>
            </w:pPr>
          </w:p>
        </w:tc>
        <w:tc>
          <w:tcPr>
            <w:tcW w:w="1280" w:type="dxa"/>
            <w:vAlign w:val="bottom"/>
          </w:tcPr>
          <w:p>
            <w:pPr>
              <w:jc w:val="center"/>
              <w:spacing w:after="0"/>
              <w:rPr>
                <w:sz w:val="20"/>
                <w:szCs w:val="20"/>
                <w:color w:val="auto"/>
              </w:rPr>
            </w:pPr>
            <w:r>
              <w:rPr>
                <w:rFonts w:ascii="Arial" w:cs="Arial" w:eastAsia="Arial" w:hAnsi="Arial"/>
                <w:sz w:val="18"/>
                <w:szCs w:val="18"/>
                <w:color w:val="auto"/>
                <w:w w:val="90"/>
              </w:rPr>
              <w:t>Record/Beneficial</w:t>
            </w:r>
          </w:p>
        </w:tc>
        <w:tc>
          <w:tcPr>
            <w:tcW w:w="1140" w:type="dxa"/>
            <w:vAlign w:val="bottom"/>
            <w:gridSpan w:val="2"/>
          </w:tcPr>
          <w:p>
            <w:pPr>
              <w:jc w:val="right"/>
              <w:spacing w:after="0"/>
              <w:rPr>
                <w:sz w:val="20"/>
                <w:szCs w:val="20"/>
                <w:color w:val="auto"/>
              </w:rPr>
            </w:pPr>
            <w:r>
              <w:rPr>
                <w:rFonts w:ascii="Arial" w:cs="Arial" w:eastAsia="Arial" w:hAnsi="Arial"/>
                <w:sz w:val="18"/>
                <w:szCs w:val="18"/>
                <w:color w:val="auto"/>
              </w:rPr>
              <w:t>9,057</w:t>
            </w:r>
          </w:p>
        </w:tc>
        <w:tc>
          <w:tcPr>
            <w:tcW w:w="1440" w:type="dxa"/>
            <w:vAlign w:val="bottom"/>
            <w:gridSpan w:val="3"/>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0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Jeffrey Flug</w:t>
            </w:r>
          </w:p>
        </w:tc>
        <w:tc>
          <w:tcPr>
            <w:tcW w:w="440" w:type="dxa"/>
            <w:vAlign w:val="bottom"/>
            <w:shd w:val="clear" w:color="auto" w:fill="CCEEFF"/>
          </w:tcPr>
          <w:p>
            <w:pPr>
              <w:spacing w:after="0"/>
              <w:rPr>
                <w:sz w:val="18"/>
                <w:szCs w:val="18"/>
                <w:color w:val="auto"/>
              </w:rPr>
            </w:pPr>
          </w:p>
        </w:tc>
        <w:tc>
          <w:tcPr>
            <w:tcW w:w="12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Record/Beneficial</w:t>
            </w:r>
          </w:p>
        </w:tc>
        <w:tc>
          <w:tcPr>
            <w:tcW w:w="11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90,561</w:t>
            </w:r>
          </w:p>
        </w:tc>
        <w:tc>
          <w:tcPr>
            <w:tcW w:w="144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7100" w:type="dxa"/>
            <w:vAlign w:val="bottom"/>
            <w:gridSpan w:val="2"/>
          </w:tcPr>
          <w:p>
            <w:pPr>
              <w:ind w:left="420"/>
              <w:spacing w:after="0"/>
              <w:rPr>
                <w:sz w:val="20"/>
                <w:szCs w:val="20"/>
                <w:color w:val="auto"/>
              </w:rPr>
            </w:pPr>
            <w:r>
              <w:rPr>
                <w:rFonts w:ascii="Arial" w:cs="Arial" w:eastAsia="Arial" w:hAnsi="Arial"/>
                <w:sz w:val="18"/>
                <w:szCs w:val="18"/>
                <w:color w:val="auto"/>
              </w:rPr>
              <w:t>Samuel L. Katz</w:t>
            </w:r>
          </w:p>
        </w:tc>
        <w:tc>
          <w:tcPr>
            <w:tcW w:w="440" w:type="dxa"/>
            <w:vAlign w:val="bottom"/>
          </w:tcPr>
          <w:p>
            <w:pPr>
              <w:spacing w:after="0"/>
              <w:rPr>
                <w:sz w:val="19"/>
                <w:szCs w:val="19"/>
                <w:color w:val="auto"/>
              </w:rPr>
            </w:pPr>
          </w:p>
        </w:tc>
        <w:tc>
          <w:tcPr>
            <w:tcW w:w="1280" w:type="dxa"/>
            <w:vAlign w:val="bottom"/>
          </w:tcPr>
          <w:p>
            <w:pPr>
              <w:jc w:val="center"/>
              <w:spacing w:after="0"/>
              <w:rPr>
                <w:sz w:val="20"/>
                <w:szCs w:val="20"/>
                <w:color w:val="auto"/>
              </w:rPr>
            </w:pPr>
            <w:r>
              <w:rPr>
                <w:rFonts w:ascii="Arial" w:cs="Arial" w:eastAsia="Arial" w:hAnsi="Arial"/>
                <w:sz w:val="18"/>
                <w:szCs w:val="18"/>
                <w:color w:val="auto"/>
                <w:w w:val="90"/>
              </w:rPr>
              <w:t>Record/Beneficial</w:t>
            </w:r>
          </w:p>
        </w:tc>
        <w:tc>
          <w:tcPr>
            <w:tcW w:w="1140" w:type="dxa"/>
            <w:vAlign w:val="bottom"/>
            <w:gridSpan w:val="2"/>
          </w:tcPr>
          <w:p>
            <w:pPr>
              <w:jc w:val="right"/>
              <w:spacing w:after="0"/>
              <w:rPr>
                <w:sz w:val="20"/>
                <w:szCs w:val="20"/>
                <w:color w:val="auto"/>
              </w:rPr>
            </w:pPr>
            <w:r>
              <w:rPr>
                <w:rFonts w:ascii="Arial" w:cs="Arial" w:eastAsia="Arial" w:hAnsi="Arial"/>
                <w:sz w:val="18"/>
                <w:szCs w:val="18"/>
                <w:color w:val="auto"/>
              </w:rPr>
              <w:t>81,712</w:t>
            </w:r>
          </w:p>
        </w:tc>
        <w:tc>
          <w:tcPr>
            <w:tcW w:w="1440" w:type="dxa"/>
            <w:vAlign w:val="bottom"/>
            <w:gridSpan w:val="3"/>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1240" w:type="dxa"/>
            <w:vAlign w:val="bottom"/>
          </w:tcPr>
          <w:p>
            <w:pPr>
              <w:spacing w:after="0"/>
              <w:rPr>
                <w:sz w:val="8"/>
                <w:szCs w:val="8"/>
                <w:color w:val="auto"/>
              </w:rPr>
            </w:pPr>
          </w:p>
        </w:tc>
        <w:tc>
          <w:tcPr>
            <w:tcW w:w="5860" w:type="dxa"/>
            <w:vAlign w:val="bottom"/>
          </w:tcPr>
          <w:p>
            <w:pPr>
              <w:spacing w:after="0"/>
              <w:rPr>
                <w:sz w:val="8"/>
                <w:szCs w:val="8"/>
                <w:color w:val="auto"/>
              </w:rPr>
            </w:pPr>
          </w:p>
        </w:tc>
        <w:tc>
          <w:tcPr>
            <w:tcW w:w="440" w:type="dxa"/>
            <w:vAlign w:val="bottom"/>
          </w:tcPr>
          <w:p>
            <w:pPr>
              <w:spacing w:after="0"/>
              <w:rPr>
                <w:sz w:val="8"/>
                <w:szCs w:val="8"/>
                <w:color w:val="auto"/>
              </w:rPr>
            </w:pPr>
          </w:p>
        </w:tc>
        <w:tc>
          <w:tcPr>
            <w:tcW w:w="1280" w:type="dxa"/>
            <w:vAlign w:val="bottom"/>
          </w:tcPr>
          <w:p>
            <w:pPr>
              <w:spacing w:after="0"/>
              <w:rPr>
                <w:sz w:val="8"/>
                <w:szCs w:val="8"/>
                <w:color w:val="auto"/>
              </w:rPr>
            </w:pPr>
          </w:p>
        </w:tc>
        <w:tc>
          <w:tcPr>
            <w:tcW w:w="440" w:type="dxa"/>
            <w:vAlign w:val="bottom"/>
          </w:tcPr>
          <w:p>
            <w:pPr>
              <w:spacing w:after="0"/>
              <w:rPr>
                <w:sz w:val="8"/>
                <w:szCs w:val="8"/>
                <w:color w:val="auto"/>
              </w:rPr>
            </w:pPr>
          </w:p>
        </w:tc>
        <w:tc>
          <w:tcPr>
            <w:tcW w:w="700" w:type="dxa"/>
            <w:vAlign w:val="bottom"/>
          </w:tcPr>
          <w:p>
            <w:pPr>
              <w:spacing w:after="0"/>
              <w:rPr>
                <w:sz w:val="8"/>
                <w:szCs w:val="8"/>
                <w:color w:val="auto"/>
              </w:rPr>
            </w:pPr>
          </w:p>
        </w:tc>
        <w:tc>
          <w:tcPr>
            <w:tcW w:w="460" w:type="dxa"/>
            <w:vAlign w:val="bottom"/>
          </w:tcPr>
          <w:p>
            <w:pPr>
              <w:spacing w:after="0"/>
              <w:rPr>
                <w:sz w:val="8"/>
                <w:szCs w:val="8"/>
                <w:color w:val="auto"/>
              </w:rPr>
            </w:pPr>
          </w:p>
        </w:tc>
        <w:tc>
          <w:tcPr>
            <w:tcW w:w="780" w:type="dxa"/>
            <w:vAlign w:val="bottom"/>
          </w:tcPr>
          <w:p>
            <w:pPr>
              <w:spacing w:after="0"/>
              <w:rPr>
                <w:sz w:val="8"/>
                <w:szCs w:val="8"/>
                <w:color w:val="auto"/>
              </w:rPr>
            </w:pPr>
          </w:p>
        </w:tc>
        <w:tc>
          <w:tcPr>
            <w:tcW w:w="2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10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Interested director</w:t>
            </w:r>
          </w:p>
        </w:tc>
        <w:tc>
          <w:tcPr>
            <w:tcW w:w="44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7100" w:type="dxa"/>
            <w:vAlign w:val="bottom"/>
            <w:gridSpan w:val="2"/>
          </w:tcPr>
          <w:p>
            <w:pPr>
              <w:ind w:left="420"/>
              <w:spacing w:after="0"/>
              <w:rPr>
                <w:sz w:val="20"/>
                <w:szCs w:val="20"/>
                <w:color w:val="auto"/>
              </w:rPr>
            </w:pPr>
            <w:r>
              <w:rPr>
                <w:rFonts w:ascii="Arial" w:cs="Arial" w:eastAsia="Arial" w:hAnsi="Arial"/>
                <w:sz w:val="18"/>
                <w:szCs w:val="18"/>
                <w:color w:val="auto"/>
              </w:rPr>
              <w:t>Arthur H. Penn</w:t>
            </w:r>
            <w:r>
              <w:rPr>
                <w:rFonts w:ascii="Arial" w:cs="Arial" w:eastAsia="Arial" w:hAnsi="Arial"/>
                <w:sz w:val="11"/>
                <w:szCs w:val="11"/>
                <w:color w:val="auto"/>
              </w:rPr>
              <w:t>(3)</w:t>
            </w:r>
          </w:p>
        </w:tc>
        <w:tc>
          <w:tcPr>
            <w:tcW w:w="440" w:type="dxa"/>
            <w:vAlign w:val="bottom"/>
          </w:tcPr>
          <w:p>
            <w:pPr>
              <w:spacing w:after="0"/>
              <w:rPr>
                <w:sz w:val="19"/>
                <w:szCs w:val="19"/>
                <w:color w:val="auto"/>
              </w:rPr>
            </w:pPr>
          </w:p>
        </w:tc>
        <w:tc>
          <w:tcPr>
            <w:tcW w:w="1280" w:type="dxa"/>
            <w:vAlign w:val="bottom"/>
          </w:tcPr>
          <w:p>
            <w:pPr>
              <w:jc w:val="center"/>
              <w:spacing w:after="0"/>
              <w:rPr>
                <w:sz w:val="20"/>
                <w:szCs w:val="20"/>
                <w:color w:val="auto"/>
              </w:rPr>
            </w:pPr>
            <w:r>
              <w:rPr>
                <w:rFonts w:ascii="Arial" w:cs="Arial" w:eastAsia="Arial" w:hAnsi="Arial"/>
                <w:sz w:val="18"/>
                <w:szCs w:val="18"/>
                <w:color w:val="auto"/>
                <w:w w:val="90"/>
              </w:rPr>
              <w:t>Record/Beneficial</w:t>
            </w:r>
          </w:p>
        </w:tc>
        <w:tc>
          <w:tcPr>
            <w:tcW w:w="1140" w:type="dxa"/>
            <w:vAlign w:val="bottom"/>
            <w:gridSpan w:val="2"/>
          </w:tcPr>
          <w:p>
            <w:pPr>
              <w:jc w:val="right"/>
              <w:spacing w:after="0"/>
              <w:rPr>
                <w:sz w:val="20"/>
                <w:szCs w:val="20"/>
                <w:color w:val="auto"/>
              </w:rPr>
            </w:pPr>
            <w:r>
              <w:rPr>
                <w:rFonts w:ascii="Arial" w:cs="Arial" w:eastAsia="Arial" w:hAnsi="Arial"/>
                <w:sz w:val="18"/>
                <w:szCs w:val="18"/>
                <w:color w:val="auto"/>
              </w:rPr>
              <w:t>436,625</w:t>
            </w:r>
          </w:p>
        </w:tc>
        <w:tc>
          <w:tcPr>
            <w:tcW w:w="1440" w:type="dxa"/>
            <w:vAlign w:val="bottom"/>
            <w:gridSpan w:val="3"/>
          </w:tcPr>
          <w:p>
            <w:pPr>
              <w:jc w:val="right"/>
              <w:ind w:right="60"/>
              <w:spacing w:after="0"/>
              <w:rPr>
                <w:sz w:val="20"/>
                <w:szCs w:val="20"/>
                <w:color w:val="auto"/>
              </w:rPr>
            </w:pPr>
            <w:r>
              <w:rPr>
                <w:rFonts w:ascii="Arial" w:cs="Arial" w:eastAsia="Arial" w:hAnsi="Arial"/>
                <w:sz w:val="18"/>
                <w:szCs w:val="18"/>
                <w:color w:val="auto"/>
              </w:rPr>
              <w:t>1.7%</w:t>
            </w: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1240" w:type="dxa"/>
            <w:vAlign w:val="bottom"/>
          </w:tcPr>
          <w:p>
            <w:pPr>
              <w:spacing w:after="0"/>
              <w:rPr>
                <w:sz w:val="8"/>
                <w:szCs w:val="8"/>
                <w:color w:val="auto"/>
              </w:rPr>
            </w:pPr>
          </w:p>
        </w:tc>
        <w:tc>
          <w:tcPr>
            <w:tcW w:w="5860" w:type="dxa"/>
            <w:vAlign w:val="bottom"/>
          </w:tcPr>
          <w:p>
            <w:pPr>
              <w:spacing w:after="0"/>
              <w:rPr>
                <w:sz w:val="8"/>
                <w:szCs w:val="8"/>
                <w:color w:val="auto"/>
              </w:rPr>
            </w:pPr>
          </w:p>
        </w:tc>
        <w:tc>
          <w:tcPr>
            <w:tcW w:w="440" w:type="dxa"/>
            <w:vAlign w:val="bottom"/>
          </w:tcPr>
          <w:p>
            <w:pPr>
              <w:spacing w:after="0"/>
              <w:rPr>
                <w:sz w:val="8"/>
                <w:szCs w:val="8"/>
                <w:color w:val="auto"/>
              </w:rPr>
            </w:pPr>
          </w:p>
        </w:tc>
        <w:tc>
          <w:tcPr>
            <w:tcW w:w="1280" w:type="dxa"/>
            <w:vAlign w:val="bottom"/>
          </w:tcPr>
          <w:p>
            <w:pPr>
              <w:spacing w:after="0"/>
              <w:rPr>
                <w:sz w:val="8"/>
                <w:szCs w:val="8"/>
                <w:color w:val="auto"/>
              </w:rPr>
            </w:pPr>
          </w:p>
        </w:tc>
        <w:tc>
          <w:tcPr>
            <w:tcW w:w="440" w:type="dxa"/>
            <w:vAlign w:val="bottom"/>
          </w:tcPr>
          <w:p>
            <w:pPr>
              <w:spacing w:after="0"/>
              <w:rPr>
                <w:sz w:val="8"/>
                <w:szCs w:val="8"/>
                <w:color w:val="auto"/>
              </w:rPr>
            </w:pPr>
          </w:p>
        </w:tc>
        <w:tc>
          <w:tcPr>
            <w:tcW w:w="700" w:type="dxa"/>
            <w:vAlign w:val="bottom"/>
          </w:tcPr>
          <w:p>
            <w:pPr>
              <w:spacing w:after="0"/>
              <w:rPr>
                <w:sz w:val="8"/>
                <w:szCs w:val="8"/>
                <w:color w:val="auto"/>
              </w:rPr>
            </w:pPr>
          </w:p>
        </w:tc>
        <w:tc>
          <w:tcPr>
            <w:tcW w:w="460" w:type="dxa"/>
            <w:vAlign w:val="bottom"/>
          </w:tcPr>
          <w:p>
            <w:pPr>
              <w:spacing w:after="0"/>
              <w:rPr>
                <w:sz w:val="8"/>
                <w:szCs w:val="8"/>
                <w:color w:val="auto"/>
              </w:rPr>
            </w:pPr>
          </w:p>
        </w:tc>
        <w:tc>
          <w:tcPr>
            <w:tcW w:w="780" w:type="dxa"/>
            <w:vAlign w:val="bottom"/>
          </w:tcPr>
          <w:p>
            <w:pPr>
              <w:spacing w:after="0"/>
              <w:rPr>
                <w:sz w:val="8"/>
                <w:szCs w:val="8"/>
                <w:color w:val="auto"/>
              </w:rPr>
            </w:pPr>
          </w:p>
        </w:tc>
        <w:tc>
          <w:tcPr>
            <w:tcW w:w="2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10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Executive officer</w:t>
            </w:r>
          </w:p>
        </w:tc>
        <w:tc>
          <w:tcPr>
            <w:tcW w:w="44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00" w:type="dxa"/>
            <w:vAlign w:val="bottom"/>
            <w:gridSpan w:val="2"/>
          </w:tcPr>
          <w:p>
            <w:pPr>
              <w:ind w:left="420"/>
              <w:spacing w:after="0"/>
              <w:rPr>
                <w:sz w:val="20"/>
                <w:szCs w:val="20"/>
                <w:color w:val="auto"/>
              </w:rPr>
            </w:pPr>
            <w:r>
              <w:rPr>
                <w:rFonts w:ascii="Arial" w:cs="Arial" w:eastAsia="Arial" w:hAnsi="Arial"/>
                <w:sz w:val="18"/>
                <w:szCs w:val="18"/>
                <w:color w:val="auto"/>
              </w:rPr>
              <w:t>Aviv Efrat</w:t>
            </w:r>
          </w:p>
        </w:tc>
        <w:tc>
          <w:tcPr>
            <w:tcW w:w="440" w:type="dxa"/>
            <w:vAlign w:val="bottom"/>
          </w:tcPr>
          <w:p>
            <w:pPr>
              <w:spacing w:after="0"/>
              <w:rPr>
                <w:sz w:val="18"/>
                <w:szCs w:val="18"/>
                <w:color w:val="auto"/>
              </w:rPr>
            </w:pPr>
          </w:p>
        </w:tc>
        <w:tc>
          <w:tcPr>
            <w:tcW w:w="1280" w:type="dxa"/>
            <w:vAlign w:val="bottom"/>
          </w:tcPr>
          <w:p>
            <w:pPr>
              <w:jc w:val="center"/>
              <w:spacing w:after="0"/>
              <w:rPr>
                <w:sz w:val="20"/>
                <w:szCs w:val="20"/>
                <w:color w:val="auto"/>
              </w:rPr>
            </w:pPr>
            <w:r>
              <w:rPr>
                <w:rFonts w:ascii="Arial" w:cs="Arial" w:eastAsia="Arial" w:hAnsi="Arial"/>
                <w:sz w:val="18"/>
                <w:szCs w:val="18"/>
                <w:color w:val="auto"/>
                <w:w w:val="90"/>
              </w:rPr>
              <w:t>Record/Beneficial</w:t>
            </w:r>
          </w:p>
        </w:tc>
        <w:tc>
          <w:tcPr>
            <w:tcW w:w="1140" w:type="dxa"/>
            <w:vAlign w:val="bottom"/>
            <w:gridSpan w:val="2"/>
          </w:tcPr>
          <w:p>
            <w:pPr>
              <w:jc w:val="right"/>
              <w:spacing w:after="0"/>
              <w:rPr>
                <w:sz w:val="20"/>
                <w:szCs w:val="20"/>
                <w:color w:val="auto"/>
              </w:rPr>
            </w:pPr>
            <w:r>
              <w:rPr>
                <w:rFonts w:ascii="Arial" w:cs="Arial" w:eastAsia="Arial" w:hAnsi="Arial"/>
                <w:sz w:val="18"/>
                <w:szCs w:val="18"/>
                <w:color w:val="auto"/>
              </w:rPr>
              <w:t>30,907</w:t>
            </w:r>
          </w:p>
        </w:tc>
        <w:tc>
          <w:tcPr>
            <w:tcW w:w="1440" w:type="dxa"/>
            <w:vAlign w:val="bottom"/>
            <w:gridSpan w:val="3"/>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All directors and executive officer as a group (6 persons)</w:t>
            </w:r>
          </w:p>
        </w:tc>
        <w:tc>
          <w:tcPr>
            <w:tcW w:w="440" w:type="dxa"/>
            <w:vAlign w:val="bottom"/>
            <w:shd w:val="clear" w:color="auto" w:fill="CCEEFF"/>
          </w:tcPr>
          <w:p>
            <w:pPr>
              <w:spacing w:after="0"/>
              <w:rPr>
                <w:sz w:val="18"/>
                <w:szCs w:val="18"/>
                <w:color w:val="auto"/>
              </w:rPr>
            </w:pPr>
          </w:p>
        </w:tc>
        <w:tc>
          <w:tcPr>
            <w:tcW w:w="12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Record/Beneficial</w:t>
            </w:r>
          </w:p>
        </w:tc>
        <w:tc>
          <w:tcPr>
            <w:tcW w:w="11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734,153</w:t>
            </w:r>
          </w:p>
        </w:tc>
        <w:tc>
          <w:tcPr>
            <w:tcW w:w="144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2.8%</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68580</wp:posOffset>
            </wp:positionV>
            <wp:extent cx="728980"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20" w:lineRule="exact"/>
        <w:rPr>
          <w:sz w:val="20"/>
          <w:szCs w:val="20"/>
          <w:color w:val="auto"/>
        </w:rPr>
      </w:pPr>
    </w:p>
    <w:p>
      <w:pPr>
        <w:ind w:left="460" w:hanging="452"/>
        <w:spacing w:after="0"/>
        <w:tabs>
          <w:tab w:leader="none" w:pos="460" w:val="left"/>
        </w:tabs>
        <w:numPr>
          <w:ilvl w:val="0"/>
          <w:numId w:val="8"/>
        </w:numPr>
        <w:rPr>
          <w:rFonts w:ascii="Arial" w:cs="Arial" w:eastAsia="Arial" w:hAnsi="Arial"/>
          <w:sz w:val="16"/>
          <w:szCs w:val="16"/>
          <w:color w:val="auto"/>
        </w:rPr>
      </w:pPr>
      <w:r>
        <w:rPr>
          <w:rFonts w:ascii="Arial" w:cs="Arial" w:eastAsia="Arial" w:hAnsi="Arial"/>
          <w:sz w:val="16"/>
          <w:szCs w:val="16"/>
          <w:color w:val="auto"/>
        </w:rPr>
        <w:t>The address for each officer and director is c/o PennantPark Investment Corporation, 590 Madison Avenue, 15</w:t>
      </w:r>
      <w:r>
        <w:rPr>
          <w:rFonts w:ascii="Arial" w:cs="Arial" w:eastAsia="Arial" w:hAnsi="Arial"/>
          <w:sz w:val="10"/>
          <w:szCs w:val="10"/>
          <w:color w:val="auto"/>
        </w:rPr>
        <w:t>th</w:t>
      </w:r>
      <w:r>
        <w:rPr>
          <w:rFonts w:ascii="Arial" w:cs="Arial" w:eastAsia="Arial" w:hAnsi="Arial"/>
          <w:sz w:val="16"/>
          <w:szCs w:val="16"/>
          <w:color w:val="auto"/>
        </w:rPr>
        <w:t xml:space="preserve"> Floor, New York, New York 10022</w:t>
      </w:r>
    </w:p>
    <w:p>
      <w:pPr>
        <w:spacing w:after="0" w:line="38" w:lineRule="exact"/>
        <w:rPr>
          <w:rFonts w:ascii="Arial" w:cs="Arial" w:eastAsia="Arial" w:hAnsi="Arial"/>
          <w:sz w:val="16"/>
          <w:szCs w:val="16"/>
          <w:color w:val="auto"/>
        </w:rPr>
      </w:pPr>
    </w:p>
    <w:p>
      <w:pPr>
        <w:ind w:left="460" w:hanging="452"/>
        <w:spacing w:after="0"/>
        <w:tabs>
          <w:tab w:leader="none" w:pos="460" w:val="left"/>
        </w:tabs>
        <w:numPr>
          <w:ilvl w:val="0"/>
          <w:numId w:val="8"/>
        </w:numPr>
        <w:rPr>
          <w:rFonts w:ascii="Arial" w:cs="Arial" w:eastAsia="Arial" w:hAnsi="Arial"/>
          <w:sz w:val="16"/>
          <w:szCs w:val="16"/>
          <w:color w:val="auto"/>
        </w:rPr>
      </w:pPr>
      <w:r>
        <w:rPr>
          <w:rFonts w:ascii="Arial" w:cs="Arial" w:eastAsia="Arial" w:hAnsi="Arial"/>
          <w:sz w:val="16"/>
          <w:szCs w:val="16"/>
          <w:color w:val="auto"/>
        </w:rPr>
        <w:t>Mr. Bernstein is the President of JAM Investments, LLC and may therefore be deemed to own beneficially the 68,236 shares held by JAM Investments,</w:t>
      </w:r>
    </w:p>
    <w:p>
      <w:pPr>
        <w:spacing w:after="0" w:line="32" w:lineRule="exact"/>
        <w:rPr>
          <w:rFonts w:ascii="Arial" w:cs="Arial" w:eastAsia="Arial" w:hAnsi="Arial"/>
          <w:sz w:val="16"/>
          <w:szCs w:val="16"/>
          <w:color w:val="auto"/>
        </w:rPr>
      </w:pPr>
    </w:p>
    <w:p>
      <w:pPr>
        <w:ind w:left="460"/>
        <w:spacing w:after="0"/>
        <w:rPr>
          <w:rFonts w:ascii="Arial" w:cs="Arial" w:eastAsia="Arial" w:hAnsi="Arial"/>
          <w:sz w:val="16"/>
          <w:szCs w:val="16"/>
          <w:color w:val="auto"/>
        </w:rPr>
      </w:pPr>
      <w:r>
        <w:rPr>
          <w:rFonts w:ascii="Arial" w:cs="Arial" w:eastAsia="Arial" w:hAnsi="Arial"/>
          <w:sz w:val="18"/>
          <w:szCs w:val="18"/>
          <w:color w:val="auto"/>
        </w:rPr>
        <w:t>LLC</w:t>
      </w:r>
    </w:p>
    <w:p>
      <w:pPr>
        <w:spacing w:after="0" w:line="9" w:lineRule="exact"/>
        <w:rPr>
          <w:rFonts w:ascii="Arial" w:cs="Arial" w:eastAsia="Arial" w:hAnsi="Arial"/>
          <w:sz w:val="16"/>
          <w:szCs w:val="16"/>
          <w:color w:val="auto"/>
        </w:rPr>
      </w:pPr>
    </w:p>
    <w:p>
      <w:pPr>
        <w:ind w:left="460" w:right="200" w:hanging="452"/>
        <w:spacing w:after="0" w:line="250" w:lineRule="auto"/>
        <w:tabs>
          <w:tab w:leader="none" w:pos="460" w:val="left"/>
        </w:tabs>
        <w:numPr>
          <w:ilvl w:val="0"/>
          <w:numId w:val="8"/>
        </w:numPr>
        <w:rPr>
          <w:rFonts w:ascii="Arial" w:cs="Arial" w:eastAsia="Arial" w:hAnsi="Arial"/>
          <w:sz w:val="18"/>
          <w:szCs w:val="18"/>
          <w:color w:val="auto"/>
        </w:rPr>
      </w:pPr>
      <w:r>
        <w:rPr>
          <w:rFonts w:ascii="Arial" w:cs="Arial" w:eastAsia="Arial" w:hAnsi="Arial"/>
          <w:sz w:val="18"/>
          <w:szCs w:val="18"/>
          <w:color w:val="auto"/>
        </w:rPr>
        <w:t>Mr. Penn is the Managing Member of PennantPark Investment Advisers, LLC, and may therefore be deemed to own beneficially the 274,224 shares held by PennantPark Investment Advisers, LLC.</w:t>
      </w:r>
    </w:p>
    <w:p>
      <w:pPr>
        <w:ind w:left="460" w:hanging="452"/>
        <w:spacing w:after="0"/>
        <w:tabs>
          <w:tab w:leader="none" w:pos="460" w:val="left"/>
        </w:tabs>
        <w:numPr>
          <w:ilvl w:val="0"/>
          <w:numId w:val="8"/>
        </w:numPr>
        <w:rPr>
          <w:rFonts w:ascii="Arial" w:cs="Arial" w:eastAsia="Arial" w:hAnsi="Arial"/>
          <w:sz w:val="18"/>
          <w:szCs w:val="18"/>
          <w:color w:val="auto"/>
        </w:rPr>
      </w:pPr>
      <w:r>
        <w:rPr>
          <w:rFonts w:ascii="Arial" w:cs="Arial" w:eastAsia="Arial" w:hAnsi="Arial"/>
          <w:sz w:val="18"/>
          <w:szCs w:val="18"/>
          <w:color w:val="auto"/>
        </w:rPr>
        <w:t>Sole Voting Power.</w:t>
      </w:r>
    </w:p>
    <w:p>
      <w:pPr>
        <w:spacing w:after="0" w:line="9" w:lineRule="exact"/>
        <w:rPr>
          <w:sz w:val="20"/>
          <w:szCs w:val="20"/>
          <w:color w:val="auto"/>
        </w:rPr>
      </w:pPr>
    </w:p>
    <w:p>
      <w:pPr>
        <w:ind w:left="460" w:hanging="364"/>
        <w:spacing w:after="0"/>
        <w:tabs>
          <w:tab w:leader="none" w:pos="460" w:val="left"/>
        </w:tabs>
        <w:numPr>
          <w:ilvl w:val="0"/>
          <w:numId w:val="9"/>
        </w:numPr>
        <w:rPr>
          <w:rFonts w:ascii="Arial" w:cs="Arial" w:eastAsia="Arial" w:hAnsi="Arial"/>
          <w:sz w:val="18"/>
          <w:szCs w:val="18"/>
          <w:color w:val="auto"/>
        </w:rPr>
      </w:pPr>
      <w:r>
        <w:rPr>
          <w:rFonts w:ascii="Arial" w:cs="Arial" w:eastAsia="Arial" w:hAnsi="Arial"/>
          <w:sz w:val="18"/>
          <w:szCs w:val="18"/>
          <w:color w:val="auto"/>
        </w:rPr>
        <w:t>Less than 1 percent.</w:t>
      </w:r>
    </w:p>
    <w:p>
      <w:pPr>
        <w:spacing w:after="0" w:line="15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420"/>
          </w:cols>
          <w:pgMar w:left="240" w:top="280" w:right="239" w:bottom="1440" w:gutter="0" w:footer="0" w:header="0"/>
        </w:sectPr>
      </w:pPr>
    </w:p>
    <w:bookmarkStart w:id="7" w:name="page8"/>
    <w:bookmarkEnd w:id="7"/>
    <w:p>
      <w:pPr>
        <w:jc w:val="center"/>
        <w:ind w:right="-59"/>
        <w:spacing w:after="0"/>
        <w:rPr>
          <w:sz w:val="20"/>
          <w:szCs w:val="20"/>
          <w:color w:val="auto"/>
        </w:rPr>
      </w:pPr>
      <w:r>
        <w:rPr>
          <w:rFonts w:ascii="Arial" w:cs="Arial" w:eastAsia="Arial" w:hAnsi="Arial"/>
          <w:sz w:val="18"/>
          <w:szCs w:val="18"/>
          <w:b w:val="1"/>
          <w:bCs w:val="1"/>
          <w:i w:val="1"/>
          <w:i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Section 16(a) Beneficial Ownership Reporting Compliance</w:t>
      </w:r>
    </w:p>
    <w:p>
      <w:pPr>
        <w:spacing w:after="0" w:line="90" w:lineRule="exact"/>
        <w:rPr>
          <w:sz w:val="20"/>
          <w:szCs w:val="20"/>
          <w:color w:val="auto"/>
        </w:rPr>
      </w:pPr>
    </w:p>
    <w:p>
      <w:pPr>
        <w:ind w:right="80" w:firstLine="456"/>
        <w:spacing w:after="0" w:line="294" w:lineRule="auto"/>
        <w:rPr>
          <w:sz w:val="20"/>
          <w:szCs w:val="20"/>
          <w:color w:val="auto"/>
        </w:rPr>
      </w:pPr>
      <w:r>
        <w:rPr>
          <w:rFonts w:ascii="Arial" w:cs="Arial" w:eastAsia="Arial" w:hAnsi="Arial"/>
          <w:sz w:val="16"/>
          <w:szCs w:val="16"/>
          <w:color w:val="auto"/>
        </w:rPr>
        <w:t>Pursuant to Section 16(a) of the Exchange Act, the Company’s directors and executive officer, and any persons holding more than 10% of its Common Stock, are required to report their beneficial ownership and any changes therein to the SEC and the Company. Specific due dates for those reports have been established, and the Company is required to report herein any failure to file such reports by those due dates. Based on the Company’s review of Forms 3, 4 and 5 filed by such persons and information provided by the Company’s directors and officers, the Company believes that during the fiscal year ended September 30, 2009, all Section 16(a) filing requirements applicable to such persons were met in a timely manner.</w:t>
      </w:r>
    </w:p>
    <w:p>
      <w:pPr>
        <w:spacing w:after="0" w:line="278"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i w:val="1"/>
          <w:iCs w:val="1"/>
          <w:color w:val="auto"/>
        </w:rPr>
        <w:t>Dollar Range of Securities Beneficially Owned by Directors</w:t>
      </w:r>
    </w:p>
    <w:p>
      <w:pPr>
        <w:spacing w:after="0" w:line="171" w:lineRule="exact"/>
        <w:rPr>
          <w:sz w:val="20"/>
          <w:szCs w:val="20"/>
          <w:color w:val="auto"/>
        </w:rPr>
      </w:pPr>
    </w:p>
    <w:p>
      <w:pPr>
        <w:ind w:right="20" w:firstLine="456"/>
        <w:spacing w:after="0" w:line="259" w:lineRule="auto"/>
        <w:rPr>
          <w:sz w:val="20"/>
          <w:szCs w:val="20"/>
          <w:color w:val="auto"/>
        </w:rPr>
      </w:pPr>
      <w:r>
        <w:rPr>
          <w:rFonts w:ascii="Arial" w:cs="Arial" w:eastAsia="Arial" w:hAnsi="Arial"/>
          <w:sz w:val="18"/>
          <w:szCs w:val="18"/>
          <w:color w:val="auto"/>
        </w:rPr>
        <w:t>The following table sets forth the dollar range of our equity securities beneficially owned by each of our directors as of December 11, 2009. Information as to the beneficial ownerships is based on information furnished to the Company by such persons. We are not part of a “family of investment companies,” as that term is defined in the 1940 Act.</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480" w:type="dxa"/>
            <w:vAlign w:val="bottom"/>
          </w:tcPr>
          <w:p>
            <w:pPr>
              <w:spacing w:after="0"/>
              <w:rPr>
                <w:sz w:val="14"/>
                <w:szCs w:val="14"/>
                <w:color w:val="auto"/>
              </w:rPr>
            </w:pPr>
          </w:p>
        </w:tc>
        <w:tc>
          <w:tcPr>
            <w:tcW w:w="5620" w:type="dxa"/>
            <w:vAlign w:val="bottom"/>
          </w:tcPr>
          <w:p>
            <w:pPr>
              <w:jc w:val="center"/>
              <w:ind w:left="3895"/>
              <w:spacing w:after="0"/>
              <w:rPr>
                <w:sz w:val="20"/>
                <w:szCs w:val="20"/>
                <w:color w:val="auto"/>
              </w:rPr>
            </w:pPr>
            <w:r>
              <w:rPr>
                <w:rFonts w:ascii="Arial" w:cs="Arial" w:eastAsia="Arial" w:hAnsi="Arial"/>
                <w:sz w:val="14"/>
                <w:szCs w:val="14"/>
                <w:b w:val="1"/>
                <w:bCs w:val="1"/>
                <w:color w:val="auto"/>
                <w:w w:val="89"/>
              </w:rPr>
              <w:t>Dollar Range of Equity</w:t>
            </w:r>
          </w:p>
        </w:tc>
      </w:tr>
      <w:tr>
        <w:trPr>
          <w:trHeight w:val="176"/>
        </w:trPr>
        <w:tc>
          <w:tcPr>
            <w:tcW w:w="5480" w:type="dxa"/>
            <w:vAlign w:val="bottom"/>
          </w:tcPr>
          <w:p>
            <w:pPr>
              <w:spacing w:after="0"/>
              <w:rPr>
                <w:sz w:val="20"/>
                <w:szCs w:val="20"/>
                <w:color w:val="auto"/>
              </w:rPr>
            </w:pPr>
            <w:r>
              <w:rPr>
                <w:rFonts w:ascii="Arial" w:cs="Arial" w:eastAsia="Arial" w:hAnsi="Arial"/>
                <w:sz w:val="14"/>
                <w:szCs w:val="14"/>
                <w:b w:val="1"/>
                <w:bCs w:val="1"/>
                <w:color w:val="auto"/>
              </w:rPr>
              <w:t>Directors of the Company</w:t>
            </w:r>
          </w:p>
        </w:tc>
        <w:tc>
          <w:tcPr>
            <w:tcW w:w="5620" w:type="dxa"/>
            <w:vAlign w:val="bottom"/>
          </w:tcPr>
          <w:p>
            <w:pPr>
              <w:jc w:val="center"/>
              <w:ind w:left="3895"/>
              <w:spacing w:after="0" w:line="176" w:lineRule="exact"/>
              <w:rPr>
                <w:sz w:val="20"/>
                <w:szCs w:val="20"/>
                <w:color w:val="auto"/>
              </w:rPr>
            </w:pPr>
            <w:r>
              <w:rPr>
                <w:rFonts w:ascii="Arial" w:cs="Arial" w:eastAsia="Arial" w:hAnsi="Arial"/>
                <w:sz w:val="13"/>
                <w:szCs w:val="13"/>
                <w:b w:val="1"/>
                <w:bCs w:val="1"/>
                <w:color w:val="auto"/>
                <w:w w:val="92"/>
              </w:rPr>
              <w:t>Securities in the Company</w:t>
            </w:r>
            <w:r>
              <w:rPr>
                <w:rFonts w:ascii="Arial" w:cs="Arial" w:eastAsia="Arial" w:hAnsi="Arial"/>
                <w:sz w:val="20"/>
                <w:szCs w:val="20"/>
                <w:b w:val="1"/>
                <w:bCs w:val="1"/>
                <w:color w:val="auto"/>
                <w:w w:val="92"/>
                <w:vertAlign w:val="superscript"/>
              </w:rPr>
              <w:t>(1)</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0</wp:posOffset>
            </wp:positionV>
            <wp:extent cx="7246620" cy="14605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46620" cy="146050"/>
                    </a:xfrm>
                    <a:prstGeom prst="rect">
                      <a:avLst/>
                    </a:prstGeom>
                    <a:noFill/>
                  </pic:spPr>
                </pic:pic>
              </a:graphicData>
            </a:graphic>
          </wp:anchor>
        </w:drawing>
      </w:r>
    </w:p>
    <w:p>
      <w:pPr>
        <w:sectPr>
          <w:pgSz w:w="11900" w:h="16838" w:orient="portrait"/>
          <w:cols w:equalWidth="0" w:num="1">
            <w:col w:w="11380"/>
          </w:cols>
          <w:pgMar w:left="240" w:top="280" w:right="279" w:bottom="1440" w:gutter="0" w:footer="0" w:header="0"/>
        </w:sectPr>
      </w:pPr>
    </w:p>
    <w:p>
      <w:pPr>
        <w:spacing w:after="0" w:line="20" w:lineRule="exact"/>
        <w:rPr>
          <w:sz w:val="20"/>
          <w:szCs w:val="20"/>
          <w:color w:val="auto"/>
        </w:rPr>
      </w:pPr>
    </w:p>
    <w:tbl>
      <w:tblPr>
        <w:tblLayout w:type="fixed"/>
        <w:tblInd w:w="0" w:type="dxa"/>
        <w:tblCellMar>
          <w:top w:w="0" w:type="dxa"/>
          <w:left w:w="0" w:type="dxa"/>
          <w:bottom w:w="0" w:type="dxa"/>
          <w:right w:w="0" w:type="dxa"/>
        </w:tblCellMar>
      </w:tblPr>
      <w:tr>
        <w:trPr>
          <w:trHeight w:val="20"/>
        </w:trPr>
        <w:tc>
          <w:tcPr>
            <w:tcW w:w="1580" w:type="dxa"/>
            <w:vAlign w:val="bottom"/>
            <w:shd w:val="clear" w:color="auto" w:fill="000000"/>
          </w:tcPr>
          <w:p>
            <w:pPr>
              <w:spacing w:after="0" w:line="20" w:lineRule="exact"/>
              <w:rPr>
                <w:sz w:val="1"/>
                <w:szCs w:val="1"/>
                <w:color w:val="auto"/>
              </w:rPr>
            </w:pPr>
          </w:p>
        </w:tc>
        <w:tc>
          <w:tcPr>
            <w:tcW w:w="3840" w:type="dxa"/>
            <w:vAlign w:val="bottom"/>
          </w:tcPr>
          <w:p>
            <w:pPr>
              <w:spacing w:after="0" w:line="20" w:lineRule="exact"/>
              <w:rPr>
                <w:sz w:val="1"/>
                <w:szCs w:val="1"/>
                <w:color w:val="auto"/>
              </w:rPr>
            </w:pPr>
          </w:p>
        </w:tc>
        <w:tc>
          <w:tcPr>
            <w:tcW w:w="38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r>
      <w:tr>
        <w:trPr>
          <w:trHeight w:val="181"/>
        </w:trPr>
        <w:tc>
          <w:tcPr>
            <w:tcW w:w="5420" w:type="dxa"/>
            <w:vAlign w:val="bottom"/>
            <w:gridSpan w:val="2"/>
          </w:tcPr>
          <w:p>
            <w:pPr>
              <w:spacing w:after="0" w:line="182" w:lineRule="exact"/>
              <w:rPr>
                <w:sz w:val="20"/>
                <w:szCs w:val="20"/>
                <w:color w:val="auto"/>
              </w:rPr>
            </w:pPr>
            <w:r>
              <w:rPr>
                <w:rFonts w:ascii="Arial" w:cs="Arial" w:eastAsia="Arial" w:hAnsi="Arial"/>
                <w:sz w:val="18"/>
                <w:szCs w:val="18"/>
                <w:b w:val="1"/>
                <w:bCs w:val="1"/>
                <w:color w:val="auto"/>
              </w:rPr>
              <w:t>Independent Directors</w:t>
            </w:r>
          </w:p>
        </w:tc>
        <w:tc>
          <w:tcPr>
            <w:tcW w:w="384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700" w:type="dxa"/>
            <w:vAlign w:val="bottom"/>
          </w:tcPr>
          <w:p>
            <w:pPr>
              <w:spacing w:after="0"/>
              <w:rPr>
                <w:sz w:val="15"/>
                <w:szCs w:val="15"/>
                <w:color w:val="auto"/>
              </w:rPr>
            </w:pPr>
          </w:p>
        </w:tc>
      </w:tr>
      <w:tr>
        <w:trPr>
          <w:trHeight w:val="216"/>
        </w:trPr>
        <w:tc>
          <w:tcPr>
            <w:tcW w:w="5420" w:type="dxa"/>
            <w:vAlign w:val="bottom"/>
            <w:gridSpan w:val="2"/>
          </w:tcPr>
          <w:p>
            <w:pPr>
              <w:spacing w:after="0"/>
              <w:rPr>
                <w:sz w:val="20"/>
                <w:szCs w:val="20"/>
                <w:color w:val="auto"/>
              </w:rPr>
            </w:pPr>
            <w:r>
              <w:rPr>
                <w:rFonts w:ascii="Arial" w:cs="Arial" w:eastAsia="Arial" w:hAnsi="Arial"/>
                <w:sz w:val="18"/>
                <w:szCs w:val="18"/>
                <w:color w:val="auto"/>
              </w:rPr>
              <w:t>Adam K. Bernstein</w:t>
            </w:r>
          </w:p>
        </w:tc>
        <w:tc>
          <w:tcPr>
            <w:tcW w:w="3840" w:type="dxa"/>
            <w:vAlign w:val="bottom"/>
          </w:tcPr>
          <w:p>
            <w:pPr>
              <w:jc w:val="right"/>
              <w:spacing w:after="0"/>
              <w:rPr>
                <w:sz w:val="20"/>
                <w:szCs w:val="20"/>
                <w:color w:val="auto"/>
              </w:rPr>
            </w:pPr>
            <w:r>
              <w:rPr>
                <w:rFonts w:ascii="Arial" w:cs="Arial" w:eastAsia="Arial" w:hAnsi="Arial"/>
                <w:sz w:val="18"/>
                <w:szCs w:val="18"/>
                <w:color w:val="auto"/>
              </w:rPr>
              <w:t>$</w:t>
            </w:r>
          </w:p>
        </w:tc>
        <w:tc>
          <w:tcPr>
            <w:tcW w:w="660" w:type="dxa"/>
            <w:vAlign w:val="bottom"/>
          </w:tcPr>
          <w:p>
            <w:pPr>
              <w:jc w:val="right"/>
              <w:spacing w:after="0"/>
              <w:rPr>
                <w:sz w:val="20"/>
                <w:szCs w:val="20"/>
                <w:color w:val="auto"/>
              </w:rPr>
            </w:pPr>
            <w:r>
              <w:rPr>
                <w:rFonts w:ascii="Arial" w:cs="Arial" w:eastAsia="Arial" w:hAnsi="Arial"/>
                <w:sz w:val="18"/>
                <w:szCs w:val="18"/>
                <w:color w:val="auto"/>
                <w:w w:val="89"/>
              </w:rPr>
              <w:t>500,001</w:t>
            </w:r>
          </w:p>
        </w:tc>
        <w:tc>
          <w:tcPr>
            <w:tcW w:w="18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w w:val="84"/>
              </w:rPr>
              <w:t>1,000,000</w:t>
            </w:r>
          </w:p>
        </w:tc>
      </w:tr>
      <w:tr>
        <w:trPr>
          <w:trHeight w:val="216"/>
        </w:trPr>
        <w:tc>
          <w:tcPr>
            <w:tcW w:w="5420" w:type="dxa"/>
            <w:vAlign w:val="bottom"/>
            <w:gridSpan w:val="2"/>
          </w:tcPr>
          <w:p>
            <w:pPr>
              <w:spacing w:after="0"/>
              <w:rPr>
                <w:sz w:val="20"/>
                <w:szCs w:val="20"/>
                <w:color w:val="auto"/>
              </w:rPr>
            </w:pPr>
            <w:r>
              <w:rPr>
                <w:rFonts w:ascii="Arial" w:cs="Arial" w:eastAsia="Arial" w:hAnsi="Arial"/>
                <w:sz w:val="18"/>
                <w:szCs w:val="18"/>
                <w:color w:val="auto"/>
              </w:rPr>
              <w:t>Marshall Brozost</w:t>
            </w:r>
          </w:p>
        </w:tc>
        <w:tc>
          <w:tcPr>
            <w:tcW w:w="3840" w:type="dxa"/>
            <w:vAlign w:val="bottom"/>
          </w:tcPr>
          <w:p>
            <w:pPr>
              <w:jc w:val="right"/>
              <w:spacing w:after="0"/>
              <w:rPr>
                <w:sz w:val="20"/>
                <w:szCs w:val="20"/>
                <w:color w:val="auto"/>
              </w:rPr>
            </w:pPr>
            <w:r>
              <w:rPr>
                <w:rFonts w:ascii="Arial" w:cs="Arial" w:eastAsia="Arial" w:hAnsi="Arial"/>
                <w:sz w:val="18"/>
                <w:szCs w:val="18"/>
                <w:color w:val="auto"/>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50,001</w:t>
            </w:r>
          </w:p>
        </w:tc>
        <w:tc>
          <w:tcPr>
            <w:tcW w:w="18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100,000</w:t>
            </w:r>
          </w:p>
        </w:tc>
      </w:tr>
      <w:tr>
        <w:trPr>
          <w:trHeight w:val="216"/>
        </w:trPr>
        <w:tc>
          <w:tcPr>
            <w:tcW w:w="5420" w:type="dxa"/>
            <w:vAlign w:val="bottom"/>
            <w:gridSpan w:val="2"/>
          </w:tcPr>
          <w:p>
            <w:pPr>
              <w:spacing w:after="0"/>
              <w:rPr>
                <w:sz w:val="20"/>
                <w:szCs w:val="20"/>
                <w:color w:val="auto"/>
              </w:rPr>
            </w:pPr>
            <w:r>
              <w:rPr>
                <w:rFonts w:ascii="Arial" w:cs="Arial" w:eastAsia="Arial" w:hAnsi="Arial"/>
                <w:sz w:val="18"/>
                <w:szCs w:val="18"/>
                <w:color w:val="auto"/>
              </w:rPr>
              <w:t>Jeffrey Flug</w:t>
            </w:r>
          </w:p>
        </w:tc>
        <w:tc>
          <w:tcPr>
            <w:tcW w:w="3840" w:type="dxa"/>
            <w:vAlign w:val="bottom"/>
          </w:tcPr>
          <w:p>
            <w:pPr>
              <w:jc w:val="right"/>
              <w:spacing w:after="0"/>
              <w:rPr>
                <w:sz w:val="20"/>
                <w:szCs w:val="20"/>
                <w:color w:val="auto"/>
              </w:rPr>
            </w:pPr>
            <w:r>
              <w:rPr>
                <w:rFonts w:ascii="Arial" w:cs="Arial" w:eastAsia="Arial" w:hAnsi="Arial"/>
                <w:sz w:val="18"/>
                <w:szCs w:val="18"/>
                <w:color w:val="auto"/>
              </w:rPr>
              <w:t>$</w:t>
            </w:r>
          </w:p>
        </w:tc>
        <w:tc>
          <w:tcPr>
            <w:tcW w:w="660" w:type="dxa"/>
            <w:vAlign w:val="bottom"/>
          </w:tcPr>
          <w:p>
            <w:pPr>
              <w:jc w:val="right"/>
              <w:spacing w:after="0"/>
              <w:rPr>
                <w:sz w:val="20"/>
                <w:szCs w:val="20"/>
                <w:color w:val="auto"/>
              </w:rPr>
            </w:pPr>
            <w:r>
              <w:rPr>
                <w:rFonts w:ascii="Arial" w:cs="Arial" w:eastAsia="Arial" w:hAnsi="Arial"/>
                <w:sz w:val="18"/>
                <w:szCs w:val="18"/>
                <w:color w:val="auto"/>
                <w:w w:val="89"/>
              </w:rPr>
              <w:t>500,001</w:t>
            </w:r>
          </w:p>
        </w:tc>
        <w:tc>
          <w:tcPr>
            <w:tcW w:w="18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w w:val="84"/>
              </w:rPr>
              <w:t>1,000,000</w:t>
            </w:r>
          </w:p>
        </w:tc>
      </w:tr>
      <w:tr>
        <w:trPr>
          <w:trHeight w:val="222"/>
        </w:trPr>
        <w:tc>
          <w:tcPr>
            <w:tcW w:w="5420" w:type="dxa"/>
            <w:vAlign w:val="bottom"/>
            <w:gridSpan w:val="2"/>
          </w:tcPr>
          <w:p>
            <w:pPr>
              <w:spacing w:after="0"/>
              <w:rPr>
                <w:sz w:val="20"/>
                <w:szCs w:val="20"/>
                <w:color w:val="auto"/>
              </w:rPr>
            </w:pPr>
            <w:r>
              <w:rPr>
                <w:rFonts w:ascii="Arial" w:cs="Arial" w:eastAsia="Arial" w:hAnsi="Arial"/>
                <w:sz w:val="18"/>
                <w:szCs w:val="18"/>
                <w:color w:val="auto"/>
              </w:rPr>
              <w:t>Samuel L. Katz</w:t>
            </w:r>
          </w:p>
        </w:tc>
        <w:tc>
          <w:tcPr>
            <w:tcW w:w="3840" w:type="dxa"/>
            <w:vAlign w:val="bottom"/>
          </w:tcPr>
          <w:p>
            <w:pPr>
              <w:jc w:val="right"/>
              <w:spacing w:after="0"/>
              <w:rPr>
                <w:sz w:val="20"/>
                <w:szCs w:val="20"/>
                <w:color w:val="auto"/>
              </w:rPr>
            </w:pPr>
            <w:r>
              <w:rPr>
                <w:rFonts w:ascii="Arial" w:cs="Arial" w:eastAsia="Arial" w:hAnsi="Arial"/>
                <w:sz w:val="18"/>
                <w:szCs w:val="18"/>
                <w:color w:val="auto"/>
              </w:rPr>
              <w:t>$</w:t>
            </w:r>
          </w:p>
        </w:tc>
        <w:tc>
          <w:tcPr>
            <w:tcW w:w="660" w:type="dxa"/>
            <w:vAlign w:val="bottom"/>
          </w:tcPr>
          <w:p>
            <w:pPr>
              <w:jc w:val="right"/>
              <w:spacing w:after="0"/>
              <w:rPr>
                <w:sz w:val="20"/>
                <w:szCs w:val="20"/>
                <w:color w:val="auto"/>
              </w:rPr>
            </w:pPr>
            <w:r>
              <w:rPr>
                <w:rFonts w:ascii="Arial" w:cs="Arial" w:eastAsia="Arial" w:hAnsi="Arial"/>
                <w:sz w:val="18"/>
                <w:szCs w:val="18"/>
                <w:color w:val="auto"/>
                <w:w w:val="89"/>
              </w:rPr>
              <w:t>500,001</w:t>
            </w:r>
          </w:p>
        </w:tc>
        <w:tc>
          <w:tcPr>
            <w:tcW w:w="18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w w:val="84"/>
              </w:rPr>
              <w:t>1,000,000</w:t>
            </w:r>
          </w:p>
        </w:tc>
      </w:tr>
      <w:tr>
        <w:trPr>
          <w:trHeight w:val="318"/>
        </w:trPr>
        <w:tc>
          <w:tcPr>
            <w:tcW w:w="5420" w:type="dxa"/>
            <w:vAlign w:val="bottom"/>
            <w:gridSpan w:val="2"/>
          </w:tcPr>
          <w:p>
            <w:pPr>
              <w:spacing w:after="0"/>
              <w:rPr>
                <w:sz w:val="20"/>
                <w:szCs w:val="20"/>
                <w:color w:val="auto"/>
              </w:rPr>
            </w:pPr>
            <w:r>
              <w:rPr>
                <w:rFonts w:ascii="Arial" w:cs="Arial" w:eastAsia="Arial" w:hAnsi="Arial"/>
                <w:sz w:val="18"/>
                <w:szCs w:val="18"/>
                <w:b w:val="1"/>
                <w:bCs w:val="1"/>
                <w:color w:val="auto"/>
              </w:rPr>
              <w:t>Interested Director</w:t>
            </w:r>
          </w:p>
        </w:tc>
        <w:tc>
          <w:tcPr>
            <w:tcW w:w="38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00" w:type="dxa"/>
            <w:vAlign w:val="bottom"/>
          </w:tcPr>
          <w:p>
            <w:pPr>
              <w:spacing w:after="0"/>
              <w:rPr>
                <w:sz w:val="24"/>
                <w:szCs w:val="24"/>
                <w:color w:val="auto"/>
              </w:rPr>
            </w:pPr>
          </w:p>
        </w:tc>
      </w:tr>
      <w:tr>
        <w:trPr>
          <w:trHeight w:val="222"/>
        </w:trPr>
        <w:tc>
          <w:tcPr>
            <w:tcW w:w="5420" w:type="dxa"/>
            <w:vAlign w:val="bottom"/>
            <w:gridSpan w:val="2"/>
          </w:tcPr>
          <w:p>
            <w:pPr>
              <w:spacing w:after="0"/>
              <w:rPr>
                <w:sz w:val="20"/>
                <w:szCs w:val="20"/>
                <w:color w:val="auto"/>
              </w:rPr>
            </w:pPr>
            <w:r>
              <w:rPr>
                <w:rFonts w:ascii="Arial" w:cs="Arial" w:eastAsia="Arial" w:hAnsi="Arial"/>
                <w:sz w:val="18"/>
                <w:szCs w:val="18"/>
                <w:color w:val="auto"/>
              </w:rPr>
              <w:t>Arthur H. Penn</w:t>
            </w:r>
          </w:p>
        </w:tc>
        <w:tc>
          <w:tcPr>
            <w:tcW w:w="3840" w:type="dxa"/>
            <w:vAlign w:val="bottom"/>
          </w:tcPr>
          <w:p>
            <w:pPr>
              <w:spacing w:after="0"/>
              <w:rPr>
                <w:sz w:val="19"/>
                <w:szCs w:val="19"/>
                <w:color w:val="auto"/>
              </w:rPr>
            </w:pPr>
          </w:p>
        </w:tc>
        <w:tc>
          <w:tcPr>
            <w:tcW w:w="1080" w:type="dxa"/>
            <w:vAlign w:val="bottom"/>
            <w:gridSpan w:val="3"/>
          </w:tcPr>
          <w:p>
            <w:pPr>
              <w:jc w:val="right"/>
              <w:spacing w:after="0"/>
              <w:rPr>
                <w:sz w:val="20"/>
                <w:szCs w:val="20"/>
                <w:color w:val="auto"/>
              </w:rPr>
            </w:pPr>
            <w:r>
              <w:rPr>
                <w:rFonts w:ascii="Arial" w:cs="Arial" w:eastAsia="Arial" w:hAnsi="Arial"/>
                <w:sz w:val="18"/>
                <w:szCs w:val="18"/>
                <w:color w:val="auto"/>
              </w:rPr>
              <w:t>Over $</w:t>
            </w:r>
          </w:p>
        </w:tc>
        <w:tc>
          <w:tcPr>
            <w:tcW w:w="700" w:type="dxa"/>
            <w:vAlign w:val="bottom"/>
          </w:tcPr>
          <w:p>
            <w:pPr>
              <w:jc w:val="right"/>
              <w:spacing w:after="0"/>
              <w:rPr>
                <w:sz w:val="20"/>
                <w:szCs w:val="20"/>
                <w:color w:val="auto"/>
              </w:rPr>
            </w:pPr>
            <w:r>
              <w:rPr>
                <w:rFonts w:ascii="Arial" w:cs="Arial" w:eastAsia="Arial" w:hAnsi="Arial"/>
                <w:sz w:val="18"/>
                <w:szCs w:val="18"/>
                <w:color w:val="auto"/>
                <w:w w:val="84"/>
              </w:rPr>
              <w:t>1,000,000</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-752475</wp:posOffset>
            </wp:positionV>
            <wp:extent cx="7246620" cy="13716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46620" cy="13716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-478155</wp:posOffset>
            </wp:positionV>
            <wp:extent cx="7246620" cy="13716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46620" cy="13716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-135255</wp:posOffset>
            </wp:positionV>
            <wp:extent cx="7246620" cy="13716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46620" cy="13716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69850</wp:posOffset>
            </wp:positionV>
            <wp:extent cx="728980" cy="88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22" w:lineRule="exact"/>
        <w:rPr>
          <w:sz w:val="20"/>
          <w:szCs w:val="20"/>
          <w:color w:val="auto"/>
        </w:rPr>
      </w:pPr>
    </w:p>
    <w:p>
      <w:pPr>
        <w:ind w:left="460" w:hanging="452"/>
        <w:spacing w:after="0"/>
        <w:tabs>
          <w:tab w:leader="none" w:pos="460" w:val="left"/>
        </w:tabs>
        <w:numPr>
          <w:ilvl w:val="0"/>
          <w:numId w:val="10"/>
        </w:numPr>
        <w:rPr>
          <w:rFonts w:ascii="Arial" w:cs="Arial" w:eastAsia="Arial" w:hAnsi="Arial"/>
          <w:sz w:val="16"/>
          <w:szCs w:val="16"/>
          <w:color w:val="auto"/>
        </w:rPr>
      </w:pPr>
      <w:r>
        <w:rPr>
          <w:rFonts w:ascii="Arial" w:cs="Arial" w:eastAsia="Arial" w:hAnsi="Arial"/>
          <w:sz w:val="16"/>
          <w:szCs w:val="16"/>
          <w:color w:val="auto"/>
        </w:rPr>
        <w:t>Dollar ranges are as follows: None; $1-$10,000; $10,001-$50,000; $50,001-$100,000; $100,001-$500,000; $500,001-$1,000,000 or over $1,000,000.</w:t>
      </w:r>
    </w:p>
    <w:p>
      <w:pPr>
        <w:spacing w:after="0" w:line="38" w:lineRule="exact"/>
        <w:rPr>
          <w:rFonts w:ascii="Arial" w:cs="Arial" w:eastAsia="Arial" w:hAnsi="Arial"/>
          <w:sz w:val="16"/>
          <w:szCs w:val="16"/>
          <w:color w:val="auto"/>
        </w:rPr>
      </w:pPr>
    </w:p>
    <w:p>
      <w:pPr>
        <w:ind w:left="460" w:hanging="452"/>
        <w:spacing w:after="0"/>
        <w:tabs>
          <w:tab w:leader="none" w:pos="4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Also reflects holdings of JAM Investments, LLC.</w:t>
      </w:r>
    </w:p>
    <w:p>
      <w:pPr>
        <w:spacing w:after="0" w:line="9" w:lineRule="exact"/>
        <w:rPr>
          <w:rFonts w:ascii="Arial" w:cs="Arial" w:eastAsia="Arial" w:hAnsi="Arial"/>
          <w:sz w:val="18"/>
          <w:szCs w:val="18"/>
          <w:color w:val="auto"/>
        </w:rPr>
      </w:pPr>
    </w:p>
    <w:p>
      <w:pPr>
        <w:ind w:left="460" w:hanging="452"/>
        <w:spacing w:after="0"/>
        <w:tabs>
          <w:tab w:leader="none" w:pos="4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Also reflects holdings of PennantPark Investments Advisers, LLC</w:t>
      </w:r>
    </w:p>
    <w:p>
      <w:pPr>
        <w:spacing w:after="0" w:line="151" w:lineRule="exact"/>
        <w:rPr>
          <w:sz w:val="20"/>
          <w:szCs w:val="20"/>
          <w:color w:val="auto"/>
        </w:rPr>
      </w:pPr>
    </w:p>
    <w:p>
      <w:pPr>
        <w:jc w:val="center"/>
        <w:ind w:left="380"/>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br w:type="column"/>
      </w:r>
    </w:p>
    <w:p>
      <w:pPr>
        <w:spacing w:after="0" w:line="248" w:lineRule="exact"/>
        <w:rPr>
          <w:sz w:val="20"/>
          <w:szCs w:val="20"/>
          <w:color w:val="auto"/>
        </w:rPr>
      </w:pPr>
    </w:p>
    <w:p>
      <w:pPr>
        <w:spacing w:after="0"/>
        <w:rPr>
          <w:sz w:val="20"/>
          <w:szCs w:val="20"/>
          <w:color w:val="auto"/>
        </w:rPr>
      </w:pPr>
      <w:r>
        <w:rPr>
          <w:rFonts w:ascii="Arial" w:cs="Arial" w:eastAsia="Arial" w:hAnsi="Arial"/>
          <w:sz w:val="9"/>
          <w:szCs w:val="9"/>
          <w:color w:val="auto"/>
        </w:rPr>
        <w:t>(2)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spacing w:after="0"/>
        <w:rPr>
          <w:sz w:val="20"/>
          <w:szCs w:val="20"/>
          <w:color w:val="auto"/>
        </w:rPr>
      </w:pPr>
      <w:r>
        <w:rPr>
          <w:rFonts w:ascii="Arial" w:cs="Arial" w:eastAsia="Arial" w:hAnsi="Arial"/>
          <w:sz w:val="9"/>
          <w:szCs w:val="9"/>
          <w:color w:val="auto"/>
        </w:rPr>
        <w:t>(3)</w:t>
      </w:r>
    </w:p>
    <w:p>
      <w:pPr>
        <w:sectPr>
          <w:pgSz w:w="11900" w:h="16838" w:orient="portrait"/>
          <w:cols w:equalWidth="0" w:num="2">
            <w:col w:w="11040" w:space="220"/>
            <w:col w:w="120"/>
          </w:cols>
          <w:pgMar w:left="240" w:top="280" w:right="279" w:bottom="1440" w:gutter="0" w:footer="0" w:header="0"/>
          <w:type w:val="continuous"/>
        </w:sectPr>
      </w:pPr>
    </w:p>
    <w:bookmarkStart w:id="8" w:name="page9"/>
    <w:bookmarkEnd w:id="8"/>
    <w:p>
      <w:pPr>
        <w:jc w:val="center"/>
        <w:ind w:right="-59"/>
        <w:spacing w:after="0"/>
        <w:rPr>
          <w:sz w:val="20"/>
          <w:szCs w:val="20"/>
          <w:color w:val="auto"/>
        </w:rPr>
      </w:pPr>
      <w:r>
        <w:rPr>
          <w:rFonts w:ascii="Arial" w:cs="Arial" w:eastAsia="Arial" w:hAnsi="Arial"/>
          <w:sz w:val="18"/>
          <w:szCs w:val="18"/>
          <w:b w:val="1"/>
          <w:bCs w:val="1"/>
          <w:i w:val="1"/>
          <w:i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PROPOSAL 1: ELECTION OF DIRECTOR</w:t>
      </w:r>
    </w:p>
    <w:p>
      <w:pPr>
        <w:spacing w:after="0" w:line="171" w:lineRule="exact"/>
        <w:rPr>
          <w:sz w:val="20"/>
          <w:szCs w:val="20"/>
          <w:color w:val="auto"/>
        </w:rPr>
      </w:pPr>
    </w:p>
    <w:p>
      <w:pPr>
        <w:ind w:right="60" w:firstLine="456"/>
        <w:spacing w:after="0" w:line="256" w:lineRule="auto"/>
        <w:rPr>
          <w:sz w:val="20"/>
          <w:szCs w:val="20"/>
          <w:color w:val="auto"/>
        </w:rPr>
      </w:pPr>
      <w:r>
        <w:rPr>
          <w:rFonts w:ascii="Arial" w:cs="Arial" w:eastAsia="Arial" w:hAnsi="Arial"/>
          <w:sz w:val="18"/>
          <w:szCs w:val="18"/>
          <w:color w:val="auto"/>
        </w:rPr>
        <w:t>In accordance with its bylaws, the Company currently has five members of the Board of Directors. Directors are divided into three classes and are elected for staggered terms of three years each, with a term of office of one of the three classes of directors expiring each year. The terms of Class I, II and III will expire in 2011, 2012 and 2010, respectively. Each director will hold office for the term to which he or she is elected or until his or her successor is duly elected and qualifies.</w:t>
      </w:r>
    </w:p>
    <w:p>
      <w:pPr>
        <w:spacing w:after="0" w:line="143" w:lineRule="exact"/>
        <w:rPr>
          <w:sz w:val="20"/>
          <w:szCs w:val="20"/>
          <w:color w:val="auto"/>
        </w:rPr>
      </w:pPr>
    </w:p>
    <w:p>
      <w:pPr>
        <w:ind w:right="60" w:firstLine="456"/>
        <w:spacing w:after="0" w:line="256" w:lineRule="auto"/>
        <w:rPr>
          <w:sz w:val="20"/>
          <w:szCs w:val="20"/>
          <w:color w:val="auto"/>
        </w:rPr>
      </w:pPr>
      <w:r>
        <w:rPr>
          <w:rFonts w:ascii="Arial" w:cs="Arial" w:eastAsia="Arial" w:hAnsi="Arial"/>
          <w:sz w:val="18"/>
          <w:szCs w:val="18"/>
          <w:color w:val="auto"/>
        </w:rPr>
        <w:t>A Stockholder can vote for, or withhold his or her vote from, any nominee. In the absence of instructions to the contrary, it is the intention of the persons named as proxies to vote such proxy FOR the election of the nominee named below. If a nominee should decline or be unable to serve as a director, it is intended that the proxy will be voted for the election of such person as is nominated by the Board as a replacement. The Board has no reason to believe that any of the persons named below will be unable or unwilling to serve.</w:t>
      </w:r>
    </w:p>
    <w:p>
      <w:pPr>
        <w:spacing w:after="0" w:line="137" w:lineRule="exact"/>
        <w:rPr>
          <w:sz w:val="20"/>
          <w:szCs w:val="20"/>
          <w:color w:val="auto"/>
        </w:rPr>
      </w:pPr>
    </w:p>
    <w:p>
      <w:pPr>
        <w:ind w:right="160" w:firstLine="456"/>
        <w:spacing w:after="0" w:line="275" w:lineRule="auto"/>
        <w:rPr>
          <w:sz w:val="20"/>
          <w:szCs w:val="20"/>
          <w:color w:val="auto"/>
        </w:rPr>
      </w:pPr>
      <w:r>
        <w:rPr>
          <w:rFonts w:ascii="Arial" w:cs="Arial" w:eastAsia="Arial" w:hAnsi="Arial"/>
          <w:sz w:val="18"/>
          <w:szCs w:val="18"/>
          <w:b w:val="1"/>
          <w:bCs w:val="1"/>
          <w:color w:val="auto"/>
        </w:rPr>
        <w:t xml:space="preserve">THE BOARD OF DIRECTORS RECOMMENDS THAT YOU VOTE </w:t>
      </w:r>
      <w:r>
        <w:rPr>
          <w:rFonts w:ascii="Arial" w:cs="Arial" w:eastAsia="Arial" w:hAnsi="Arial"/>
          <w:sz w:val="18"/>
          <w:szCs w:val="18"/>
          <w:b w:val="1"/>
          <w:bCs w:val="1"/>
          <w:u w:val="single" w:color="auto"/>
          <w:color w:val="auto"/>
        </w:rPr>
        <w:t>FOR</w:t>
      </w:r>
      <w:r>
        <w:rPr>
          <w:rFonts w:ascii="Arial" w:cs="Arial" w:eastAsia="Arial" w:hAnsi="Arial"/>
          <w:sz w:val="18"/>
          <w:szCs w:val="18"/>
          <w:b w:val="1"/>
          <w:bCs w:val="1"/>
          <w:color w:val="auto"/>
        </w:rPr>
        <w:t xml:space="preserve"> THE ELECTION OF THE NOMINEE NAMED IN THIS PROXY STATEMENT.</w:t>
      </w:r>
    </w:p>
    <w:p>
      <w:pPr>
        <w:spacing w:after="0" w:line="288"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i w:val="1"/>
          <w:iCs w:val="1"/>
          <w:color w:val="auto"/>
        </w:rPr>
        <w:t>Information about the Nominee and Directors</w:t>
      </w:r>
    </w:p>
    <w:p>
      <w:pPr>
        <w:spacing w:after="0" w:line="171"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color w:val="auto"/>
        </w:rPr>
        <w:t>Certain information with respect to the Class III nominee for election at the Meeting, as well as each of the other directors, is set forth below, including their names, ages, a brief description of their recent business experience, including present occupations and employment, certain directorships that each person holds, and the year in which each person became a director of the Company. The nominee for Class III director currently serves as the Chairman of the Board and Chief Executive of the Company.</w:t>
      </w:r>
    </w:p>
    <w:p>
      <w:pPr>
        <w:spacing w:after="0" w:line="143" w:lineRule="exact"/>
        <w:rPr>
          <w:sz w:val="20"/>
          <w:szCs w:val="20"/>
          <w:color w:val="auto"/>
        </w:rPr>
      </w:pPr>
    </w:p>
    <w:p>
      <w:pPr>
        <w:ind w:right="380" w:firstLine="456"/>
        <w:spacing w:after="0" w:line="268" w:lineRule="auto"/>
        <w:rPr>
          <w:sz w:val="20"/>
          <w:szCs w:val="20"/>
          <w:color w:val="auto"/>
        </w:rPr>
      </w:pPr>
      <w:r>
        <w:rPr>
          <w:rFonts w:ascii="Arial" w:cs="Arial" w:eastAsia="Arial" w:hAnsi="Arial"/>
          <w:sz w:val="18"/>
          <w:szCs w:val="18"/>
          <w:color w:val="auto"/>
        </w:rPr>
        <w:t>Mr. Arthur H. Penn has been nominated for election as the Class III director for a three year term expiring in 2013. Mr. Penn is not being proposed for election pursuant to any agreement or understanding between Mr. Penn and the Company.</w:t>
      </w:r>
    </w:p>
    <w:p>
      <w:pPr>
        <w:spacing w:after="0" w:line="11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380"/>
          </w:cols>
          <w:pgMar w:left="240" w:top="280" w:right="279" w:bottom="1440" w:gutter="0" w:footer="0" w:header="0"/>
        </w:sectPr>
      </w:pPr>
    </w:p>
    <w:bookmarkStart w:id="9" w:name="page10"/>
    <w:bookmarkEnd w:id="9"/>
    <w:p>
      <w:pPr>
        <w:spacing w:after="0"/>
        <w:rPr>
          <w:sz w:val="20"/>
          <w:szCs w:val="20"/>
          <w:color w:val="auto"/>
        </w:rPr>
      </w:pPr>
      <w:r>
        <w:rPr>
          <w:rFonts w:ascii="Arial" w:cs="Arial" w:eastAsia="Arial" w:hAnsi="Arial"/>
          <w:sz w:val="18"/>
          <w:szCs w:val="18"/>
          <w:b w:val="1"/>
          <w:bCs w:val="1"/>
          <w:i w:val="1"/>
          <w:i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Nominee for Class III Director</w:t>
      </w:r>
    </w:p>
    <w:p>
      <w:pPr>
        <w:spacing w:after="0" w:line="34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58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20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0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060" w:type="dxa"/>
            <w:vAlign w:val="bottom"/>
          </w:tcPr>
          <w:p>
            <w:pPr>
              <w:jc w:val="center"/>
              <w:spacing w:after="0"/>
              <w:rPr>
                <w:sz w:val="20"/>
                <w:szCs w:val="20"/>
                <w:color w:val="auto"/>
              </w:rPr>
            </w:pPr>
            <w:r>
              <w:rPr>
                <w:rFonts w:ascii="Arial" w:cs="Arial" w:eastAsia="Arial" w:hAnsi="Arial"/>
                <w:sz w:val="14"/>
                <w:szCs w:val="14"/>
                <w:b w:val="1"/>
                <w:bCs w:val="1"/>
                <w:color w:val="auto"/>
                <w:w w:val="91"/>
              </w:rPr>
              <w:t>Principal</w:t>
            </w:r>
          </w:p>
        </w:tc>
        <w:tc>
          <w:tcPr>
            <w:tcW w:w="0" w:type="dxa"/>
            <w:vAlign w:val="bottom"/>
          </w:tcPr>
          <w:p>
            <w:pPr>
              <w:spacing w:after="0"/>
              <w:rPr>
                <w:sz w:val="1"/>
                <w:szCs w:val="1"/>
                <w:color w:val="auto"/>
              </w:rPr>
            </w:pPr>
          </w:p>
        </w:tc>
      </w:tr>
      <w:tr>
        <w:trPr>
          <w:trHeight w:val="149"/>
        </w:trPr>
        <w:tc>
          <w:tcPr>
            <w:tcW w:w="158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20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0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0"/>
              </w:rPr>
              <w:t>Term of Office</w:t>
            </w:r>
          </w:p>
        </w:tc>
        <w:tc>
          <w:tcPr>
            <w:tcW w:w="220" w:type="dxa"/>
            <w:vAlign w:val="bottom"/>
          </w:tcPr>
          <w:p>
            <w:pPr>
              <w:spacing w:after="0"/>
              <w:rPr>
                <w:sz w:val="12"/>
                <w:szCs w:val="12"/>
                <w:color w:val="auto"/>
              </w:rPr>
            </w:pPr>
          </w:p>
        </w:tc>
        <w:tc>
          <w:tcPr>
            <w:tcW w:w="20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7"/>
              </w:rPr>
              <w:t>Occupation(s)</w:t>
            </w:r>
          </w:p>
        </w:tc>
        <w:tc>
          <w:tcPr>
            <w:tcW w:w="0" w:type="dxa"/>
            <w:vAlign w:val="bottom"/>
          </w:tcPr>
          <w:p>
            <w:pPr>
              <w:spacing w:after="0"/>
              <w:rPr>
                <w:sz w:val="1"/>
                <w:szCs w:val="1"/>
                <w:color w:val="auto"/>
              </w:rPr>
            </w:pPr>
          </w:p>
        </w:tc>
      </w:tr>
      <w:tr>
        <w:trPr>
          <w:trHeight w:val="149"/>
        </w:trPr>
        <w:tc>
          <w:tcPr>
            <w:tcW w:w="1580" w:type="dxa"/>
            <w:vAlign w:val="bottom"/>
            <w:vMerge w:val="restart"/>
          </w:tcPr>
          <w:p>
            <w:pPr>
              <w:spacing w:after="0"/>
              <w:rPr>
                <w:sz w:val="20"/>
                <w:szCs w:val="20"/>
                <w:color w:val="auto"/>
              </w:rPr>
            </w:pPr>
            <w:r>
              <w:rPr>
                <w:rFonts w:ascii="Arial" w:cs="Arial" w:eastAsia="Arial" w:hAnsi="Arial"/>
                <w:sz w:val="14"/>
                <w:szCs w:val="14"/>
                <w:b w:val="1"/>
                <w:bCs w:val="1"/>
                <w:color w:val="auto"/>
                <w:w w:val="87"/>
              </w:rPr>
              <w:t>Name, Address and Age</w:t>
            </w:r>
            <w:r>
              <w:rPr>
                <w:rFonts w:ascii="Arial" w:cs="Arial" w:eastAsia="Arial" w:hAnsi="Arial"/>
                <w:sz w:val="22"/>
                <w:szCs w:val="22"/>
                <w:b w:val="1"/>
                <w:bCs w:val="1"/>
                <w:color w:val="auto"/>
                <w:w w:val="87"/>
                <w:vertAlign w:val="superscript"/>
              </w:rPr>
              <w:t>(1)</w:t>
            </w:r>
          </w:p>
        </w:tc>
        <w:tc>
          <w:tcPr>
            <w:tcW w:w="1060" w:type="dxa"/>
            <w:vAlign w:val="bottom"/>
          </w:tcPr>
          <w:p>
            <w:pPr>
              <w:spacing w:after="0"/>
              <w:rPr>
                <w:sz w:val="12"/>
                <w:szCs w:val="12"/>
                <w:color w:val="auto"/>
              </w:rPr>
            </w:pPr>
          </w:p>
        </w:tc>
        <w:tc>
          <w:tcPr>
            <w:tcW w:w="2060" w:type="dxa"/>
            <w:vAlign w:val="bottom"/>
          </w:tcPr>
          <w:p>
            <w:pPr>
              <w:ind w:left="600"/>
              <w:spacing w:after="0" w:line="149" w:lineRule="exact"/>
              <w:rPr>
                <w:sz w:val="20"/>
                <w:szCs w:val="20"/>
                <w:color w:val="auto"/>
              </w:rPr>
            </w:pPr>
            <w:r>
              <w:rPr>
                <w:rFonts w:ascii="Arial" w:cs="Arial" w:eastAsia="Arial" w:hAnsi="Arial"/>
                <w:sz w:val="14"/>
                <w:szCs w:val="14"/>
                <w:b w:val="1"/>
                <w:bCs w:val="1"/>
                <w:color w:val="auto"/>
              </w:rPr>
              <w:t>Position(s) held</w:t>
            </w:r>
          </w:p>
        </w:tc>
        <w:tc>
          <w:tcPr>
            <w:tcW w:w="240" w:type="dxa"/>
            <w:vAlign w:val="bottom"/>
          </w:tcPr>
          <w:p>
            <w:pPr>
              <w:spacing w:after="0"/>
              <w:rPr>
                <w:sz w:val="12"/>
                <w:szCs w:val="12"/>
                <w:color w:val="auto"/>
              </w:rPr>
            </w:pPr>
          </w:p>
        </w:tc>
        <w:tc>
          <w:tcPr>
            <w:tcW w:w="20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8"/>
              </w:rPr>
              <w:t>and Length of</w:t>
            </w:r>
          </w:p>
        </w:tc>
        <w:tc>
          <w:tcPr>
            <w:tcW w:w="220" w:type="dxa"/>
            <w:vAlign w:val="bottom"/>
          </w:tcPr>
          <w:p>
            <w:pPr>
              <w:spacing w:after="0"/>
              <w:rPr>
                <w:sz w:val="12"/>
                <w:szCs w:val="12"/>
                <w:color w:val="auto"/>
              </w:rPr>
            </w:pPr>
          </w:p>
        </w:tc>
        <w:tc>
          <w:tcPr>
            <w:tcW w:w="20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8"/>
              </w:rPr>
              <w:t>During the Past 5</w:t>
            </w:r>
          </w:p>
        </w:tc>
        <w:tc>
          <w:tcPr>
            <w:tcW w:w="0" w:type="dxa"/>
            <w:vAlign w:val="bottom"/>
          </w:tcPr>
          <w:p>
            <w:pPr>
              <w:spacing w:after="0"/>
              <w:rPr>
                <w:sz w:val="1"/>
                <w:szCs w:val="1"/>
                <w:color w:val="auto"/>
              </w:rPr>
            </w:pPr>
          </w:p>
        </w:tc>
      </w:tr>
      <w:tr>
        <w:trPr>
          <w:trHeight w:val="175"/>
        </w:trPr>
        <w:tc>
          <w:tcPr>
            <w:tcW w:w="1580" w:type="dxa"/>
            <w:vAlign w:val="bottom"/>
            <w:tcBorders>
              <w:bottom w:val="single" w:sz="8" w:color="auto"/>
            </w:tcBorders>
            <w:vMerge w:val="continue"/>
          </w:tcPr>
          <w:p>
            <w:pPr>
              <w:spacing w:after="0"/>
              <w:rPr>
                <w:sz w:val="15"/>
                <w:szCs w:val="15"/>
                <w:color w:val="auto"/>
              </w:rPr>
            </w:pPr>
          </w:p>
        </w:tc>
        <w:tc>
          <w:tcPr>
            <w:tcW w:w="1060" w:type="dxa"/>
            <w:vAlign w:val="bottom"/>
          </w:tcPr>
          <w:p>
            <w:pPr>
              <w:spacing w:after="0"/>
              <w:rPr>
                <w:sz w:val="15"/>
                <w:szCs w:val="15"/>
                <w:color w:val="auto"/>
              </w:rPr>
            </w:pPr>
          </w:p>
        </w:tc>
        <w:tc>
          <w:tcPr>
            <w:tcW w:w="2060" w:type="dxa"/>
            <w:vAlign w:val="bottom"/>
            <w:tcBorders>
              <w:bottom w:val="single" w:sz="8" w:color="auto"/>
            </w:tcBorders>
          </w:tcPr>
          <w:p>
            <w:pPr>
              <w:ind w:left="600"/>
              <w:spacing w:after="0"/>
              <w:rPr>
                <w:sz w:val="20"/>
                <w:szCs w:val="20"/>
                <w:color w:val="auto"/>
              </w:rPr>
            </w:pPr>
            <w:r>
              <w:rPr>
                <w:rFonts w:ascii="Arial" w:cs="Arial" w:eastAsia="Arial" w:hAnsi="Arial"/>
                <w:sz w:val="14"/>
                <w:szCs w:val="14"/>
                <w:b w:val="1"/>
                <w:bCs w:val="1"/>
                <w:color w:val="auto"/>
              </w:rPr>
              <w:t>with Company</w:t>
            </w:r>
          </w:p>
        </w:tc>
        <w:tc>
          <w:tcPr>
            <w:tcW w:w="240" w:type="dxa"/>
            <w:vAlign w:val="bottom"/>
          </w:tcPr>
          <w:p>
            <w:pPr>
              <w:spacing w:after="0"/>
              <w:rPr>
                <w:sz w:val="15"/>
                <w:szCs w:val="15"/>
                <w:color w:val="auto"/>
              </w:rPr>
            </w:pPr>
          </w:p>
        </w:tc>
        <w:tc>
          <w:tcPr>
            <w:tcW w:w="20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8"/>
              </w:rPr>
              <w:t>Time Served</w:t>
            </w:r>
          </w:p>
        </w:tc>
        <w:tc>
          <w:tcPr>
            <w:tcW w:w="220" w:type="dxa"/>
            <w:vAlign w:val="bottom"/>
          </w:tcPr>
          <w:p>
            <w:pPr>
              <w:spacing w:after="0"/>
              <w:rPr>
                <w:sz w:val="15"/>
                <w:szCs w:val="15"/>
                <w:color w:val="auto"/>
              </w:rPr>
            </w:pPr>
          </w:p>
        </w:tc>
        <w:tc>
          <w:tcPr>
            <w:tcW w:w="20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3"/>
              </w:rPr>
              <w:t>Years</w:t>
            </w:r>
          </w:p>
        </w:tc>
        <w:tc>
          <w:tcPr>
            <w:tcW w:w="0" w:type="dxa"/>
            <w:vAlign w:val="bottom"/>
          </w:tcPr>
          <w:p>
            <w:pPr>
              <w:spacing w:after="0"/>
              <w:rPr>
                <w:sz w:val="1"/>
                <w:szCs w:val="1"/>
                <w:color w:val="auto"/>
              </w:rPr>
            </w:pPr>
          </w:p>
        </w:tc>
      </w:tr>
      <w:tr>
        <w:trPr>
          <w:trHeight w:val="222"/>
        </w:trPr>
        <w:tc>
          <w:tcPr>
            <w:tcW w:w="1580" w:type="dxa"/>
            <w:vAlign w:val="bottom"/>
          </w:tcPr>
          <w:p>
            <w:pPr>
              <w:spacing w:after="0"/>
              <w:rPr>
                <w:sz w:val="20"/>
                <w:szCs w:val="20"/>
                <w:color w:val="auto"/>
              </w:rPr>
            </w:pPr>
            <w:r>
              <w:rPr>
                <w:rFonts w:ascii="Arial" w:cs="Arial" w:eastAsia="Arial" w:hAnsi="Arial"/>
                <w:sz w:val="18"/>
                <w:szCs w:val="18"/>
                <w:b w:val="1"/>
                <w:bCs w:val="1"/>
                <w:color w:val="auto"/>
                <w:w w:val="97"/>
              </w:rPr>
              <w:t>Interested Director</w:t>
            </w:r>
          </w:p>
        </w:tc>
        <w:tc>
          <w:tcPr>
            <w:tcW w:w="1060" w:type="dxa"/>
            <w:vAlign w:val="bottom"/>
          </w:tcPr>
          <w:p>
            <w:pPr>
              <w:spacing w:after="0"/>
              <w:rPr>
                <w:sz w:val="19"/>
                <w:szCs w:val="19"/>
                <w:color w:val="auto"/>
              </w:rPr>
            </w:pPr>
          </w:p>
        </w:tc>
        <w:tc>
          <w:tcPr>
            <w:tcW w:w="20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0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0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03"/>
        </w:trPr>
        <w:tc>
          <w:tcPr>
            <w:tcW w:w="1580" w:type="dxa"/>
            <w:vAlign w:val="bottom"/>
          </w:tcPr>
          <w:p>
            <w:pPr>
              <w:spacing w:after="0"/>
              <w:rPr>
                <w:sz w:val="20"/>
                <w:szCs w:val="20"/>
                <w:color w:val="auto"/>
              </w:rPr>
            </w:pPr>
            <w:r>
              <w:rPr>
                <w:rFonts w:ascii="Arial" w:cs="Arial" w:eastAsia="Arial" w:hAnsi="Arial"/>
                <w:sz w:val="18"/>
                <w:szCs w:val="18"/>
                <w:color w:val="auto"/>
                <w:w w:val="92"/>
              </w:rPr>
              <w:t>Arthur H. Penn (46)</w:t>
            </w:r>
            <w:r>
              <w:rPr>
                <w:rFonts w:ascii="Arial" w:cs="Arial" w:eastAsia="Arial" w:hAnsi="Arial"/>
                <w:sz w:val="11"/>
                <w:szCs w:val="11"/>
                <w:color w:val="auto"/>
                <w:w w:val="92"/>
              </w:rPr>
              <w:t>(3)</w:t>
            </w:r>
          </w:p>
        </w:tc>
        <w:tc>
          <w:tcPr>
            <w:tcW w:w="1060" w:type="dxa"/>
            <w:vAlign w:val="bottom"/>
          </w:tcPr>
          <w:p>
            <w:pPr>
              <w:spacing w:after="0"/>
              <w:rPr>
                <w:sz w:val="24"/>
                <w:szCs w:val="24"/>
                <w:color w:val="auto"/>
              </w:rPr>
            </w:pPr>
          </w:p>
        </w:tc>
        <w:tc>
          <w:tcPr>
            <w:tcW w:w="2060" w:type="dxa"/>
            <w:vAlign w:val="bottom"/>
          </w:tcPr>
          <w:p>
            <w:pPr>
              <w:spacing w:after="0"/>
              <w:rPr>
                <w:sz w:val="20"/>
                <w:szCs w:val="20"/>
                <w:color w:val="auto"/>
              </w:rPr>
            </w:pPr>
            <w:r>
              <w:rPr>
                <w:rFonts w:ascii="Arial" w:cs="Arial" w:eastAsia="Arial" w:hAnsi="Arial"/>
                <w:sz w:val="18"/>
                <w:szCs w:val="18"/>
                <w:color w:val="auto"/>
              </w:rPr>
              <w:t>Chief Executive</w:t>
            </w:r>
          </w:p>
        </w:tc>
        <w:tc>
          <w:tcPr>
            <w:tcW w:w="2300" w:type="dxa"/>
            <w:vAlign w:val="bottom"/>
            <w:gridSpan w:val="2"/>
          </w:tcPr>
          <w:p>
            <w:pPr>
              <w:ind w:left="240"/>
              <w:spacing w:after="0"/>
              <w:rPr>
                <w:sz w:val="20"/>
                <w:szCs w:val="20"/>
                <w:color w:val="auto"/>
              </w:rPr>
            </w:pPr>
            <w:r>
              <w:rPr>
                <w:rFonts w:ascii="Arial" w:cs="Arial" w:eastAsia="Arial" w:hAnsi="Arial"/>
                <w:sz w:val="18"/>
                <w:szCs w:val="18"/>
                <w:color w:val="auto"/>
              </w:rPr>
              <w:t>Class III</w:t>
            </w:r>
          </w:p>
        </w:tc>
        <w:tc>
          <w:tcPr>
            <w:tcW w:w="2280" w:type="dxa"/>
            <w:vAlign w:val="bottom"/>
            <w:gridSpan w:val="2"/>
          </w:tcPr>
          <w:p>
            <w:pPr>
              <w:ind w:left="220"/>
              <w:spacing w:after="0"/>
              <w:rPr>
                <w:sz w:val="20"/>
                <w:szCs w:val="20"/>
                <w:color w:val="auto"/>
              </w:rPr>
            </w:pPr>
            <w:r>
              <w:rPr>
                <w:rFonts w:ascii="Arial" w:cs="Arial" w:eastAsia="Arial" w:hAnsi="Arial"/>
                <w:sz w:val="18"/>
                <w:szCs w:val="18"/>
                <w:color w:val="auto"/>
              </w:rPr>
              <w:t>Chief Executive Officer of</w:t>
            </w:r>
          </w:p>
        </w:tc>
        <w:tc>
          <w:tcPr>
            <w:tcW w:w="0" w:type="dxa"/>
            <w:vAlign w:val="bottom"/>
          </w:tcPr>
          <w:p>
            <w:pPr>
              <w:spacing w:after="0"/>
              <w:rPr>
                <w:sz w:val="1"/>
                <w:szCs w:val="1"/>
                <w:color w:val="auto"/>
              </w:rPr>
            </w:pPr>
          </w:p>
        </w:tc>
      </w:tr>
      <w:tr>
        <w:trPr>
          <w:trHeight w:val="216"/>
        </w:trPr>
        <w:tc>
          <w:tcPr>
            <w:tcW w:w="15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060" w:type="dxa"/>
            <w:vAlign w:val="bottom"/>
          </w:tcPr>
          <w:p>
            <w:pPr>
              <w:spacing w:after="0"/>
              <w:rPr>
                <w:sz w:val="20"/>
                <w:szCs w:val="20"/>
                <w:color w:val="auto"/>
              </w:rPr>
            </w:pPr>
            <w:r>
              <w:rPr>
                <w:rFonts w:ascii="Arial" w:cs="Arial" w:eastAsia="Arial" w:hAnsi="Arial"/>
                <w:sz w:val="18"/>
                <w:szCs w:val="18"/>
                <w:color w:val="auto"/>
              </w:rPr>
              <w:t>Officer and</w:t>
            </w:r>
          </w:p>
        </w:tc>
        <w:tc>
          <w:tcPr>
            <w:tcW w:w="2300" w:type="dxa"/>
            <w:vAlign w:val="bottom"/>
            <w:gridSpan w:val="2"/>
          </w:tcPr>
          <w:p>
            <w:pPr>
              <w:ind w:left="240"/>
              <w:spacing w:after="0"/>
              <w:rPr>
                <w:sz w:val="20"/>
                <w:szCs w:val="20"/>
                <w:color w:val="auto"/>
              </w:rPr>
            </w:pPr>
            <w:r>
              <w:rPr>
                <w:rFonts w:ascii="Arial" w:cs="Arial" w:eastAsia="Arial" w:hAnsi="Arial"/>
                <w:sz w:val="18"/>
                <w:szCs w:val="18"/>
                <w:color w:val="auto"/>
              </w:rPr>
              <w:t>Director since</w:t>
            </w:r>
          </w:p>
        </w:tc>
        <w:tc>
          <w:tcPr>
            <w:tcW w:w="2280" w:type="dxa"/>
            <w:vAlign w:val="bottom"/>
            <w:gridSpan w:val="2"/>
          </w:tcPr>
          <w:p>
            <w:pPr>
              <w:ind w:left="220"/>
              <w:spacing w:after="0"/>
              <w:rPr>
                <w:sz w:val="20"/>
                <w:szCs w:val="20"/>
                <w:color w:val="auto"/>
              </w:rPr>
            </w:pPr>
            <w:r>
              <w:rPr>
                <w:rFonts w:ascii="Arial" w:cs="Arial" w:eastAsia="Arial" w:hAnsi="Arial"/>
                <w:sz w:val="18"/>
                <w:szCs w:val="18"/>
                <w:color w:val="auto"/>
              </w:rPr>
              <w:t>PennantPark Investment</w:t>
            </w:r>
          </w:p>
        </w:tc>
        <w:tc>
          <w:tcPr>
            <w:tcW w:w="0" w:type="dxa"/>
            <w:vAlign w:val="bottom"/>
          </w:tcPr>
          <w:p>
            <w:pPr>
              <w:spacing w:after="0"/>
              <w:rPr>
                <w:sz w:val="1"/>
                <w:szCs w:val="1"/>
                <w:color w:val="auto"/>
              </w:rPr>
            </w:pPr>
          </w:p>
        </w:tc>
      </w:tr>
      <w:tr>
        <w:trPr>
          <w:trHeight w:val="216"/>
        </w:trPr>
        <w:tc>
          <w:tcPr>
            <w:tcW w:w="15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060" w:type="dxa"/>
            <w:vAlign w:val="bottom"/>
          </w:tcPr>
          <w:p>
            <w:pPr>
              <w:spacing w:after="0"/>
              <w:rPr>
                <w:sz w:val="20"/>
                <w:szCs w:val="20"/>
                <w:color w:val="auto"/>
              </w:rPr>
            </w:pPr>
            <w:r>
              <w:rPr>
                <w:rFonts w:ascii="Arial" w:cs="Arial" w:eastAsia="Arial" w:hAnsi="Arial"/>
                <w:sz w:val="18"/>
                <w:szCs w:val="18"/>
                <w:color w:val="auto"/>
              </w:rPr>
              <w:t>Chairman of the</w:t>
            </w:r>
          </w:p>
        </w:tc>
        <w:tc>
          <w:tcPr>
            <w:tcW w:w="2300" w:type="dxa"/>
            <w:vAlign w:val="bottom"/>
            <w:gridSpan w:val="2"/>
          </w:tcPr>
          <w:p>
            <w:pPr>
              <w:ind w:left="240"/>
              <w:spacing w:after="0"/>
              <w:rPr>
                <w:sz w:val="20"/>
                <w:szCs w:val="20"/>
                <w:color w:val="auto"/>
              </w:rPr>
            </w:pPr>
            <w:r>
              <w:rPr>
                <w:rFonts w:ascii="Arial" w:cs="Arial" w:eastAsia="Arial" w:hAnsi="Arial"/>
                <w:sz w:val="18"/>
                <w:szCs w:val="18"/>
                <w:color w:val="auto"/>
              </w:rPr>
              <w:t>February 2007;</w:t>
            </w:r>
          </w:p>
        </w:tc>
        <w:tc>
          <w:tcPr>
            <w:tcW w:w="2280" w:type="dxa"/>
            <w:vAlign w:val="bottom"/>
            <w:gridSpan w:val="2"/>
          </w:tcPr>
          <w:p>
            <w:pPr>
              <w:ind w:left="220"/>
              <w:spacing w:after="0"/>
              <w:rPr>
                <w:sz w:val="20"/>
                <w:szCs w:val="20"/>
                <w:color w:val="auto"/>
              </w:rPr>
            </w:pPr>
            <w:r>
              <w:rPr>
                <w:rFonts w:ascii="Arial" w:cs="Arial" w:eastAsia="Arial" w:hAnsi="Arial"/>
                <w:sz w:val="18"/>
                <w:szCs w:val="18"/>
                <w:color w:val="auto"/>
                <w:w w:val="93"/>
              </w:rPr>
              <w:t>Corporation since inception</w:t>
            </w:r>
          </w:p>
        </w:tc>
        <w:tc>
          <w:tcPr>
            <w:tcW w:w="0" w:type="dxa"/>
            <w:vAlign w:val="bottom"/>
          </w:tcPr>
          <w:p>
            <w:pPr>
              <w:spacing w:after="0"/>
              <w:rPr>
                <w:sz w:val="1"/>
                <w:szCs w:val="1"/>
                <w:color w:val="auto"/>
              </w:rPr>
            </w:pPr>
          </w:p>
        </w:tc>
      </w:tr>
      <w:tr>
        <w:trPr>
          <w:trHeight w:val="216"/>
        </w:trPr>
        <w:tc>
          <w:tcPr>
            <w:tcW w:w="15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060" w:type="dxa"/>
            <w:vAlign w:val="bottom"/>
          </w:tcPr>
          <w:p>
            <w:pPr>
              <w:spacing w:after="0"/>
              <w:rPr>
                <w:sz w:val="20"/>
                <w:szCs w:val="20"/>
                <w:color w:val="auto"/>
              </w:rPr>
            </w:pPr>
            <w:r>
              <w:rPr>
                <w:rFonts w:ascii="Arial" w:cs="Arial" w:eastAsia="Arial" w:hAnsi="Arial"/>
                <w:sz w:val="18"/>
                <w:szCs w:val="18"/>
                <w:color w:val="auto"/>
              </w:rPr>
              <w:t>Board of</w:t>
            </w:r>
          </w:p>
        </w:tc>
        <w:tc>
          <w:tcPr>
            <w:tcW w:w="2300" w:type="dxa"/>
            <w:vAlign w:val="bottom"/>
            <w:gridSpan w:val="2"/>
          </w:tcPr>
          <w:p>
            <w:pPr>
              <w:ind w:left="240"/>
              <w:spacing w:after="0"/>
              <w:rPr>
                <w:sz w:val="20"/>
                <w:szCs w:val="20"/>
                <w:color w:val="auto"/>
              </w:rPr>
            </w:pPr>
            <w:r>
              <w:rPr>
                <w:rFonts w:ascii="Arial" w:cs="Arial" w:eastAsia="Arial" w:hAnsi="Arial"/>
                <w:sz w:val="18"/>
                <w:szCs w:val="18"/>
                <w:color w:val="auto"/>
              </w:rPr>
              <w:t>Term Expires 2013</w:t>
            </w:r>
          </w:p>
        </w:tc>
        <w:tc>
          <w:tcPr>
            <w:tcW w:w="2280" w:type="dxa"/>
            <w:vAlign w:val="bottom"/>
            <w:gridSpan w:val="2"/>
          </w:tcPr>
          <w:p>
            <w:pPr>
              <w:ind w:left="220"/>
              <w:spacing w:after="0"/>
              <w:rPr>
                <w:sz w:val="20"/>
                <w:szCs w:val="20"/>
                <w:color w:val="auto"/>
              </w:rPr>
            </w:pPr>
            <w:r>
              <w:rPr>
                <w:rFonts w:ascii="Arial" w:cs="Arial" w:eastAsia="Arial" w:hAnsi="Arial"/>
                <w:sz w:val="18"/>
                <w:szCs w:val="18"/>
                <w:color w:val="auto"/>
                <w:w w:val="89"/>
              </w:rPr>
              <w:t>in 2007. Mr. Penn also is the</w:t>
            </w:r>
          </w:p>
        </w:tc>
        <w:tc>
          <w:tcPr>
            <w:tcW w:w="0" w:type="dxa"/>
            <w:vAlign w:val="bottom"/>
          </w:tcPr>
          <w:p>
            <w:pPr>
              <w:spacing w:after="0"/>
              <w:rPr>
                <w:sz w:val="1"/>
                <w:szCs w:val="1"/>
                <w:color w:val="auto"/>
              </w:rPr>
            </w:pPr>
          </w:p>
        </w:tc>
      </w:tr>
      <w:tr>
        <w:trPr>
          <w:trHeight w:val="216"/>
        </w:trPr>
        <w:tc>
          <w:tcPr>
            <w:tcW w:w="15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060" w:type="dxa"/>
            <w:vAlign w:val="bottom"/>
          </w:tcPr>
          <w:p>
            <w:pPr>
              <w:spacing w:after="0"/>
              <w:rPr>
                <w:sz w:val="20"/>
                <w:szCs w:val="20"/>
                <w:color w:val="auto"/>
              </w:rPr>
            </w:pPr>
            <w:r>
              <w:rPr>
                <w:rFonts w:ascii="Arial" w:cs="Arial" w:eastAsia="Arial" w:hAnsi="Arial"/>
                <w:sz w:val="18"/>
                <w:szCs w:val="18"/>
                <w:color w:val="auto"/>
              </w:rPr>
              <w:t>Directors</w:t>
            </w:r>
          </w:p>
        </w:tc>
        <w:tc>
          <w:tcPr>
            <w:tcW w:w="240" w:type="dxa"/>
            <w:vAlign w:val="bottom"/>
          </w:tcPr>
          <w:p>
            <w:pPr>
              <w:spacing w:after="0"/>
              <w:rPr>
                <w:sz w:val="18"/>
                <w:szCs w:val="18"/>
                <w:color w:val="auto"/>
              </w:rPr>
            </w:pPr>
          </w:p>
        </w:tc>
        <w:tc>
          <w:tcPr>
            <w:tcW w:w="2060" w:type="dxa"/>
            <w:vAlign w:val="bottom"/>
          </w:tcPr>
          <w:p>
            <w:pPr>
              <w:spacing w:after="0"/>
              <w:rPr>
                <w:sz w:val="18"/>
                <w:szCs w:val="18"/>
                <w:color w:val="auto"/>
              </w:rPr>
            </w:pPr>
          </w:p>
        </w:tc>
        <w:tc>
          <w:tcPr>
            <w:tcW w:w="2280" w:type="dxa"/>
            <w:vAlign w:val="bottom"/>
            <w:gridSpan w:val="2"/>
          </w:tcPr>
          <w:p>
            <w:pPr>
              <w:ind w:left="220"/>
              <w:spacing w:after="0"/>
              <w:rPr>
                <w:sz w:val="20"/>
                <w:szCs w:val="20"/>
                <w:color w:val="auto"/>
              </w:rPr>
            </w:pPr>
            <w:r>
              <w:rPr>
                <w:rFonts w:ascii="Arial" w:cs="Arial" w:eastAsia="Arial" w:hAnsi="Arial"/>
                <w:sz w:val="18"/>
                <w:szCs w:val="18"/>
                <w:color w:val="auto"/>
              </w:rPr>
              <w:t>founder and Managing</w:t>
            </w:r>
          </w:p>
        </w:tc>
        <w:tc>
          <w:tcPr>
            <w:tcW w:w="0" w:type="dxa"/>
            <w:vAlign w:val="bottom"/>
          </w:tcPr>
          <w:p>
            <w:pPr>
              <w:spacing w:after="0"/>
              <w:rPr>
                <w:sz w:val="1"/>
                <w:szCs w:val="1"/>
                <w:color w:val="auto"/>
              </w:rPr>
            </w:pPr>
          </w:p>
        </w:tc>
      </w:tr>
      <w:tr>
        <w:trPr>
          <w:trHeight w:val="216"/>
        </w:trPr>
        <w:tc>
          <w:tcPr>
            <w:tcW w:w="15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0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60" w:type="dxa"/>
            <w:vAlign w:val="bottom"/>
          </w:tcPr>
          <w:p>
            <w:pPr>
              <w:spacing w:after="0"/>
              <w:rPr>
                <w:sz w:val="18"/>
                <w:szCs w:val="18"/>
                <w:color w:val="auto"/>
              </w:rPr>
            </w:pPr>
          </w:p>
        </w:tc>
        <w:tc>
          <w:tcPr>
            <w:tcW w:w="2280" w:type="dxa"/>
            <w:vAlign w:val="bottom"/>
            <w:gridSpan w:val="2"/>
          </w:tcPr>
          <w:p>
            <w:pPr>
              <w:ind w:left="220"/>
              <w:spacing w:after="0"/>
              <w:rPr>
                <w:sz w:val="20"/>
                <w:szCs w:val="20"/>
                <w:color w:val="auto"/>
              </w:rPr>
            </w:pPr>
            <w:r>
              <w:rPr>
                <w:rFonts w:ascii="Arial" w:cs="Arial" w:eastAsia="Arial" w:hAnsi="Arial"/>
                <w:sz w:val="18"/>
                <w:szCs w:val="18"/>
                <w:color w:val="auto"/>
              </w:rPr>
              <w:t>Member of PennantPark</w:t>
            </w:r>
          </w:p>
        </w:tc>
        <w:tc>
          <w:tcPr>
            <w:tcW w:w="0" w:type="dxa"/>
            <w:vAlign w:val="bottom"/>
          </w:tcPr>
          <w:p>
            <w:pPr>
              <w:spacing w:after="0"/>
              <w:rPr>
                <w:sz w:val="1"/>
                <w:szCs w:val="1"/>
                <w:color w:val="auto"/>
              </w:rPr>
            </w:pPr>
          </w:p>
        </w:tc>
      </w:tr>
      <w:tr>
        <w:trPr>
          <w:trHeight w:val="216"/>
        </w:trPr>
        <w:tc>
          <w:tcPr>
            <w:tcW w:w="15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0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60" w:type="dxa"/>
            <w:vAlign w:val="bottom"/>
          </w:tcPr>
          <w:p>
            <w:pPr>
              <w:spacing w:after="0"/>
              <w:rPr>
                <w:sz w:val="18"/>
                <w:szCs w:val="18"/>
                <w:color w:val="auto"/>
              </w:rPr>
            </w:pPr>
          </w:p>
        </w:tc>
        <w:tc>
          <w:tcPr>
            <w:tcW w:w="2280" w:type="dxa"/>
            <w:vAlign w:val="bottom"/>
            <w:gridSpan w:val="2"/>
          </w:tcPr>
          <w:p>
            <w:pPr>
              <w:ind w:left="220"/>
              <w:spacing w:after="0"/>
              <w:rPr>
                <w:sz w:val="20"/>
                <w:szCs w:val="20"/>
                <w:color w:val="auto"/>
              </w:rPr>
            </w:pPr>
            <w:r>
              <w:rPr>
                <w:rFonts w:ascii="Arial" w:cs="Arial" w:eastAsia="Arial" w:hAnsi="Arial"/>
                <w:sz w:val="18"/>
                <w:szCs w:val="18"/>
                <w:color w:val="auto"/>
                <w:w w:val="97"/>
              </w:rPr>
              <w:t>Investment Advisers, LLC.</w:t>
            </w:r>
          </w:p>
        </w:tc>
        <w:tc>
          <w:tcPr>
            <w:tcW w:w="0" w:type="dxa"/>
            <w:vAlign w:val="bottom"/>
          </w:tcPr>
          <w:p>
            <w:pPr>
              <w:spacing w:after="0"/>
              <w:rPr>
                <w:sz w:val="1"/>
                <w:szCs w:val="1"/>
                <w:color w:val="auto"/>
              </w:rPr>
            </w:pPr>
          </w:p>
        </w:tc>
      </w:tr>
      <w:tr>
        <w:trPr>
          <w:trHeight w:val="216"/>
        </w:trPr>
        <w:tc>
          <w:tcPr>
            <w:tcW w:w="15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0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60" w:type="dxa"/>
            <w:vAlign w:val="bottom"/>
          </w:tcPr>
          <w:p>
            <w:pPr>
              <w:spacing w:after="0"/>
              <w:rPr>
                <w:sz w:val="18"/>
                <w:szCs w:val="18"/>
                <w:color w:val="auto"/>
              </w:rPr>
            </w:pPr>
          </w:p>
        </w:tc>
        <w:tc>
          <w:tcPr>
            <w:tcW w:w="2280" w:type="dxa"/>
            <w:vAlign w:val="bottom"/>
            <w:gridSpan w:val="2"/>
          </w:tcPr>
          <w:p>
            <w:pPr>
              <w:ind w:left="220"/>
              <w:spacing w:after="0"/>
              <w:rPr>
                <w:sz w:val="20"/>
                <w:szCs w:val="20"/>
                <w:color w:val="auto"/>
              </w:rPr>
            </w:pPr>
            <w:r>
              <w:rPr>
                <w:rFonts w:ascii="Arial" w:cs="Arial" w:eastAsia="Arial" w:hAnsi="Arial"/>
                <w:sz w:val="18"/>
                <w:szCs w:val="18"/>
                <w:color w:val="auto"/>
              </w:rPr>
              <w:t>Before founding the</w:t>
            </w:r>
          </w:p>
        </w:tc>
        <w:tc>
          <w:tcPr>
            <w:tcW w:w="0" w:type="dxa"/>
            <w:vAlign w:val="bottom"/>
          </w:tcPr>
          <w:p>
            <w:pPr>
              <w:spacing w:after="0"/>
              <w:rPr>
                <w:sz w:val="1"/>
                <w:szCs w:val="1"/>
                <w:color w:val="auto"/>
              </w:rPr>
            </w:pPr>
          </w:p>
        </w:tc>
      </w:tr>
      <w:tr>
        <w:trPr>
          <w:trHeight w:val="216"/>
        </w:trPr>
        <w:tc>
          <w:tcPr>
            <w:tcW w:w="15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0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60" w:type="dxa"/>
            <w:vAlign w:val="bottom"/>
          </w:tcPr>
          <w:p>
            <w:pPr>
              <w:spacing w:after="0"/>
              <w:rPr>
                <w:sz w:val="18"/>
                <w:szCs w:val="18"/>
                <w:color w:val="auto"/>
              </w:rPr>
            </w:pPr>
          </w:p>
        </w:tc>
        <w:tc>
          <w:tcPr>
            <w:tcW w:w="2280" w:type="dxa"/>
            <w:vAlign w:val="bottom"/>
            <w:gridSpan w:val="2"/>
          </w:tcPr>
          <w:p>
            <w:pPr>
              <w:ind w:left="220"/>
              <w:spacing w:after="0"/>
              <w:rPr>
                <w:sz w:val="20"/>
                <w:szCs w:val="20"/>
                <w:color w:val="auto"/>
              </w:rPr>
            </w:pPr>
            <w:r>
              <w:rPr>
                <w:rFonts w:ascii="Arial" w:cs="Arial" w:eastAsia="Arial" w:hAnsi="Arial"/>
                <w:sz w:val="18"/>
                <w:szCs w:val="18"/>
                <w:color w:val="auto"/>
                <w:w w:val="89"/>
              </w:rPr>
              <w:t>Company, Mr. Penn was the</w:t>
            </w:r>
          </w:p>
        </w:tc>
        <w:tc>
          <w:tcPr>
            <w:tcW w:w="0" w:type="dxa"/>
            <w:vAlign w:val="bottom"/>
          </w:tcPr>
          <w:p>
            <w:pPr>
              <w:spacing w:after="0"/>
              <w:rPr>
                <w:sz w:val="1"/>
                <w:szCs w:val="1"/>
                <w:color w:val="auto"/>
              </w:rPr>
            </w:pPr>
          </w:p>
        </w:tc>
      </w:tr>
      <w:tr>
        <w:trPr>
          <w:trHeight w:val="216"/>
        </w:trPr>
        <w:tc>
          <w:tcPr>
            <w:tcW w:w="15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0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60" w:type="dxa"/>
            <w:vAlign w:val="bottom"/>
          </w:tcPr>
          <w:p>
            <w:pPr>
              <w:spacing w:after="0"/>
              <w:rPr>
                <w:sz w:val="18"/>
                <w:szCs w:val="18"/>
                <w:color w:val="auto"/>
              </w:rPr>
            </w:pPr>
          </w:p>
        </w:tc>
        <w:tc>
          <w:tcPr>
            <w:tcW w:w="2280" w:type="dxa"/>
            <w:vAlign w:val="bottom"/>
            <w:gridSpan w:val="2"/>
          </w:tcPr>
          <w:p>
            <w:pPr>
              <w:ind w:left="220"/>
              <w:spacing w:after="0"/>
              <w:rPr>
                <w:sz w:val="20"/>
                <w:szCs w:val="20"/>
                <w:color w:val="auto"/>
              </w:rPr>
            </w:pPr>
            <w:r>
              <w:rPr>
                <w:rFonts w:ascii="Arial" w:cs="Arial" w:eastAsia="Arial" w:hAnsi="Arial"/>
                <w:sz w:val="18"/>
                <w:szCs w:val="18"/>
                <w:color w:val="auto"/>
              </w:rPr>
              <w:t>co-founder of Apollo</w:t>
            </w:r>
          </w:p>
        </w:tc>
        <w:tc>
          <w:tcPr>
            <w:tcW w:w="0" w:type="dxa"/>
            <w:vAlign w:val="bottom"/>
          </w:tcPr>
          <w:p>
            <w:pPr>
              <w:spacing w:after="0"/>
              <w:rPr>
                <w:sz w:val="1"/>
                <w:szCs w:val="1"/>
                <w:color w:val="auto"/>
              </w:rPr>
            </w:pPr>
          </w:p>
        </w:tc>
      </w:tr>
      <w:tr>
        <w:trPr>
          <w:trHeight w:val="216"/>
        </w:trPr>
        <w:tc>
          <w:tcPr>
            <w:tcW w:w="15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0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60" w:type="dxa"/>
            <w:vAlign w:val="bottom"/>
          </w:tcPr>
          <w:p>
            <w:pPr>
              <w:spacing w:after="0"/>
              <w:rPr>
                <w:sz w:val="18"/>
                <w:szCs w:val="18"/>
                <w:color w:val="auto"/>
              </w:rPr>
            </w:pPr>
          </w:p>
        </w:tc>
        <w:tc>
          <w:tcPr>
            <w:tcW w:w="2280" w:type="dxa"/>
            <w:vAlign w:val="bottom"/>
            <w:gridSpan w:val="2"/>
          </w:tcPr>
          <w:p>
            <w:pPr>
              <w:ind w:left="220"/>
              <w:spacing w:after="0"/>
              <w:rPr>
                <w:sz w:val="20"/>
                <w:szCs w:val="20"/>
                <w:color w:val="auto"/>
              </w:rPr>
            </w:pPr>
            <w:r>
              <w:rPr>
                <w:rFonts w:ascii="Arial" w:cs="Arial" w:eastAsia="Arial" w:hAnsi="Arial"/>
                <w:sz w:val="18"/>
                <w:szCs w:val="18"/>
                <w:color w:val="auto"/>
              </w:rPr>
              <w:t>Investment Management,</w:t>
            </w:r>
          </w:p>
        </w:tc>
        <w:tc>
          <w:tcPr>
            <w:tcW w:w="0" w:type="dxa"/>
            <w:vAlign w:val="bottom"/>
          </w:tcPr>
          <w:p>
            <w:pPr>
              <w:spacing w:after="0"/>
              <w:rPr>
                <w:sz w:val="1"/>
                <w:szCs w:val="1"/>
                <w:color w:val="auto"/>
              </w:rPr>
            </w:pPr>
          </w:p>
        </w:tc>
      </w:tr>
      <w:tr>
        <w:trPr>
          <w:trHeight w:val="216"/>
        </w:trPr>
        <w:tc>
          <w:tcPr>
            <w:tcW w:w="15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0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60" w:type="dxa"/>
            <w:vAlign w:val="bottom"/>
          </w:tcPr>
          <w:p>
            <w:pPr>
              <w:spacing w:after="0"/>
              <w:rPr>
                <w:sz w:val="18"/>
                <w:szCs w:val="18"/>
                <w:color w:val="auto"/>
              </w:rPr>
            </w:pPr>
          </w:p>
        </w:tc>
        <w:tc>
          <w:tcPr>
            <w:tcW w:w="2280" w:type="dxa"/>
            <w:vAlign w:val="bottom"/>
            <w:gridSpan w:val="2"/>
          </w:tcPr>
          <w:p>
            <w:pPr>
              <w:ind w:left="220"/>
              <w:spacing w:after="0"/>
              <w:rPr>
                <w:sz w:val="20"/>
                <w:szCs w:val="20"/>
                <w:color w:val="auto"/>
              </w:rPr>
            </w:pPr>
            <w:r>
              <w:rPr>
                <w:rFonts w:ascii="Arial" w:cs="Arial" w:eastAsia="Arial" w:hAnsi="Arial"/>
                <w:sz w:val="18"/>
                <w:szCs w:val="18"/>
                <w:color w:val="auto"/>
                <w:w w:val="97"/>
              </w:rPr>
              <w:t>where he was a Managing</w:t>
            </w:r>
          </w:p>
        </w:tc>
        <w:tc>
          <w:tcPr>
            <w:tcW w:w="0" w:type="dxa"/>
            <w:vAlign w:val="bottom"/>
          </w:tcPr>
          <w:p>
            <w:pPr>
              <w:spacing w:after="0"/>
              <w:rPr>
                <w:sz w:val="1"/>
                <w:szCs w:val="1"/>
                <w:color w:val="auto"/>
              </w:rPr>
            </w:pPr>
          </w:p>
        </w:tc>
      </w:tr>
      <w:tr>
        <w:trPr>
          <w:trHeight w:val="216"/>
        </w:trPr>
        <w:tc>
          <w:tcPr>
            <w:tcW w:w="15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0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60" w:type="dxa"/>
            <w:vAlign w:val="bottom"/>
          </w:tcPr>
          <w:p>
            <w:pPr>
              <w:spacing w:after="0"/>
              <w:rPr>
                <w:sz w:val="18"/>
                <w:szCs w:val="18"/>
                <w:color w:val="auto"/>
              </w:rPr>
            </w:pPr>
          </w:p>
        </w:tc>
        <w:tc>
          <w:tcPr>
            <w:tcW w:w="2280" w:type="dxa"/>
            <w:vAlign w:val="bottom"/>
            <w:gridSpan w:val="2"/>
          </w:tcPr>
          <w:p>
            <w:pPr>
              <w:ind w:left="220"/>
              <w:spacing w:after="0"/>
              <w:rPr>
                <w:sz w:val="20"/>
                <w:szCs w:val="20"/>
                <w:color w:val="auto"/>
              </w:rPr>
            </w:pPr>
            <w:r>
              <w:rPr>
                <w:rFonts w:ascii="Arial" w:cs="Arial" w:eastAsia="Arial" w:hAnsi="Arial"/>
                <w:sz w:val="18"/>
                <w:szCs w:val="18"/>
                <w:color w:val="auto"/>
                <w:w w:val="94"/>
              </w:rPr>
              <w:t>Partner from 2004 to 2007.</w:t>
            </w:r>
          </w:p>
        </w:tc>
        <w:tc>
          <w:tcPr>
            <w:tcW w:w="0" w:type="dxa"/>
            <w:vAlign w:val="bottom"/>
          </w:tcPr>
          <w:p>
            <w:pPr>
              <w:spacing w:after="0"/>
              <w:rPr>
                <w:sz w:val="1"/>
                <w:szCs w:val="1"/>
                <w:color w:val="auto"/>
              </w:rPr>
            </w:pPr>
          </w:p>
        </w:tc>
      </w:tr>
      <w:tr>
        <w:trPr>
          <w:trHeight w:val="216"/>
        </w:trPr>
        <w:tc>
          <w:tcPr>
            <w:tcW w:w="15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0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60" w:type="dxa"/>
            <w:vAlign w:val="bottom"/>
          </w:tcPr>
          <w:p>
            <w:pPr>
              <w:spacing w:after="0"/>
              <w:rPr>
                <w:sz w:val="18"/>
                <w:szCs w:val="18"/>
                <w:color w:val="auto"/>
              </w:rPr>
            </w:pPr>
          </w:p>
        </w:tc>
        <w:tc>
          <w:tcPr>
            <w:tcW w:w="2280" w:type="dxa"/>
            <w:vAlign w:val="bottom"/>
            <w:gridSpan w:val="2"/>
          </w:tcPr>
          <w:p>
            <w:pPr>
              <w:ind w:left="220"/>
              <w:spacing w:after="0"/>
              <w:rPr>
                <w:sz w:val="20"/>
                <w:szCs w:val="20"/>
                <w:color w:val="auto"/>
              </w:rPr>
            </w:pPr>
            <w:r>
              <w:rPr>
                <w:rFonts w:ascii="Arial" w:cs="Arial" w:eastAsia="Arial" w:hAnsi="Arial"/>
                <w:sz w:val="18"/>
                <w:szCs w:val="18"/>
                <w:color w:val="auto"/>
              </w:rPr>
              <w:t>He also served as Chief</w:t>
            </w:r>
          </w:p>
        </w:tc>
        <w:tc>
          <w:tcPr>
            <w:tcW w:w="0" w:type="dxa"/>
            <w:vAlign w:val="bottom"/>
          </w:tcPr>
          <w:p>
            <w:pPr>
              <w:spacing w:after="0"/>
              <w:rPr>
                <w:sz w:val="1"/>
                <w:szCs w:val="1"/>
                <w:color w:val="auto"/>
              </w:rPr>
            </w:pPr>
          </w:p>
        </w:tc>
      </w:tr>
      <w:tr>
        <w:trPr>
          <w:trHeight w:val="216"/>
        </w:trPr>
        <w:tc>
          <w:tcPr>
            <w:tcW w:w="15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0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60" w:type="dxa"/>
            <w:vAlign w:val="bottom"/>
          </w:tcPr>
          <w:p>
            <w:pPr>
              <w:spacing w:after="0"/>
              <w:rPr>
                <w:sz w:val="18"/>
                <w:szCs w:val="18"/>
                <w:color w:val="auto"/>
              </w:rPr>
            </w:pPr>
          </w:p>
        </w:tc>
        <w:tc>
          <w:tcPr>
            <w:tcW w:w="2280" w:type="dxa"/>
            <w:vAlign w:val="bottom"/>
            <w:gridSpan w:val="2"/>
          </w:tcPr>
          <w:p>
            <w:pPr>
              <w:ind w:left="220"/>
              <w:spacing w:after="0"/>
              <w:rPr>
                <w:sz w:val="20"/>
                <w:szCs w:val="20"/>
                <w:color w:val="auto"/>
              </w:rPr>
            </w:pPr>
            <w:r>
              <w:rPr>
                <w:rFonts w:ascii="Arial" w:cs="Arial" w:eastAsia="Arial" w:hAnsi="Arial"/>
                <w:sz w:val="18"/>
                <w:szCs w:val="18"/>
                <w:color w:val="auto"/>
                <w:w w:val="96"/>
              </w:rPr>
              <w:t>Operating Officer of Apollo</w:t>
            </w:r>
          </w:p>
        </w:tc>
        <w:tc>
          <w:tcPr>
            <w:tcW w:w="0" w:type="dxa"/>
            <w:vAlign w:val="bottom"/>
          </w:tcPr>
          <w:p>
            <w:pPr>
              <w:spacing w:after="0"/>
              <w:rPr>
                <w:sz w:val="1"/>
                <w:szCs w:val="1"/>
                <w:color w:val="auto"/>
              </w:rPr>
            </w:pPr>
          </w:p>
        </w:tc>
      </w:tr>
      <w:tr>
        <w:trPr>
          <w:trHeight w:val="216"/>
        </w:trPr>
        <w:tc>
          <w:tcPr>
            <w:tcW w:w="15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0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60" w:type="dxa"/>
            <w:vAlign w:val="bottom"/>
          </w:tcPr>
          <w:p>
            <w:pPr>
              <w:spacing w:after="0"/>
              <w:rPr>
                <w:sz w:val="18"/>
                <w:szCs w:val="18"/>
                <w:color w:val="auto"/>
              </w:rPr>
            </w:pPr>
          </w:p>
        </w:tc>
        <w:tc>
          <w:tcPr>
            <w:tcW w:w="2280" w:type="dxa"/>
            <w:vAlign w:val="bottom"/>
            <w:gridSpan w:val="2"/>
          </w:tcPr>
          <w:p>
            <w:pPr>
              <w:ind w:left="220"/>
              <w:spacing w:after="0"/>
              <w:rPr>
                <w:sz w:val="20"/>
                <w:szCs w:val="20"/>
                <w:color w:val="auto"/>
              </w:rPr>
            </w:pPr>
            <w:r>
              <w:rPr>
                <w:rFonts w:ascii="Arial" w:cs="Arial" w:eastAsia="Arial" w:hAnsi="Arial"/>
                <w:sz w:val="18"/>
                <w:szCs w:val="18"/>
                <w:color w:val="auto"/>
              </w:rPr>
              <w:t>Investment Corporation</w:t>
            </w:r>
          </w:p>
        </w:tc>
        <w:tc>
          <w:tcPr>
            <w:tcW w:w="0" w:type="dxa"/>
            <w:vAlign w:val="bottom"/>
          </w:tcPr>
          <w:p>
            <w:pPr>
              <w:spacing w:after="0"/>
              <w:rPr>
                <w:sz w:val="1"/>
                <w:szCs w:val="1"/>
                <w:color w:val="auto"/>
              </w:rPr>
            </w:pPr>
          </w:p>
        </w:tc>
      </w:tr>
      <w:tr>
        <w:trPr>
          <w:trHeight w:val="216"/>
        </w:trPr>
        <w:tc>
          <w:tcPr>
            <w:tcW w:w="15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0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60" w:type="dxa"/>
            <w:vAlign w:val="bottom"/>
          </w:tcPr>
          <w:p>
            <w:pPr>
              <w:spacing w:after="0"/>
              <w:rPr>
                <w:sz w:val="18"/>
                <w:szCs w:val="18"/>
                <w:color w:val="auto"/>
              </w:rPr>
            </w:pPr>
          </w:p>
        </w:tc>
        <w:tc>
          <w:tcPr>
            <w:tcW w:w="2280" w:type="dxa"/>
            <w:vAlign w:val="bottom"/>
            <w:gridSpan w:val="2"/>
          </w:tcPr>
          <w:p>
            <w:pPr>
              <w:ind w:left="220"/>
              <w:spacing w:after="0"/>
              <w:rPr>
                <w:sz w:val="20"/>
                <w:szCs w:val="20"/>
                <w:color w:val="auto"/>
              </w:rPr>
            </w:pPr>
            <w:r>
              <w:rPr>
                <w:rFonts w:ascii="Arial" w:cs="Arial" w:eastAsia="Arial" w:hAnsi="Arial"/>
                <w:sz w:val="18"/>
                <w:szCs w:val="18"/>
                <w:color w:val="auto"/>
              </w:rPr>
              <w:t>from inception in 2004 to</w:t>
            </w:r>
          </w:p>
        </w:tc>
        <w:tc>
          <w:tcPr>
            <w:tcW w:w="0" w:type="dxa"/>
            <w:vAlign w:val="bottom"/>
          </w:tcPr>
          <w:p>
            <w:pPr>
              <w:spacing w:after="0"/>
              <w:rPr>
                <w:sz w:val="1"/>
                <w:szCs w:val="1"/>
                <w:color w:val="auto"/>
              </w:rPr>
            </w:pPr>
          </w:p>
        </w:tc>
      </w:tr>
      <w:tr>
        <w:trPr>
          <w:trHeight w:val="216"/>
        </w:trPr>
        <w:tc>
          <w:tcPr>
            <w:tcW w:w="15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0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60" w:type="dxa"/>
            <w:vAlign w:val="bottom"/>
          </w:tcPr>
          <w:p>
            <w:pPr>
              <w:spacing w:after="0"/>
              <w:rPr>
                <w:sz w:val="18"/>
                <w:szCs w:val="18"/>
                <w:color w:val="auto"/>
              </w:rPr>
            </w:pPr>
          </w:p>
        </w:tc>
        <w:tc>
          <w:tcPr>
            <w:tcW w:w="2280" w:type="dxa"/>
            <w:vAlign w:val="bottom"/>
            <w:gridSpan w:val="2"/>
          </w:tcPr>
          <w:p>
            <w:pPr>
              <w:ind w:left="220"/>
              <w:spacing w:after="0"/>
              <w:rPr>
                <w:sz w:val="20"/>
                <w:szCs w:val="20"/>
                <w:color w:val="auto"/>
              </w:rPr>
            </w:pPr>
            <w:r>
              <w:rPr>
                <w:rFonts w:ascii="Arial" w:cs="Arial" w:eastAsia="Arial" w:hAnsi="Arial"/>
                <w:sz w:val="18"/>
                <w:szCs w:val="18"/>
                <w:color w:val="auto"/>
                <w:w w:val="85"/>
              </w:rPr>
              <w:t>2006 and served as President</w:t>
            </w:r>
          </w:p>
        </w:tc>
        <w:tc>
          <w:tcPr>
            <w:tcW w:w="0" w:type="dxa"/>
            <w:vAlign w:val="bottom"/>
          </w:tcPr>
          <w:p>
            <w:pPr>
              <w:spacing w:after="0"/>
              <w:rPr>
                <w:sz w:val="1"/>
                <w:szCs w:val="1"/>
                <w:color w:val="auto"/>
              </w:rPr>
            </w:pPr>
          </w:p>
        </w:tc>
      </w:tr>
      <w:tr>
        <w:trPr>
          <w:trHeight w:val="216"/>
        </w:trPr>
        <w:tc>
          <w:tcPr>
            <w:tcW w:w="15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0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60" w:type="dxa"/>
            <w:vAlign w:val="bottom"/>
          </w:tcPr>
          <w:p>
            <w:pPr>
              <w:spacing w:after="0"/>
              <w:rPr>
                <w:sz w:val="18"/>
                <w:szCs w:val="18"/>
                <w:color w:val="auto"/>
              </w:rPr>
            </w:pPr>
          </w:p>
        </w:tc>
        <w:tc>
          <w:tcPr>
            <w:tcW w:w="2280" w:type="dxa"/>
            <w:vAlign w:val="bottom"/>
            <w:gridSpan w:val="2"/>
          </w:tcPr>
          <w:p>
            <w:pPr>
              <w:ind w:left="220"/>
              <w:spacing w:after="0"/>
              <w:rPr>
                <w:sz w:val="20"/>
                <w:szCs w:val="20"/>
                <w:color w:val="auto"/>
              </w:rPr>
            </w:pPr>
            <w:r>
              <w:rPr>
                <w:rFonts w:ascii="Arial" w:cs="Arial" w:eastAsia="Arial" w:hAnsi="Arial"/>
                <w:sz w:val="18"/>
                <w:szCs w:val="18"/>
                <w:color w:val="auto"/>
                <w:w w:val="93"/>
              </w:rPr>
              <w:t>and Chief Operating Officer</w:t>
            </w:r>
          </w:p>
        </w:tc>
        <w:tc>
          <w:tcPr>
            <w:tcW w:w="0" w:type="dxa"/>
            <w:vAlign w:val="bottom"/>
          </w:tcPr>
          <w:p>
            <w:pPr>
              <w:spacing w:after="0"/>
              <w:rPr>
                <w:sz w:val="1"/>
                <w:szCs w:val="1"/>
                <w:color w:val="auto"/>
              </w:rPr>
            </w:pPr>
          </w:p>
        </w:tc>
      </w:tr>
      <w:tr>
        <w:trPr>
          <w:trHeight w:val="216"/>
        </w:trPr>
        <w:tc>
          <w:tcPr>
            <w:tcW w:w="15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0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60" w:type="dxa"/>
            <w:vAlign w:val="bottom"/>
          </w:tcPr>
          <w:p>
            <w:pPr>
              <w:spacing w:after="0"/>
              <w:rPr>
                <w:sz w:val="18"/>
                <w:szCs w:val="18"/>
                <w:color w:val="auto"/>
              </w:rPr>
            </w:pPr>
          </w:p>
        </w:tc>
        <w:tc>
          <w:tcPr>
            <w:tcW w:w="2280" w:type="dxa"/>
            <w:vAlign w:val="bottom"/>
            <w:gridSpan w:val="2"/>
          </w:tcPr>
          <w:p>
            <w:pPr>
              <w:ind w:left="220"/>
              <w:spacing w:after="0"/>
              <w:rPr>
                <w:sz w:val="20"/>
                <w:szCs w:val="20"/>
                <w:color w:val="auto"/>
              </w:rPr>
            </w:pPr>
            <w:r>
              <w:rPr>
                <w:rFonts w:ascii="Arial" w:cs="Arial" w:eastAsia="Arial" w:hAnsi="Arial"/>
                <w:sz w:val="18"/>
                <w:szCs w:val="18"/>
                <w:color w:val="auto"/>
                <w:w w:val="95"/>
              </w:rPr>
              <w:t>in 2006. He was formerly a</w:t>
            </w:r>
          </w:p>
        </w:tc>
        <w:tc>
          <w:tcPr>
            <w:tcW w:w="0" w:type="dxa"/>
            <w:vAlign w:val="bottom"/>
          </w:tcPr>
          <w:p>
            <w:pPr>
              <w:spacing w:after="0"/>
              <w:rPr>
                <w:sz w:val="1"/>
                <w:szCs w:val="1"/>
                <w:color w:val="auto"/>
              </w:rPr>
            </w:pPr>
          </w:p>
        </w:tc>
      </w:tr>
      <w:tr>
        <w:trPr>
          <w:trHeight w:val="216"/>
        </w:trPr>
        <w:tc>
          <w:tcPr>
            <w:tcW w:w="15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0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60" w:type="dxa"/>
            <w:vAlign w:val="bottom"/>
          </w:tcPr>
          <w:p>
            <w:pPr>
              <w:spacing w:after="0"/>
              <w:rPr>
                <w:sz w:val="18"/>
                <w:szCs w:val="18"/>
                <w:color w:val="auto"/>
              </w:rPr>
            </w:pPr>
          </w:p>
        </w:tc>
        <w:tc>
          <w:tcPr>
            <w:tcW w:w="2280" w:type="dxa"/>
            <w:vAlign w:val="bottom"/>
            <w:gridSpan w:val="2"/>
          </w:tcPr>
          <w:p>
            <w:pPr>
              <w:ind w:left="220"/>
              <w:spacing w:after="0"/>
              <w:rPr>
                <w:sz w:val="20"/>
                <w:szCs w:val="20"/>
                <w:color w:val="auto"/>
              </w:rPr>
            </w:pPr>
            <w:r>
              <w:rPr>
                <w:rFonts w:ascii="Arial" w:cs="Arial" w:eastAsia="Arial" w:hAnsi="Arial"/>
                <w:sz w:val="18"/>
                <w:szCs w:val="18"/>
                <w:color w:val="auto"/>
                <w:w w:val="93"/>
              </w:rPr>
              <w:t>Managing Partner of Apollo</w:t>
            </w:r>
          </w:p>
        </w:tc>
        <w:tc>
          <w:tcPr>
            <w:tcW w:w="0" w:type="dxa"/>
            <w:vAlign w:val="bottom"/>
          </w:tcPr>
          <w:p>
            <w:pPr>
              <w:spacing w:after="0"/>
              <w:rPr>
                <w:sz w:val="1"/>
                <w:szCs w:val="1"/>
                <w:color w:val="auto"/>
              </w:rPr>
            </w:pPr>
          </w:p>
        </w:tc>
      </w:tr>
      <w:tr>
        <w:trPr>
          <w:trHeight w:val="216"/>
        </w:trPr>
        <w:tc>
          <w:tcPr>
            <w:tcW w:w="15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0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60" w:type="dxa"/>
            <w:vAlign w:val="bottom"/>
          </w:tcPr>
          <w:p>
            <w:pPr>
              <w:spacing w:after="0"/>
              <w:rPr>
                <w:sz w:val="18"/>
                <w:szCs w:val="18"/>
                <w:color w:val="auto"/>
              </w:rPr>
            </w:pPr>
          </w:p>
        </w:tc>
        <w:tc>
          <w:tcPr>
            <w:tcW w:w="2280" w:type="dxa"/>
            <w:vAlign w:val="bottom"/>
            <w:gridSpan w:val="2"/>
          </w:tcPr>
          <w:p>
            <w:pPr>
              <w:ind w:left="220"/>
              <w:spacing w:after="0"/>
              <w:rPr>
                <w:sz w:val="20"/>
                <w:szCs w:val="20"/>
                <w:color w:val="auto"/>
              </w:rPr>
            </w:pPr>
            <w:r>
              <w:rPr>
                <w:rFonts w:ascii="Arial" w:cs="Arial" w:eastAsia="Arial" w:hAnsi="Arial"/>
                <w:sz w:val="18"/>
                <w:szCs w:val="18"/>
                <w:color w:val="auto"/>
                <w:w w:val="99"/>
              </w:rPr>
              <w:t>Value Fund L.P. (formerly</w:t>
            </w:r>
          </w:p>
        </w:tc>
        <w:tc>
          <w:tcPr>
            <w:tcW w:w="0" w:type="dxa"/>
            <w:vAlign w:val="bottom"/>
          </w:tcPr>
          <w:p>
            <w:pPr>
              <w:spacing w:after="0"/>
              <w:rPr>
                <w:sz w:val="1"/>
                <w:szCs w:val="1"/>
                <w:color w:val="auto"/>
              </w:rPr>
            </w:pPr>
          </w:p>
        </w:tc>
      </w:tr>
      <w:tr>
        <w:trPr>
          <w:trHeight w:val="216"/>
        </w:trPr>
        <w:tc>
          <w:tcPr>
            <w:tcW w:w="15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0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60" w:type="dxa"/>
            <w:vAlign w:val="bottom"/>
          </w:tcPr>
          <w:p>
            <w:pPr>
              <w:spacing w:after="0"/>
              <w:rPr>
                <w:sz w:val="18"/>
                <w:szCs w:val="18"/>
                <w:color w:val="auto"/>
              </w:rPr>
            </w:pPr>
          </w:p>
        </w:tc>
        <w:tc>
          <w:tcPr>
            <w:tcW w:w="2280" w:type="dxa"/>
            <w:vAlign w:val="bottom"/>
            <w:gridSpan w:val="2"/>
          </w:tcPr>
          <w:p>
            <w:pPr>
              <w:ind w:left="220"/>
              <w:spacing w:after="0"/>
              <w:rPr>
                <w:sz w:val="20"/>
                <w:szCs w:val="20"/>
                <w:color w:val="auto"/>
              </w:rPr>
            </w:pPr>
            <w:r>
              <w:rPr>
                <w:rFonts w:ascii="Arial" w:cs="Arial" w:eastAsia="Arial" w:hAnsi="Arial"/>
                <w:sz w:val="18"/>
                <w:szCs w:val="18"/>
                <w:color w:val="auto"/>
              </w:rPr>
              <w:t>Apollo Distressed</w:t>
            </w:r>
          </w:p>
        </w:tc>
        <w:tc>
          <w:tcPr>
            <w:tcW w:w="0" w:type="dxa"/>
            <w:vAlign w:val="bottom"/>
          </w:tcPr>
          <w:p>
            <w:pPr>
              <w:spacing w:after="0"/>
              <w:rPr>
                <w:sz w:val="1"/>
                <w:szCs w:val="1"/>
                <w:color w:val="auto"/>
              </w:rPr>
            </w:pPr>
          </w:p>
        </w:tc>
      </w:tr>
      <w:tr>
        <w:trPr>
          <w:trHeight w:val="216"/>
        </w:trPr>
        <w:tc>
          <w:tcPr>
            <w:tcW w:w="15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0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60" w:type="dxa"/>
            <w:vAlign w:val="bottom"/>
          </w:tcPr>
          <w:p>
            <w:pPr>
              <w:spacing w:after="0"/>
              <w:rPr>
                <w:sz w:val="18"/>
                <w:szCs w:val="18"/>
                <w:color w:val="auto"/>
              </w:rPr>
            </w:pPr>
          </w:p>
        </w:tc>
        <w:tc>
          <w:tcPr>
            <w:tcW w:w="2280" w:type="dxa"/>
            <w:vAlign w:val="bottom"/>
            <w:gridSpan w:val="2"/>
          </w:tcPr>
          <w:p>
            <w:pPr>
              <w:ind w:left="220"/>
              <w:spacing w:after="0"/>
              <w:rPr>
                <w:sz w:val="20"/>
                <w:szCs w:val="20"/>
                <w:color w:val="auto"/>
              </w:rPr>
            </w:pPr>
            <w:r>
              <w:rPr>
                <w:rFonts w:ascii="Arial" w:cs="Arial" w:eastAsia="Arial" w:hAnsi="Arial"/>
                <w:sz w:val="18"/>
                <w:szCs w:val="18"/>
                <w:color w:val="auto"/>
                <w:w w:val="91"/>
              </w:rPr>
              <w:t>Investment Fund, L.P.) from</w:t>
            </w:r>
          </w:p>
        </w:tc>
        <w:tc>
          <w:tcPr>
            <w:tcW w:w="0" w:type="dxa"/>
            <w:vAlign w:val="bottom"/>
          </w:tcPr>
          <w:p>
            <w:pPr>
              <w:spacing w:after="0"/>
              <w:rPr>
                <w:sz w:val="1"/>
                <w:szCs w:val="1"/>
                <w:color w:val="auto"/>
              </w:rPr>
            </w:pPr>
          </w:p>
        </w:tc>
      </w:tr>
      <w:tr>
        <w:trPr>
          <w:trHeight w:val="222"/>
        </w:trPr>
        <w:tc>
          <w:tcPr>
            <w:tcW w:w="158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20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060" w:type="dxa"/>
            <w:vAlign w:val="bottom"/>
          </w:tcPr>
          <w:p>
            <w:pPr>
              <w:spacing w:after="0"/>
              <w:rPr>
                <w:sz w:val="19"/>
                <w:szCs w:val="19"/>
                <w:color w:val="auto"/>
              </w:rPr>
            </w:pPr>
          </w:p>
        </w:tc>
        <w:tc>
          <w:tcPr>
            <w:tcW w:w="2280" w:type="dxa"/>
            <w:vAlign w:val="bottom"/>
            <w:gridSpan w:val="2"/>
          </w:tcPr>
          <w:p>
            <w:pPr>
              <w:ind w:left="220"/>
              <w:spacing w:after="0"/>
              <w:rPr>
                <w:sz w:val="20"/>
                <w:szCs w:val="20"/>
                <w:color w:val="auto"/>
              </w:rPr>
            </w:pPr>
            <w:r>
              <w:rPr>
                <w:rFonts w:ascii="Arial" w:cs="Arial" w:eastAsia="Arial" w:hAnsi="Arial"/>
                <w:sz w:val="18"/>
                <w:szCs w:val="18"/>
                <w:color w:val="auto"/>
              </w:rPr>
              <w:t>2003 to 2006.</w:t>
            </w:r>
          </w:p>
        </w:tc>
        <w:tc>
          <w:tcPr>
            <w:tcW w:w="0" w:type="dxa"/>
            <w:vAlign w:val="bottom"/>
          </w:tcPr>
          <w:p>
            <w:pPr>
              <w:spacing w:after="0"/>
              <w:rPr>
                <w:sz w:val="1"/>
                <w:szCs w:val="1"/>
                <w:color w:val="auto"/>
              </w:rPr>
            </w:pPr>
          </w:p>
        </w:tc>
      </w:tr>
      <w:tr>
        <w:trPr>
          <w:trHeight w:val="365"/>
        </w:trPr>
        <w:tc>
          <w:tcPr>
            <w:tcW w:w="15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2060" w:type="dxa"/>
            <w:vAlign w:val="bottom"/>
          </w:tcPr>
          <w:p>
            <w:pPr>
              <w:spacing w:after="0"/>
              <w:rPr>
                <w:sz w:val="24"/>
                <w:szCs w:val="24"/>
                <w:color w:val="auto"/>
              </w:rPr>
            </w:pPr>
          </w:p>
        </w:tc>
        <w:tc>
          <w:tcPr>
            <w:tcW w:w="2300" w:type="dxa"/>
            <w:vAlign w:val="bottom"/>
            <w:gridSpan w:val="2"/>
          </w:tcPr>
          <w:p>
            <w:pPr>
              <w:ind w:left="980"/>
              <w:spacing w:after="0"/>
              <w:rPr>
                <w:sz w:val="20"/>
                <w:szCs w:val="20"/>
                <w:color w:val="auto"/>
              </w:rPr>
            </w:pPr>
            <w:r>
              <w:rPr>
                <w:rFonts w:ascii="Arial" w:cs="Arial" w:eastAsia="Arial" w:hAnsi="Arial"/>
                <w:sz w:val="18"/>
                <w:szCs w:val="18"/>
                <w:color w:val="auto"/>
              </w:rPr>
              <w:t>7</w:t>
            </w:r>
          </w:p>
        </w:tc>
        <w:tc>
          <w:tcPr>
            <w:tcW w:w="220" w:type="dxa"/>
            <w:vAlign w:val="bottom"/>
          </w:tcPr>
          <w:p>
            <w:pPr>
              <w:spacing w:after="0"/>
              <w:rPr>
                <w:sz w:val="24"/>
                <w:szCs w:val="24"/>
                <w:color w:val="auto"/>
              </w:rPr>
            </w:pPr>
          </w:p>
        </w:tc>
        <w:tc>
          <w:tcPr>
            <w:tcW w:w="20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br w:type="column"/>
      </w:r>
    </w:p>
    <w:p>
      <w:pPr>
        <w:spacing w:after="0" w:line="394"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Other</w:t>
      </w:r>
    </w:p>
    <w:p>
      <w:pPr>
        <w:jc w:val="center"/>
        <w:spacing w:after="0" w:line="223" w:lineRule="auto"/>
        <w:rPr>
          <w:sz w:val="20"/>
          <w:szCs w:val="20"/>
          <w:color w:val="auto"/>
        </w:rPr>
      </w:pPr>
      <w:r>
        <w:rPr>
          <w:rFonts w:ascii="Arial" w:cs="Arial" w:eastAsia="Arial" w:hAnsi="Arial"/>
          <w:sz w:val="14"/>
          <w:szCs w:val="14"/>
          <w:b w:val="1"/>
          <w:bCs w:val="1"/>
          <w:color w:val="auto"/>
        </w:rPr>
        <w:t>Directorships</w:t>
      </w:r>
    </w:p>
    <w:p>
      <w:pPr>
        <w:spacing w:after="0" w:line="1" w:lineRule="exact"/>
        <w:rPr>
          <w:sz w:val="20"/>
          <w:szCs w:val="20"/>
          <w:color w:val="auto"/>
        </w:rPr>
      </w:pPr>
    </w:p>
    <w:p>
      <w:pPr>
        <w:jc w:val="center"/>
        <w:spacing w:after="0" w:line="283" w:lineRule="auto"/>
        <w:rPr>
          <w:sz w:val="20"/>
          <w:szCs w:val="20"/>
          <w:color w:val="auto"/>
        </w:rPr>
      </w:pPr>
      <w:r>
        <w:rPr>
          <w:rFonts w:ascii="Arial" w:cs="Arial" w:eastAsia="Arial" w:hAnsi="Arial"/>
          <w:sz w:val="12"/>
          <w:szCs w:val="12"/>
          <w:b w:val="1"/>
          <w:bCs w:val="1"/>
          <w:color w:val="auto"/>
        </w:rPr>
        <w:t>Held by Director or Nominee for Director</w:t>
      </w:r>
      <w:r>
        <w:rPr>
          <w:rFonts w:ascii="Arial" w:cs="Arial" w:eastAsia="Arial" w:hAnsi="Arial"/>
          <w:sz w:val="19"/>
          <w:szCs w:val="19"/>
          <w:b w:val="1"/>
          <w:bCs w:val="1"/>
          <w:color w:val="auto"/>
          <w:vertAlign w:val="superscript"/>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-298450</wp:posOffset>
            </wp:positionH>
            <wp:positionV relativeFrom="paragraph">
              <wp:posOffset>-78740</wp:posOffset>
            </wp:positionV>
            <wp:extent cx="1226185" cy="88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1226185" cy="8890"/>
                    </a:xfrm>
                    <a:prstGeom prst="rect">
                      <a:avLst/>
                    </a:prstGeom>
                    <a:noFill/>
                  </pic:spPr>
                </pic:pic>
              </a:graphicData>
            </a:graphic>
          </wp:anchor>
        </w:drawing>
      </w:r>
    </w:p>
    <w:p>
      <w:pPr>
        <w:sectPr>
          <w:pgSz w:w="11900" w:h="16838" w:orient="portrait"/>
          <w:cols w:equalWidth="0" w:num="2">
            <w:col w:w="9280" w:space="680"/>
            <w:col w:w="980"/>
          </w:cols>
          <w:pgMar w:left="240" w:top="280" w:right="719" w:bottom="1440" w:gutter="0" w:footer="0" w:header="0"/>
        </w:sectPr>
      </w:pPr>
    </w:p>
    <w:bookmarkStart w:id="10" w:name="page11"/>
    <w:bookmarkEnd w:id="10"/>
    <w:p>
      <w:pPr>
        <w:spacing w:after="0"/>
        <w:rPr>
          <w:sz w:val="20"/>
          <w:szCs w:val="20"/>
          <w:color w:val="auto"/>
        </w:rPr>
      </w:pPr>
      <w:r>
        <w:rPr>
          <w:rFonts w:ascii="Arial" w:cs="Arial" w:eastAsia="Arial" w:hAnsi="Arial"/>
          <w:sz w:val="18"/>
          <w:szCs w:val="18"/>
          <w:b w:val="1"/>
          <w:bCs w:val="1"/>
          <w:i w:val="1"/>
          <w:i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 xml:space="preserve">Class I Directors </w:t>
      </w:r>
      <w:r>
        <w:rPr>
          <w:rFonts w:ascii="Arial" w:cs="Arial" w:eastAsia="Arial" w:hAnsi="Arial"/>
          <w:sz w:val="18"/>
          <w:szCs w:val="18"/>
          <w:i w:val="1"/>
          <w:iCs w:val="1"/>
          <w:color w:val="auto"/>
        </w:rPr>
        <w:t>(continuing directors not up for election at the Meeting)</w:t>
      </w:r>
    </w:p>
    <w:p>
      <w:pPr>
        <w:spacing w:after="0" w:line="34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58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20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0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060" w:type="dxa"/>
            <w:vAlign w:val="bottom"/>
          </w:tcPr>
          <w:p>
            <w:pPr>
              <w:jc w:val="center"/>
              <w:spacing w:after="0"/>
              <w:rPr>
                <w:sz w:val="20"/>
                <w:szCs w:val="20"/>
                <w:color w:val="auto"/>
              </w:rPr>
            </w:pPr>
            <w:r>
              <w:rPr>
                <w:rFonts w:ascii="Arial" w:cs="Arial" w:eastAsia="Arial" w:hAnsi="Arial"/>
                <w:sz w:val="14"/>
                <w:szCs w:val="14"/>
                <w:b w:val="1"/>
                <w:bCs w:val="1"/>
                <w:color w:val="auto"/>
                <w:w w:val="91"/>
              </w:rPr>
              <w:t>Principal</w:t>
            </w:r>
          </w:p>
        </w:tc>
        <w:tc>
          <w:tcPr>
            <w:tcW w:w="0" w:type="dxa"/>
            <w:vAlign w:val="bottom"/>
          </w:tcPr>
          <w:p>
            <w:pPr>
              <w:spacing w:after="0"/>
              <w:rPr>
                <w:sz w:val="1"/>
                <w:szCs w:val="1"/>
                <w:color w:val="auto"/>
              </w:rPr>
            </w:pPr>
          </w:p>
        </w:tc>
      </w:tr>
      <w:tr>
        <w:trPr>
          <w:trHeight w:val="149"/>
        </w:trPr>
        <w:tc>
          <w:tcPr>
            <w:tcW w:w="158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20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0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0"/>
              </w:rPr>
              <w:t>Term of Office</w:t>
            </w:r>
          </w:p>
        </w:tc>
        <w:tc>
          <w:tcPr>
            <w:tcW w:w="220" w:type="dxa"/>
            <w:vAlign w:val="bottom"/>
          </w:tcPr>
          <w:p>
            <w:pPr>
              <w:spacing w:after="0"/>
              <w:rPr>
                <w:sz w:val="12"/>
                <w:szCs w:val="12"/>
                <w:color w:val="auto"/>
              </w:rPr>
            </w:pPr>
          </w:p>
        </w:tc>
        <w:tc>
          <w:tcPr>
            <w:tcW w:w="20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7"/>
              </w:rPr>
              <w:t>Occupation(s)</w:t>
            </w:r>
          </w:p>
        </w:tc>
        <w:tc>
          <w:tcPr>
            <w:tcW w:w="0" w:type="dxa"/>
            <w:vAlign w:val="bottom"/>
          </w:tcPr>
          <w:p>
            <w:pPr>
              <w:spacing w:after="0"/>
              <w:rPr>
                <w:sz w:val="1"/>
                <w:szCs w:val="1"/>
                <w:color w:val="auto"/>
              </w:rPr>
            </w:pPr>
          </w:p>
        </w:tc>
      </w:tr>
      <w:tr>
        <w:trPr>
          <w:trHeight w:val="149"/>
        </w:trPr>
        <w:tc>
          <w:tcPr>
            <w:tcW w:w="264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Name, Address and Age</w:t>
            </w:r>
            <w:r>
              <w:rPr>
                <w:rFonts w:ascii="Arial" w:cs="Arial" w:eastAsia="Arial" w:hAnsi="Arial"/>
                <w:sz w:val="22"/>
                <w:szCs w:val="22"/>
                <w:b w:val="1"/>
                <w:bCs w:val="1"/>
                <w:color w:val="auto"/>
                <w:vertAlign w:val="superscript"/>
              </w:rPr>
              <w:t>(1)</w:t>
            </w:r>
          </w:p>
        </w:tc>
        <w:tc>
          <w:tcPr>
            <w:tcW w:w="2060" w:type="dxa"/>
            <w:vAlign w:val="bottom"/>
          </w:tcPr>
          <w:p>
            <w:pPr>
              <w:ind w:left="600"/>
              <w:spacing w:after="0" w:line="149" w:lineRule="exact"/>
              <w:rPr>
                <w:sz w:val="20"/>
                <w:szCs w:val="20"/>
                <w:color w:val="auto"/>
              </w:rPr>
            </w:pPr>
            <w:r>
              <w:rPr>
                <w:rFonts w:ascii="Arial" w:cs="Arial" w:eastAsia="Arial" w:hAnsi="Arial"/>
                <w:sz w:val="14"/>
                <w:szCs w:val="14"/>
                <w:b w:val="1"/>
                <w:bCs w:val="1"/>
                <w:color w:val="auto"/>
              </w:rPr>
              <w:t>Position(s) held</w:t>
            </w:r>
          </w:p>
        </w:tc>
        <w:tc>
          <w:tcPr>
            <w:tcW w:w="240" w:type="dxa"/>
            <w:vAlign w:val="bottom"/>
          </w:tcPr>
          <w:p>
            <w:pPr>
              <w:spacing w:after="0"/>
              <w:rPr>
                <w:sz w:val="12"/>
                <w:szCs w:val="12"/>
                <w:color w:val="auto"/>
              </w:rPr>
            </w:pPr>
          </w:p>
        </w:tc>
        <w:tc>
          <w:tcPr>
            <w:tcW w:w="20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8"/>
              </w:rPr>
              <w:t>and Length of</w:t>
            </w:r>
          </w:p>
        </w:tc>
        <w:tc>
          <w:tcPr>
            <w:tcW w:w="220" w:type="dxa"/>
            <w:vAlign w:val="bottom"/>
          </w:tcPr>
          <w:p>
            <w:pPr>
              <w:spacing w:after="0"/>
              <w:rPr>
                <w:sz w:val="12"/>
                <w:szCs w:val="12"/>
                <w:color w:val="auto"/>
              </w:rPr>
            </w:pPr>
          </w:p>
        </w:tc>
        <w:tc>
          <w:tcPr>
            <w:tcW w:w="20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8"/>
              </w:rPr>
              <w:t>During the Past 5</w:t>
            </w:r>
          </w:p>
        </w:tc>
        <w:tc>
          <w:tcPr>
            <w:tcW w:w="0" w:type="dxa"/>
            <w:vAlign w:val="bottom"/>
          </w:tcPr>
          <w:p>
            <w:pPr>
              <w:spacing w:after="0"/>
              <w:rPr>
                <w:sz w:val="1"/>
                <w:szCs w:val="1"/>
                <w:color w:val="auto"/>
              </w:rPr>
            </w:pPr>
          </w:p>
        </w:tc>
      </w:tr>
      <w:tr>
        <w:trPr>
          <w:trHeight w:val="175"/>
        </w:trPr>
        <w:tc>
          <w:tcPr>
            <w:tcW w:w="2640" w:type="dxa"/>
            <w:vAlign w:val="bottom"/>
            <w:gridSpan w:val="2"/>
            <w:vMerge w:val="continue"/>
          </w:tcPr>
          <w:p>
            <w:pPr>
              <w:spacing w:after="0"/>
              <w:rPr>
                <w:sz w:val="15"/>
                <w:szCs w:val="15"/>
                <w:color w:val="auto"/>
              </w:rPr>
            </w:pPr>
          </w:p>
        </w:tc>
        <w:tc>
          <w:tcPr>
            <w:tcW w:w="2060" w:type="dxa"/>
            <w:vAlign w:val="bottom"/>
          </w:tcPr>
          <w:p>
            <w:pPr>
              <w:ind w:left="600"/>
              <w:spacing w:after="0"/>
              <w:rPr>
                <w:sz w:val="20"/>
                <w:szCs w:val="20"/>
                <w:color w:val="auto"/>
              </w:rPr>
            </w:pPr>
            <w:r>
              <w:rPr>
                <w:rFonts w:ascii="Arial" w:cs="Arial" w:eastAsia="Arial" w:hAnsi="Arial"/>
                <w:sz w:val="14"/>
                <w:szCs w:val="14"/>
                <w:b w:val="1"/>
                <w:bCs w:val="1"/>
                <w:color w:val="auto"/>
              </w:rPr>
              <w:t>with Company</w:t>
            </w:r>
          </w:p>
        </w:tc>
        <w:tc>
          <w:tcPr>
            <w:tcW w:w="240" w:type="dxa"/>
            <w:vAlign w:val="bottom"/>
          </w:tcPr>
          <w:p>
            <w:pPr>
              <w:spacing w:after="0"/>
              <w:rPr>
                <w:sz w:val="15"/>
                <w:szCs w:val="15"/>
                <w:color w:val="auto"/>
              </w:rPr>
            </w:pPr>
          </w:p>
        </w:tc>
        <w:tc>
          <w:tcPr>
            <w:tcW w:w="2060" w:type="dxa"/>
            <w:vAlign w:val="bottom"/>
          </w:tcPr>
          <w:p>
            <w:pPr>
              <w:jc w:val="center"/>
              <w:spacing w:after="0"/>
              <w:rPr>
                <w:sz w:val="20"/>
                <w:szCs w:val="20"/>
                <w:color w:val="auto"/>
              </w:rPr>
            </w:pPr>
            <w:r>
              <w:rPr>
                <w:rFonts w:ascii="Arial" w:cs="Arial" w:eastAsia="Arial" w:hAnsi="Arial"/>
                <w:sz w:val="14"/>
                <w:szCs w:val="14"/>
                <w:b w:val="1"/>
                <w:bCs w:val="1"/>
                <w:color w:val="auto"/>
                <w:w w:val="88"/>
              </w:rPr>
              <w:t>Time Served</w:t>
            </w:r>
          </w:p>
        </w:tc>
        <w:tc>
          <w:tcPr>
            <w:tcW w:w="220" w:type="dxa"/>
            <w:vAlign w:val="bottom"/>
          </w:tcPr>
          <w:p>
            <w:pPr>
              <w:spacing w:after="0"/>
              <w:rPr>
                <w:sz w:val="15"/>
                <w:szCs w:val="15"/>
                <w:color w:val="auto"/>
              </w:rPr>
            </w:pPr>
          </w:p>
        </w:tc>
        <w:tc>
          <w:tcPr>
            <w:tcW w:w="2060" w:type="dxa"/>
            <w:vAlign w:val="bottom"/>
          </w:tcPr>
          <w:p>
            <w:pPr>
              <w:jc w:val="center"/>
              <w:spacing w:after="0"/>
              <w:rPr>
                <w:sz w:val="20"/>
                <w:szCs w:val="20"/>
                <w:color w:val="auto"/>
              </w:rPr>
            </w:pPr>
            <w:r>
              <w:rPr>
                <w:rFonts w:ascii="Arial" w:cs="Arial" w:eastAsia="Arial" w:hAnsi="Arial"/>
                <w:sz w:val="14"/>
                <w:szCs w:val="14"/>
                <w:b w:val="1"/>
                <w:bCs w:val="1"/>
                <w:color w:val="auto"/>
                <w:w w:val="83"/>
              </w:rPr>
              <w:t>Years</w:t>
            </w:r>
          </w:p>
        </w:tc>
        <w:tc>
          <w:tcPr>
            <w:tcW w:w="0" w:type="dxa"/>
            <w:vAlign w:val="bottom"/>
          </w:tcPr>
          <w:p>
            <w:pPr>
              <w:spacing w:after="0"/>
              <w:rPr>
                <w:sz w:val="1"/>
                <w:szCs w:val="1"/>
                <w:color w:val="auto"/>
              </w:rPr>
            </w:pPr>
          </w:p>
        </w:tc>
      </w:tr>
      <w:tr>
        <w:trPr>
          <w:trHeight w:val="222"/>
        </w:trPr>
        <w:tc>
          <w:tcPr>
            <w:tcW w:w="1580" w:type="dxa"/>
            <w:vAlign w:val="bottom"/>
            <w:tcBorders>
              <w:top w:val="single" w:sz="8" w:color="auto"/>
            </w:tcBorders>
          </w:tcPr>
          <w:p>
            <w:pPr>
              <w:spacing w:after="0"/>
              <w:rPr>
                <w:sz w:val="20"/>
                <w:szCs w:val="20"/>
                <w:color w:val="auto"/>
              </w:rPr>
            </w:pPr>
            <w:r>
              <w:rPr>
                <w:rFonts w:ascii="Arial" w:cs="Arial" w:eastAsia="Arial" w:hAnsi="Arial"/>
                <w:sz w:val="18"/>
                <w:szCs w:val="18"/>
                <w:b w:val="1"/>
                <w:bCs w:val="1"/>
                <w:color w:val="auto"/>
                <w:w w:val="81"/>
              </w:rPr>
              <w:t>Independent Directors</w:t>
            </w:r>
          </w:p>
        </w:tc>
        <w:tc>
          <w:tcPr>
            <w:tcW w:w="1060" w:type="dxa"/>
            <w:vAlign w:val="bottom"/>
          </w:tcPr>
          <w:p>
            <w:pPr>
              <w:spacing w:after="0"/>
              <w:rPr>
                <w:sz w:val="19"/>
                <w:szCs w:val="19"/>
                <w:color w:val="auto"/>
              </w:rPr>
            </w:pPr>
          </w:p>
        </w:tc>
        <w:tc>
          <w:tcPr>
            <w:tcW w:w="2060" w:type="dxa"/>
            <w:vAlign w:val="bottom"/>
            <w:tcBorders>
              <w:top w:val="single" w:sz="8" w:color="auto"/>
            </w:tcBorders>
          </w:tcPr>
          <w:p>
            <w:pPr>
              <w:spacing w:after="0"/>
              <w:rPr>
                <w:sz w:val="19"/>
                <w:szCs w:val="19"/>
                <w:color w:val="auto"/>
              </w:rPr>
            </w:pPr>
          </w:p>
        </w:tc>
        <w:tc>
          <w:tcPr>
            <w:tcW w:w="240" w:type="dxa"/>
            <w:vAlign w:val="bottom"/>
          </w:tcPr>
          <w:p>
            <w:pPr>
              <w:spacing w:after="0"/>
              <w:rPr>
                <w:sz w:val="19"/>
                <w:szCs w:val="19"/>
                <w:color w:val="auto"/>
              </w:rPr>
            </w:pPr>
          </w:p>
        </w:tc>
        <w:tc>
          <w:tcPr>
            <w:tcW w:w="2060" w:type="dxa"/>
            <w:vAlign w:val="bottom"/>
            <w:tcBorders>
              <w:top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2060" w:type="dxa"/>
            <w:vAlign w:val="bottom"/>
            <w:tcBorders>
              <w:top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303"/>
        </w:trPr>
        <w:tc>
          <w:tcPr>
            <w:tcW w:w="2640" w:type="dxa"/>
            <w:vAlign w:val="bottom"/>
            <w:gridSpan w:val="2"/>
          </w:tcPr>
          <w:p>
            <w:pPr>
              <w:spacing w:after="0"/>
              <w:rPr>
                <w:sz w:val="20"/>
                <w:szCs w:val="20"/>
                <w:color w:val="auto"/>
              </w:rPr>
            </w:pPr>
            <w:r>
              <w:rPr>
                <w:rFonts w:ascii="Arial" w:cs="Arial" w:eastAsia="Arial" w:hAnsi="Arial"/>
                <w:sz w:val="18"/>
                <w:szCs w:val="18"/>
                <w:color w:val="auto"/>
              </w:rPr>
              <w:t>Marshall Brozost (42)</w:t>
            </w:r>
          </w:p>
        </w:tc>
        <w:tc>
          <w:tcPr>
            <w:tcW w:w="2060" w:type="dxa"/>
            <w:vAlign w:val="bottom"/>
          </w:tcPr>
          <w:p>
            <w:pPr>
              <w:spacing w:after="0"/>
              <w:rPr>
                <w:sz w:val="20"/>
                <w:szCs w:val="20"/>
                <w:color w:val="auto"/>
              </w:rPr>
            </w:pPr>
            <w:r>
              <w:rPr>
                <w:rFonts w:ascii="Arial" w:cs="Arial" w:eastAsia="Arial" w:hAnsi="Arial"/>
                <w:sz w:val="18"/>
                <w:szCs w:val="18"/>
                <w:color w:val="auto"/>
              </w:rPr>
              <w:t>Director</w:t>
            </w:r>
          </w:p>
        </w:tc>
        <w:tc>
          <w:tcPr>
            <w:tcW w:w="2300" w:type="dxa"/>
            <w:vAlign w:val="bottom"/>
            <w:gridSpan w:val="2"/>
          </w:tcPr>
          <w:p>
            <w:pPr>
              <w:ind w:left="240"/>
              <w:spacing w:after="0"/>
              <w:rPr>
                <w:sz w:val="20"/>
                <w:szCs w:val="20"/>
                <w:color w:val="auto"/>
              </w:rPr>
            </w:pPr>
            <w:r>
              <w:rPr>
                <w:rFonts w:ascii="Arial" w:cs="Arial" w:eastAsia="Arial" w:hAnsi="Arial"/>
                <w:sz w:val="18"/>
                <w:szCs w:val="18"/>
                <w:color w:val="auto"/>
              </w:rPr>
              <w:t>Class I</w:t>
            </w:r>
          </w:p>
        </w:tc>
        <w:tc>
          <w:tcPr>
            <w:tcW w:w="2280" w:type="dxa"/>
            <w:vAlign w:val="bottom"/>
            <w:gridSpan w:val="2"/>
          </w:tcPr>
          <w:p>
            <w:pPr>
              <w:ind w:left="220"/>
              <w:spacing w:after="0"/>
              <w:rPr>
                <w:sz w:val="20"/>
                <w:szCs w:val="20"/>
                <w:color w:val="auto"/>
              </w:rPr>
            </w:pPr>
            <w:r>
              <w:rPr>
                <w:rFonts w:ascii="Arial" w:cs="Arial" w:eastAsia="Arial" w:hAnsi="Arial"/>
                <w:sz w:val="18"/>
                <w:szCs w:val="18"/>
                <w:color w:val="auto"/>
                <w:w w:val="89"/>
              </w:rPr>
              <w:t>A Partner at the international</w:t>
            </w:r>
          </w:p>
        </w:tc>
        <w:tc>
          <w:tcPr>
            <w:tcW w:w="0" w:type="dxa"/>
            <w:vAlign w:val="bottom"/>
          </w:tcPr>
          <w:p>
            <w:pPr>
              <w:spacing w:after="0"/>
              <w:rPr>
                <w:sz w:val="1"/>
                <w:szCs w:val="1"/>
                <w:color w:val="auto"/>
              </w:rPr>
            </w:pPr>
          </w:p>
        </w:tc>
      </w:tr>
      <w:tr>
        <w:trPr>
          <w:trHeight w:val="216"/>
        </w:trPr>
        <w:tc>
          <w:tcPr>
            <w:tcW w:w="15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060" w:type="dxa"/>
            <w:vAlign w:val="bottom"/>
          </w:tcPr>
          <w:p>
            <w:pPr>
              <w:spacing w:after="0"/>
              <w:rPr>
                <w:sz w:val="18"/>
                <w:szCs w:val="18"/>
                <w:color w:val="auto"/>
              </w:rPr>
            </w:pPr>
          </w:p>
        </w:tc>
        <w:tc>
          <w:tcPr>
            <w:tcW w:w="2300" w:type="dxa"/>
            <w:vAlign w:val="bottom"/>
            <w:gridSpan w:val="2"/>
          </w:tcPr>
          <w:p>
            <w:pPr>
              <w:ind w:left="240"/>
              <w:spacing w:after="0"/>
              <w:rPr>
                <w:sz w:val="20"/>
                <w:szCs w:val="20"/>
                <w:color w:val="auto"/>
              </w:rPr>
            </w:pPr>
            <w:r>
              <w:rPr>
                <w:rFonts w:ascii="Arial" w:cs="Arial" w:eastAsia="Arial" w:hAnsi="Arial"/>
                <w:sz w:val="18"/>
                <w:szCs w:val="18"/>
                <w:color w:val="auto"/>
              </w:rPr>
              <w:t>Director since</w:t>
            </w:r>
          </w:p>
        </w:tc>
        <w:tc>
          <w:tcPr>
            <w:tcW w:w="2280" w:type="dxa"/>
            <w:vAlign w:val="bottom"/>
            <w:gridSpan w:val="2"/>
          </w:tcPr>
          <w:p>
            <w:pPr>
              <w:ind w:left="220"/>
              <w:spacing w:after="0"/>
              <w:rPr>
                <w:sz w:val="20"/>
                <w:szCs w:val="20"/>
                <w:color w:val="auto"/>
              </w:rPr>
            </w:pPr>
            <w:r>
              <w:rPr>
                <w:rFonts w:ascii="Arial" w:cs="Arial" w:eastAsia="Arial" w:hAnsi="Arial"/>
                <w:sz w:val="18"/>
                <w:szCs w:val="18"/>
                <w:color w:val="auto"/>
              </w:rPr>
              <w:t>law firm of Dewey &amp;</w:t>
            </w:r>
          </w:p>
        </w:tc>
        <w:tc>
          <w:tcPr>
            <w:tcW w:w="0" w:type="dxa"/>
            <w:vAlign w:val="bottom"/>
          </w:tcPr>
          <w:p>
            <w:pPr>
              <w:spacing w:after="0"/>
              <w:rPr>
                <w:sz w:val="1"/>
                <w:szCs w:val="1"/>
                <w:color w:val="auto"/>
              </w:rPr>
            </w:pPr>
          </w:p>
        </w:tc>
      </w:tr>
      <w:tr>
        <w:trPr>
          <w:trHeight w:val="216"/>
        </w:trPr>
        <w:tc>
          <w:tcPr>
            <w:tcW w:w="15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060" w:type="dxa"/>
            <w:vAlign w:val="bottom"/>
          </w:tcPr>
          <w:p>
            <w:pPr>
              <w:spacing w:after="0"/>
              <w:rPr>
                <w:sz w:val="18"/>
                <w:szCs w:val="18"/>
                <w:color w:val="auto"/>
              </w:rPr>
            </w:pPr>
          </w:p>
        </w:tc>
        <w:tc>
          <w:tcPr>
            <w:tcW w:w="2300" w:type="dxa"/>
            <w:vAlign w:val="bottom"/>
            <w:gridSpan w:val="2"/>
          </w:tcPr>
          <w:p>
            <w:pPr>
              <w:ind w:left="240"/>
              <w:spacing w:after="0"/>
              <w:rPr>
                <w:sz w:val="20"/>
                <w:szCs w:val="20"/>
                <w:color w:val="auto"/>
              </w:rPr>
            </w:pPr>
            <w:r>
              <w:rPr>
                <w:rFonts w:ascii="Arial" w:cs="Arial" w:eastAsia="Arial" w:hAnsi="Arial"/>
                <w:sz w:val="18"/>
                <w:szCs w:val="18"/>
                <w:color w:val="auto"/>
              </w:rPr>
              <w:t>February 2007;</w:t>
            </w:r>
          </w:p>
        </w:tc>
        <w:tc>
          <w:tcPr>
            <w:tcW w:w="2280" w:type="dxa"/>
            <w:vAlign w:val="bottom"/>
            <w:gridSpan w:val="2"/>
          </w:tcPr>
          <w:p>
            <w:pPr>
              <w:ind w:left="220"/>
              <w:spacing w:after="0"/>
              <w:rPr>
                <w:sz w:val="20"/>
                <w:szCs w:val="20"/>
                <w:color w:val="auto"/>
              </w:rPr>
            </w:pPr>
            <w:r>
              <w:rPr>
                <w:rFonts w:ascii="Arial" w:cs="Arial" w:eastAsia="Arial" w:hAnsi="Arial"/>
                <w:sz w:val="18"/>
                <w:szCs w:val="18"/>
                <w:color w:val="auto"/>
                <w:w w:val="98"/>
              </w:rPr>
              <w:t>LeBoeuf LLP, since 2007,</w:t>
            </w:r>
          </w:p>
        </w:tc>
        <w:tc>
          <w:tcPr>
            <w:tcW w:w="0" w:type="dxa"/>
            <w:vAlign w:val="bottom"/>
          </w:tcPr>
          <w:p>
            <w:pPr>
              <w:spacing w:after="0"/>
              <w:rPr>
                <w:sz w:val="1"/>
                <w:szCs w:val="1"/>
                <w:color w:val="auto"/>
              </w:rPr>
            </w:pPr>
          </w:p>
        </w:tc>
      </w:tr>
      <w:tr>
        <w:trPr>
          <w:trHeight w:val="216"/>
        </w:trPr>
        <w:tc>
          <w:tcPr>
            <w:tcW w:w="15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060" w:type="dxa"/>
            <w:vAlign w:val="bottom"/>
          </w:tcPr>
          <w:p>
            <w:pPr>
              <w:spacing w:after="0"/>
              <w:rPr>
                <w:sz w:val="18"/>
                <w:szCs w:val="18"/>
                <w:color w:val="auto"/>
              </w:rPr>
            </w:pPr>
          </w:p>
        </w:tc>
        <w:tc>
          <w:tcPr>
            <w:tcW w:w="2300" w:type="dxa"/>
            <w:vAlign w:val="bottom"/>
            <w:gridSpan w:val="2"/>
          </w:tcPr>
          <w:p>
            <w:pPr>
              <w:ind w:left="240"/>
              <w:spacing w:after="0"/>
              <w:rPr>
                <w:sz w:val="20"/>
                <w:szCs w:val="20"/>
                <w:color w:val="auto"/>
              </w:rPr>
            </w:pPr>
            <w:r>
              <w:rPr>
                <w:rFonts w:ascii="Arial" w:cs="Arial" w:eastAsia="Arial" w:hAnsi="Arial"/>
                <w:sz w:val="18"/>
                <w:szCs w:val="18"/>
                <w:color w:val="auto"/>
              </w:rPr>
              <w:t>Term Expires</w:t>
            </w:r>
          </w:p>
        </w:tc>
        <w:tc>
          <w:tcPr>
            <w:tcW w:w="2280" w:type="dxa"/>
            <w:vAlign w:val="bottom"/>
            <w:gridSpan w:val="2"/>
          </w:tcPr>
          <w:p>
            <w:pPr>
              <w:ind w:left="220"/>
              <w:spacing w:after="0"/>
              <w:rPr>
                <w:sz w:val="20"/>
                <w:szCs w:val="20"/>
                <w:color w:val="auto"/>
              </w:rPr>
            </w:pPr>
            <w:r>
              <w:rPr>
                <w:rFonts w:ascii="Arial" w:cs="Arial" w:eastAsia="Arial" w:hAnsi="Arial"/>
                <w:sz w:val="18"/>
                <w:szCs w:val="18"/>
                <w:color w:val="auto"/>
                <w:w w:val="86"/>
              </w:rPr>
              <w:t>where he practices in the real</w:t>
            </w:r>
          </w:p>
        </w:tc>
        <w:tc>
          <w:tcPr>
            <w:tcW w:w="0" w:type="dxa"/>
            <w:vAlign w:val="bottom"/>
          </w:tcPr>
          <w:p>
            <w:pPr>
              <w:spacing w:after="0"/>
              <w:rPr>
                <w:sz w:val="1"/>
                <w:szCs w:val="1"/>
                <w:color w:val="auto"/>
              </w:rPr>
            </w:pPr>
          </w:p>
        </w:tc>
      </w:tr>
      <w:tr>
        <w:trPr>
          <w:trHeight w:val="216"/>
        </w:trPr>
        <w:tc>
          <w:tcPr>
            <w:tcW w:w="15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060" w:type="dxa"/>
            <w:vAlign w:val="bottom"/>
          </w:tcPr>
          <w:p>
            <w:pPr>
              <w:spacing w:after="0"/>
              <w:rPr>
                <w:sz w:val="18"/>
                <w:szCs w:val="18"/>
                <w:color w:val="auto"/>
              </w:rPr>
            </w:pPr>
          </w:p>
        </w:tc>
        <w:tc>
          <w:tcPr>
            <w:tcW w:w="2300" w:type="dxa"/>
            <w:vAlign w:val="bottom"/>
            <w:gridSpan w:val="2"/>
          </w:tcPr>
          <w:p>
            <w:pPr>
              <w:ind w:left="240"/>
              <w:spacing w:after="0"/>
              <w:rPr>
                <w:sz w:val="20"/>
                <w:szCs w:val="20"/>
                <w:color w:val="auto"/>
              </w:rPr>
            </w:pPr>
            <w:r>
              <w:rPr>
                <w:rFonts w:ascii="Arial" w:cs="Arial" w:eastAsia="Arial" w:hAnsi="Arial"/>
                <w:sz w:val="18"/>
                <w:szCs w:val="18"/>
                <w:color w:val="auto"/>
              </w:rPr>
              <w:t>2011</w:t>
            </w:r>
          </w:p>
        </w:tc>
        <w:tc>
          <w:tcPr>
            <w:tcW w:w="2280" w:type="dxa"/>
            <w:vAlign w:val="bottom"/>
            <w:gridSpan w:val="2"/>
          </w:tcPr>
          <w:p>
            <w:pPr>
              <w:ind w:left="220"/>
              <w:spacing w:after="0"/>
              <w:rPr>
                <w:sz w:val="20"/>
                <w:szCs w:val="20"/>
                <w:color w:val="auto"/>
              </w:rPr>
            </w:pPr>
            <w:r>
              <w:rPr>
                <w:rFonts w:ascii="Arial" w:cs="Arial" w:eastAsia="Arial" w:hAnsi="Arial"/>
                <w:sz w:val="18"/>
                <w:szCs w:val="18"/>
                <w:color w:val="auto"/>
              </w:rPr>
              <w:t>estate and private equity</w:t>
            </w:r>
          </w:p>
        </w:tc>
        <w:tc>
          <w:tcPr>
            <w:tcW w:w="0" w:type="dxa"/>
            <w:vAlign w:val="bottom"/>
          </w:tcPr>
          <w:p>
            <w:pPr>
              <w:spacing w:after="0"/>
              <w:rPr>
                <w:sz w:val="1"/>
                <w:szCs w:val="1"/>
                <w:color w:val="auto"/>
              </w:rPr>
            </w:pPr>
          </w:p>
        </w:tc>
      </w:tr>
      <w:tr>
        <w:trPr>
          <w:trHeight w:val="216"/>
        </w:trPr>
        <w:tc>
          <w:tcPr>
            <w:tcW w:w="15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0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60" w:type="dxa"/>
            <w:vAlign w:val="bottom"/>
          </w:tcPr>
          <w:p>
            <w:pPr>
              <w:spacing w:after="0"/>
              <w:rPr>
                <w:sz w:val="18"/>
                <w:szCs w:val="18"/>
                <w:color w:val="auto"/>
              </w:rPr>
            </w:pPr>
          </w:p>
        </w:tc>
        <w:tc>
          <w:tcPr>
            <w:tcW w:w="2280" w:type="dxa"/>
            <w:vAlign w:val="bottom"/>
            <w:gridSpan w:val="2"/>
          </w:tcPr>
          <w:p>
            <w:pPr>
              <w:ind w:left="220"/>
              <w:spacing w:after="0"/>
              <w:rPr>
                <w:sz w:val="20"/>
                <w:szCs w:val="20"/>
                <w:color w:val="auto"/>
              </w:rPr>
            </w:pPr>
            <w:r>
              <w:rPr>
                <w:rFonts w:ascii="Arial" w:cs="Arial" w:eastAsia="Arial" w:hAnsi="Arial"/>
                <w:sz w:val="18"/>
                <w:szCs w:val="18"/>
                <w:color w:val="auto"/>
                <w:w w:val="89"/>
              </w:rPr>
              <w:t>groups. Prior to his tenure at</w:t>
            </w:r>
          </w:p>
        </w:tc>
        <w:tc>
          <w:tcPr>
            <w:tcW w:w="0" w:type="dxa"/>
            <w:vAlign w:val="bottom"/>
          </w:tcPr>
          <w:p>
            <w:pPr>
              <w:spacing w:after="0"/>
              <w:rPr>
                <w:sz w:val="1"/>
                <w:szCs w:val="1"/>
                <w:color w:val="auto"/>
              </w:rPr>
            </w:pPr>
          </w:p>
        </w:tc>
      </w:tr>
      <w:tr>
        <w:trPr>
          <w:trHeight w:val="216"/>
        </w:trPr>
        <w:tc>
          <w:tcPr>
            <w:tcW w:w="15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0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60" w:type="dxa"/>
            <w:vAlign w:val="bottom"/>
          </w:tcPr>
          <w:p>
            <w:pPr>
              <w:spacing w:after="0"/>
              <w:rPr>
                <w:sz w:val="18"/>
                <w:szCs w:val="18"/>
                <w:color w:val="auto"/>
              </w:rPr>
            </w:pPr>
          </w:p>
        </w:tc>
        <w:tc>
          <w:tcPr>
            <w:tcW w:w="2280" w:type="dxa"/>
            <w:vAlign w:val="bottom"/>
            <w:gridSpan w:val="2"/>
          </w:tcPr>
          <w:p>
            <w:pPr>
              <w:ind w:left="220"/>
              <w:spacing w:after="0"/>
              <w:rPr>
                <w:sz w:val="20"/>
                <w:szCs w:val="20"/>
                <w:color w:val="auto"/>
              </w:rPr>
            </w:pPr>
            <w:r>
              <w:rPr>
                <w:rFonts w:ascii="Arial" w:cs="Arial" w:eastAsia="Arial" w:hAnsi="Arial"/>
                <w:sz w:val="18"/>
                <w:szCs w:val="18"/>
                <w:color w:val="auto"/>
              </w:rPr>
              <w:t>Dewey &amp; LeBoeuf LLP,</w:t>
            </w:r>
          </w:p>
        </w:tc>
        <w:tc>
          <w:tcPr>
            <w:tcW w:w="0" w:type="dxa"/>
            <w:vAlign w:val="bottom"/>
          </w:tcPr>
          <w:p>
            <w:pPr>
              <w:spacing w:after="0"/>
              <w:rPr>
                <w:sz w:val="1"/>
                <w:szCs w:val="1"/>
                <w:color w:val="auto"/>
              </w:rPr>
            </w:pPr>
          </w:p>
        </w:tc>
      </w:tr>
      <w:tr>
        <w:trPr>
          <w:trHeight w:val="216"/>
        </w:trPr>
        <w:tc>
          <w:tcPr>
            <w:tcW w:w="15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0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60" w:type="dxa"/>
            <w:vAlign w:val="bottom"/>
          </w:tcPr>
          <w:p>
            <w:pPr>
              <w:spacing w:after="0"/>
              <w:rPr>
                <w:sz w:val="18"/>
                <w:szCs w:val="18"/>
                <w:color w:val="auto"/>
              </w:rPr>
            </w:pPr>
          </w:p>
        </w:tc>
        <w:tc>
          <w:tcPr>
            <w:tcW w:w="2280" w:type="dxa"/>
            <w:vAlign w:val="bottom"/>
            <w:gridSpan w:val="2"/>
          </w:tcPr>
          <w:p>
            <w:pPr>
              <w:ind w:left="220"/>
              <w:spacing w:after="0"/>
              <w:rPr>
                <w:sz w:val="20"/>
                <w:szCs w:val="20"/>
                <w:color w:val="auto"/>
              </w:rPr>
            </w:pPr>
            <w:r>
              <w:rPr>
                <w:rFonts w:ascii="Arial" w:cs="Arial" w:eastAsia="Arial" w:hAnsi="Arial"/>
                <w:sz w:val="18"/>
                <w:szCs w:val="18"/>
                <w:color w:val="auto"/>
              </w:rPr>
              <w:t>which began in 2005,</w:t>
            </w:r>
          </w:p>
        </w:tc>
        <w:tc>
          <w:tcPr>
            <w:tcW w:w="0" w:type="dxa"/>
            <w:vAlign w:val="bottom"/>
          </w:tcPr>
          <w:p>
            <w:pPr>
              <w:spacing w:after="0"/>
              <w:rPr>
                <w:sz w:val="1"/>
                <w:szCs w:val="1"/>
                <w:color w:val="auto"/>
              </w:rPr>
            </w:pPr>
          </w:p>
        </w:tc>
      </w:tr>
      <w:tr>
        <w:trPr>
          <w:trHeight w:val="216"/>
        </w:trPr>
        <w:tc>
          <w:tcPr>
            <w:tcW w:w="15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0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60" w:type="dxa"/>
            <w:vAlign w:val="bottom"/>
          </w:tcPr>
          <w:p>
            <w:pPr>
              <w:spacing w:after="0"/>
              <w:rPr>
                <w:sz w:val="18"/>
                <w:szCs w:val="18"/>
                <w:color w:val="auto"/>
              </w:rPr>
            </w:pPr>
          </w:p>
        </w:tc>
        <w:tc>
          <w:tcPr>
            <w:tcW w:w="2280" w:type="dxa"/>
            <w:vAlign w:val="bottom"/>
            <w:gridSpan w:val="2"/>
          </w:tcPr>
          <w:p>
            <w:pPr>
              <w:ind w:left="220"/>
              <w:spacing w:after="0"/>
              <w:rPr>
                <w:sz w:val="20"/>
                <w:szCs w:val="20"/>
                <w:color w:val="auto"/>
              </w:rPr>
            </w:pPr>
            <w:r>
              <w:rPr>
                <w:rFonts w:ascii="Arial" w:cs="Arial" w:eastAsia="Arial" w:hAnsi="Arial"/>
                <w:sz w:val="18"/>
                <w:szCs w:val="18"/>
                <w:color w:val="auto"/>
                <w:w w:val="91"/>
              </w:rPr>
              <w:t>Mr. Brozost practiced law at</w:t>
            </w:r>
          </w:p>
        </w:tc>
        <w:tc>
          <w:tcPr>
            <w:tcW w:w="0" w:type="dxa"/>
            <w:vAlign w:val="bottom"/>
          </w:tcPr>
          <w:p>
            <w:pPr>
              <w:spacing w:after="0"/>
              <w:rPr>
                <w:sz w:val="1"/>
                <w:szCs w:val="1"/>
                <w:color w:val="auto"/>
              </w:rPr>
            </w:pPr>
          </w:p>
        </w:tc>
      </w:tr>
      <w:tr>
        <w:trPr>
          <w:trHeight w:val="216"/>
        </w:trPr>
        <w:tc>
          <w:tcPr>
            <w:tcW w:w="15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0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60" w:type="dxa"/>
            <w:vAlign w:val="bottom"/>
          </w:tcPr>
          <w:p>
            <w:pPr>
              <w:spacing w:after="0"/>
              <w:rPr>
                <w:sz w:val="18"/>
                <w:szCs w:val="18"/>
                <w:color w:val="auto"/>
              </w:rPr>
            </w:pPr>
          </w:p>
        </w:tc>
        <w:tc>
          <w:tcPr>
            <w:tcW w:w="2280" w:type="dxa"/>
            <w:vAlign w:val="bottom"/>
            <w:gridSpan w:val="2"/>
          </w:tcPr>
          <w:p>
            <w:pPr>
              <w:ind w:left="220"/>
              <w:spacing w:after="0"/>
              <w:rPr>
                <w:sz w:val="20"/>
                <w:szCs w:val="20"/>
                <w:color w:val="auto"/>
              </w:rPr>
            </w:pPr>
            <w:r>
              <w:rPr>
                <w:rFonts w:ascii="Arial" w:cs="Arial" w:eastAsia="Arial" w:hAnsi="Arial"/>
                <w:sz w:val="18"/>
                <w:szCs w:val="18"/>
                <w:color w:val="auto"/>
              </w:rPr>
              <w:t>O’Melveny &amp; Myers LLP</w:t>
            </w:r>
          </w:p>
        </w:tc>
        <w:tc>
          <w:tcPr>
            <w:tcW w:w="0" w:type="dxa"/>
            <w:vAlign w:val="bottom"/>
          </w:tcPr>
          <w:p>
            <w:pPr>
              <w:spacing w:after="0"/>
              <w:rPr>
                <w:sz w:val="1"/>
                <w:szCs w:val="1"/>
                <w:color w:val="auto"/>
              </w:rPr>
            </w:pPr>
          </w:p>
        </w:tc>
      </w:tr>
      <w:tr>
        <w:trPr>
          <w:trHeight w:val="216"/>
        </w:trPr>
        <w:tc>
          <w:tcPr>
            <w:tcW w:w="15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0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60" w:type="dxa"/>
            <w:vAlign w:val="bottom"/>
          </w:tcPr>
          <w:p>
            <w:pPr>
              <w:spacing w:after="0"/>
              <w:rPr>
                <w:sz w:val="18"/>
                <w:szCs w:val="18"/>
                <w:color w:val="auto"/>
              </w:rPr>
            </w:pPr>
          </w:p>
        </w:tc>
        <w:tc>
          <w:tcPr>
            <w:tcW w:w="2280" w:type="dxa"/>
            <w:vAlign w:val="bottom"/>
            <w:gridSpan w:val="2"/>
          </w:tcPr>
          <w:p>
            <w:pPr>
              <w:ind w:left="220"/>
              <w:spacing w:after="0"/>
              <w:rPr>
                <w:sz w:val="20"/>
                <w:szCs w:val="20"/>
                <w:color w:val="auto"/>
              </w:rPr>
            </w:pPr>
            <w:r>
              <w:rPr>
                <w:rFonts w:ascii="Arial" w:cs="Arial" w:eastAsia="Arial" w:hAnsi="Arial"/>
                <w:sz w:val="18"/>
                <w:szCs w:val="18"/>
                <w:color w:val="auto"/>
                <w:w w:val="90"/>
              </w:rPr>
              <w:t>and at Solomon &amp; Weinberg</w:t>
            </w:r>
          </w:p>
        </w:tc>
        <w:tc>
          <w:tcPr>
            <w:tcW w:w="0" w:type="dxa"/>
            <w:vAlign w:val="bottom"/>
          </w:tcPr>
          <w:p>
            <w:pPr>
              <w:spacing w:after="0"/>
              <w:rPr>
                <w:sz w:val="1"/>
                <w:szCs w:val="1"/>
                <w:color w:val="auto"/>
              </w:rPr>
            </w:pPr>
          </w:p>
        </w:tc>
      </w:tr>
      <w:tr>
        <w:trPr>
          <w:trHeight w:val="222"/>
        </w:trPr>
        <w:tc>
          <w:tcPr>
            <w:tcW w:w="158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20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060" w:type="dxa"/>
            <w:vAlign w:val="bottom"/>
          </w:tcPr>
          <w:p>
            <w:pPr>
              <w:spacing w:after="0"/>
              <w:rPr>
                <w:sz w:val="19"/>
                <w:szCs w:val="19"/>
                <w:color w:val="auto"/>
              </w:rPr>
            </w:pPr>
          </w:p>
        </w:tc>
        <w:tc>
          <w:tcPr>
            <w:tcW w:w="2280" w:type="dxa"/>
            <w:vAlign w:val="bottom"/>
            <w:gridSpan w:val="2"/>
          </w:tcPr>
          <w:p>
            <w:pPr>
              <w:ind w:left="220"/>
              <w:spacing w:after="0"/>
              <w:rPr>
                <w:sz w:val="20"/>
                <w:szCs w:val="20"/>
                <w:color w:val="auto"/>
              </w:rPr>
            </w:pPr>
            <w:r>
              <w:rPr>
                <w:rFonts w:ascii="Arial" w:cs="Arial" w:eastAsia="Arial" w:hAnsi="Arial"/>
                <w:sz w:val="18"/>
                <w:szCs w:val="18"/>
                <w:color w:val="auto"/>
              </w:rPr>
              <w:t>LLP since 2001.</w:t>
            </w:r>
          </w:p>
        </w:tc>
        <w:tc>
          <w:tcPr>
            <w:tcW w:w="0" w:type="dxa"/>
            <w:vAlign w:val="bottom"/>
          </w:tcPr>
          <w:p>
            <w:pPr>
              <w:spacing w:after="0"/>
              <w:rPr>
                <w:sz w:val="1"/>
                <w:szCs w:val="1"/>
                <w:color w:val="auto"/>
              </w:rPr>
            </w:pPr>
          </w:p>
        </w:tc>
      </w:tr>
      <w:tr>
        <w:trPr>
          <w:trHeight w:val="318"/>
        </w:trPr>
        <w:tc>
          <w:tcPr>
            <w:tcW w:w="2640" w:type="dxa"/>
            <w:vAlign w:val="bottom"/>
            <w:gridSpan w:val="2"/>
          </w:tcPr>
          <w:p>
            <w:pPr>
              <w:spacing w:after="0"/>
              <w:rPr>
                <w:sz w:val="20"/>
                <w:szCs w:val="20"/>
                <w:color w:val="auto"/>
              </w:rPr>
            </w:pPr>
            <w:r>
              <w:rPr>
                <w:rFonts w:ascii="Arial" w:cs="Arial" w:eastAsia="Arial" w:hAnsi="Arial"/>
                <w:sz w:val="18"/>
                <w:szCs w:val="18"/>
                <w:color w:val="auto"/>
              </w:rPr>
              <w:t>Samuel L Katz (44)</w:t>
            </w:r>
          </w:p>
        </w:tc>
        <w:tc>
          <w:tcPr>
            <w:tcW w:w="2060" w:type="dxa"/>
            <w:vAlign w:val="bottom"/>
          </w:tcPr>
          <w:p>
            <w:pPr>
              <w:spacing w:after="0"/>
              <w:rPr>
                <w:sz w:val="20"/>
                <w:szCs w:val="20"/>
                <w:color w:val="auto"/>
              </w:rPr>
            </w:pPr>
            <w:r>
              <w:rPr>
                <w:rFonts w:ascii="Arial" w:cs="Arial" w:eastAsia="Arial" w:hAnsi="Arial"/>
                <w:sz w:val="18"/>
                <w:szCs w:val="18"/>
                <w:color w:val="auto"/>
              </w:rPr>
              <w:t>Director</w:t>
            </w:r>
          </w:p>
        </w:tc>
        <w:tc>
          <w:tcPr>
            <w:tcW w:w="2300" w:type="dxa"/>
            <w:vAlign w:val="bottom"/>
            <w:gridSpan w:val="2"/>
          </w:tcPr>
          <w:p>
            <w:pPr>
              <w:ind w:left="240"/>
              <w:spacing w:after="0"/>
              <w:rPr>
                <w:sz w:val="20"/>
                <w:szCs w:val="20"/>
                <w:color w:val="auto"/>
              </w:rPr>
            </w:pPr>
            <w:r>
              <w:rPr>
                <w:rFonts w:ascii="Arial" w:cs="Arial" w:eastAsia="Arial" w:hAnsi="Arial"/>
                <w:sz w:val="18"/>
                <w:szCs w:val="18"/>
                <w:color w:val="auto"/>
              </w:rPr>
              <w:t>Class I</w:t>
            </w:r>
          </w:p>
        </w:tc>
        <w:tc>
          <w:tcPr>
            <w:tcW w:w="2280" w:type="dxa"/>
            <w:vAlign w:val="bottom"/>
            <w:gridSpan w:val="2"/>
          </w:tcPr>
          <w:p>
            <w:pPr>
              <w:ind w:left="220"/>
              <w:spacing w:after="0"/>
              <w:rPr>
                <w:sz w:val="20"/>
                <w:szCs w:val="20"/>
                <w:color w:val="auto"/>
              </w:rPr>
            </w:pPr>
            <w:r>
              <w:rPr>
                <w:rFonts w:ascii="Arial" w:cs="Arial" w:eastAsia="Arial" w:hAnsi="Arial"/>
                <w:sz w:val="18"/>
                <w:szCs w:val="18"/>
                <w:color w:val="auto"/>
                <w:w w:val="98"/>
              </w:rPr>
              <w:t>A Managing Partner since</w:t>
            </w:r>
          </w:p>
        </w:tc>
        <w:tc>
          <w:tcPr>
            <w:tcW w:w="0" w:type="dxa"/>
            <w:vAlign w:val="bottom"/>
          </w:tcPr>
          <w:p>
            <w:pPr>
              <w:spacing w:after="0"/>
              <w:rPr>
                <w:sz w:val="1"/>
                <w:szCs w:val="1"/>
                <w:color w:val="auto"/>
              </w:rPr>
            </w:pPr>
          </w:p>
        </w:tc>
      </w:tr>
      <w:tr>
        <w:trPr>
          <w:trHeight w:val="216"/>
        </w:trPr>
        <w:tc>
          <w:tcPr>
            <w:tcW w:w="15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060" w:type="dxa"/>
            <w:vAlign w:val="bottom"/>
          </w:tcPr>
          <w:p>
            <w:pPr>
              <w:spacing w:after="0"/>
              <w:rPr>
                <w:sz w:val="18"/>
                <w:szCs w:val="18"/>
                <w:color w:val="auto"/>
              </w:rPr>
            </w:pPr>
          </w:p>
        </w:tc>
        <w:tc>
          <w:tcPr>
            <w:tcW w:w="2300" w:type="dxa"/>
            <w:vAlign w:val="bottom"/>
            <w:gridSpan w:val="2"/>
          </w:tcPr>
          <w:p>
            <w:pPr>
              <w:ind w:left="240"/>
              <w:spacing w:after="0"/>
              <w:rPr>
                <w:sz w:val="20"/>
                <w:szCs w:val="20"/>
                <w:color w:val="auto"/>
              </w:rPr>
            </w:pPr>
            <w:r>
              <w:rPr>
                <w:rFonts w:ascii="Arial" w:cs="Arial" w:eastAsia="Arial" w:hAnsi="Arial"/>
                <w:sz w:val="18"/>
                <w:szCs w:val="18"/>
                <w:color w:val="auto"/>
              </w:rPr>
              <w:t>Director since</w:t>
            </w:r>
          </w:p>
        </w:tc>
        <w:tc>
          <w:tcPr>
            <w:tcW w:w="2280" w:type="dxa"/>
            <w:vAlign w:val="bottom"/>
            <w:gridSpan w:val="2"/>
          </w:tcPr>
          <w:p>
            <w:pPr>
              <w:ind w:left="220"/>
              <w:spacing w:after="0"/>
              <w:rPr>
                <w:sz w:val="20"/>
                <w:szCs w:val="20"/>
                <w:color w:val="auto"/>
              </w:rPr>
            </w:pPr>
            <w:r>
              <w:rPr>
                <w:rFonts w:ascii="Arial" w:cs="Arial" w:eastAsia="Arial" w:hAnsi="Arial"/>
                <w:sz w:val="18"/>
                <w:szCs w:val="18"/>
                <w:color w:val="auto"/>
                <w:w w:val="96"/>
              </w:rPr>
              <w:t>2007 of TZP Group LLC, a</w:t>
            </w:r>
          </w:p>
        </w:tc>
        <w:tc>
          <w:tcPr>
            <w:tcW w:w="0" w:type="dxa"/>
            <w:vAlign w:val="bottom"/>
          </w:tcPr>
          <w:p>
            <w:pPr>
              <w:spacing w:after="0"/>
              <w:rPr>
                <w:sz w:val="1"/>
                <w:szCs w:val="1"/>
                <w:color w:val="auto"/>
              </w:rPr>
            </w:pPr>
          </w:p>
        </w:tc>
      </w:tr>
      <w:tr>
        <w:trPr>
          <w:trHeight w:val="216"/>
        </w:trPr>
        <w:tc>
          <w:tcPr>
            <w:tcW w:w="15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060" w:type="dxa"/>
            <w:vAlign w:val="bottom"/>
          </w:tcPr>
          <w:p>
            <w:pPr>
              <w:spacing w:after="0"/>
              <w:rPr>
                <w:sz w:val="18"/>
                <w:szCs w:val="18"/>
                <w:color w:val="auto"/>
              </w:rPr>
            </w:pPr>
          </w:p>
        </w:tc>
        <w:tc>
          <w:tcPr>
            <w:tcW w:w="2300" w:type="dxa"/>
            <w:vAlign w:val="bottom"/>
            <w:gridSpan w:val="2"/>
          </w:tcPr>
          <w:p>
            <w:pPr>
              <w:ind w:left="240"/>
              <w:spacing w:after="0"/>
              <w:rPr>
                <w:sz w:val="20"/>
                <w:szCs w:val="20"/>
                <w:color w:val="auto"/>
              </w:rPr>
            </w:pPr>
            <w:r>
              <w:rPr>
                <w:rFonts w:ascii="Arial" w:cs="Arial" w:eastAsia="Arial" w:hAnsi="Arial"/>
                <w:sz w:val="18"/>
                <w:szCs w:val="18"/>
                <w:color w:val="auto"/>
              </w:rPr>
              <w:t>February 2007;</w:t>
            </w:r>
          </w:p>
        </w:tc>
        <w:tc>
          <w:tcPr>
            <w:tcW w:w="2280" w:type="dxa"/>
            <w:vAlign w:val="bottom"/>
            <w:gridSpan w:val="2"/>
          </w:tcPr>
          <w:p>
            <w:pPr>
              <w:ind w:left="220"/>
              <w:spacing w:after="0"/>
              <w:rPr>
                <w:sz w:val="20"/>
                <w:szCs w:val="20"/>
                <w:color w:val="auto"/>
              </w:rPr>
            </w:pPr>
            <w:r>
              <w:rPr>
                <w:rFonts w:ascii="Arial" w:cs="Arial" w:eastAsia="Arial" w:hAnsi="Arial"/>
                <w:sz w:val="18"/>
                <w:szCs w:val="18"/>
                <w:color w:val="auto"/>
                <w:w w:val="97"/>
              </w:rPr>
              <w:t>private equity fund. Before</w:t>
            </w:r>
          </w:p>
        </w:tc>
        <w:tc>
          <w:tcPr>
            <w:tcW w:w="0" w:type="dxa"/>
            <w:vAlign w:val="bottom"/>
          </w:tcPr>
          <w:p>
            <w:pPr>
              <w:spacing w:after="0"/>
              <w:rPr>
                <w:sz w:val="1"/>
                <w:szCs w:val="1"/>
                <w:color w:val="auto"/>
              </w:rPr>
            </w:pPr>
          </w:p>
        </w:tc>
      </w:tr>
      <w:tr>
        <w:trPr>
          <w:trHeight w:val="216"/>
        </w:trPr>
        <w:tc>
          <w:tcPr>
            <w:tcW w:w="15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060" w:type="dxa"/>
            <w:vAlign w:val="bottom"/>
          </w:tcPr>
          <w:p>
            <w:pPr>
              <w:spacing w:after="0"/>
              <w:rPr>
                <w:sz w:val="18"/>
                <w:szCs w:val="18"/>
                <w:color w:val="auto"/>
              </w:rPr>
            </w:pPr>
          </w:p>
        </w:tc>
        <w:tc>
          <w:tcPr>
            <w:tcW w:w="2300" w:type="dxa"/>
            <w:vAlign w:val="bottom"/>
            <w:gridSpan w:val="2"/>
          </w:tcPr>
          <w:p>
            <w:pPr>
              <w:ind w:left="240"/>
              <w:spacing w:after="0"/>
              <w:rPr>
                <w:sz w:val="20"/>
                <w:szCs w:val="20"/>
                <w:color w:val="auto"/>
              </w:rPr>
            </w:pPr>
            <w:r>
              <w:rPr>
                <w:rFonts w:ascii="Arial" w:cs="Arial" w:eastAsia="Arial" w:hAnsi="Arial"/>
                <w:sz w:val="18"/>
                <w:szCs w:val="18"/>
                <w:color w:val="auto"/>
              </w:rPr>
              <w:t>Term Expires</w:t>
            </w:r>
          </w:p>
        </w:tc>
        <w:tc>
          <w:tcPr>
            <w:tcW w:w="2280" w:type="dxa"/>
            <w:vAlign w:val="bottom"/>
            <w:gridSpan w:val="2"/>
          </w:tcPr>
          <w:p>
            <w:pPr>
              <w:ind w:left="220"/>
              <w:spacing w:after="0"/>
              <w:rPr>
                <w:sz w:val="20"/>
                <w:szCs w:val="20"/>
                <w:color w:val="auto"/>
              </w:rPr>
            </w:pPr>
            <w:r>
              <w:rPr>
                <w:rFonts w:ascii="Arial" w:cs="Arial" w:eastAsia="Arial" w:hAnsi="Arial"/>
                <w:sz w:val="18"/>
                <w:szCs w:val="18"/>
                <w:color w:val="auto"/>
              </w:rPr>
              <w:t>joining TZP Group, Mr.</w:t>
            </w:r>
          </w:p>
        </w:tc>
        <w:tc>
          <w:tcPr>
            <w:tcW w:w="0" w:type="dxa"/>
            <w:vAlign w:val="bottom"/>
          </w:tcPr>
          <w:p>
            <w:pPr>
              <w:spacing w:after="0"/>
              <w:rPr>
                <w:sz w:val="1"/>
                <w:szCs w:val="1"/>
                <w:color w:val="auto"/>
              </w:rPr>
            </w:pPr>
          </w:p>
        </w:tc>
      </w:tr>
      <w:tr>
        <w:trPr>
          <w:trHeight w:val="216"/>
        </w:trPr>
        <w:tc>
          <w:tcPr>
            <w:tcW w:w="15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060" w:type="dxa"/>
            <w:vAlign w:val="bottom"/>
          </w:tcPr>
          <w:p>
            <w:pPr>
              <w:spacing w:after="0"/>
              <w:rPr>
                <w:sz w:val="18"/>
                <w:szCs w:val="18"/>
                <w:color w:val="auto"/>
              </w:rPr>
            </w:pPr>
          </w:p>
        </w:tc>
        <w:tc>
          <w:tcPr>
            <w:tcW w:w="2300" w:type="dxa"/>
            <w:vAlign w:val="bottom"/>
            <w:gridSpan w:val="2"/>
          </w:tcPr>
          <w:p>
            <w:pPr>
              <w:ind w:left="240"/>
              <w:spacing w:after="0"/>
              <w:rPr>
                <w:sz w:val="20"/>
                <w:szCs w:val="20"/>
                <w:color w:val="auto"/>
              </w:rPr>
            </w:pPr>
            <w:r>
              <w:rPr>
                <w:rFonts w:ascii="Arial" w:cs="Arial" w:eastAsia="Arial" w:hAnsi="Arial"/>
                <w:sz w:val="18"/>
                <w:szCs w:val="18"/>
                <w:color w:val="auto"/>
              </w:rPr>
              <w:t>2011</w:t>
            </w:r>
          </w:p>
        </w:tc>
        <w:tc>
          <w:tcPr>
            <w:tcW w:w="2280" w:type="dxa"/>
            <w:vAlign w:val="bottom"/>
            <w:gridSpan w:val="2"/>
          </w:tcPr>
          <w:p>
            <w:pPr>
              <w:ind w:left="220"/>
              <w:spacing w:after="0"/>
              <w:rPr>
                <w:sz w:val="20"/>
                <w:szCs w:val="20"/>
                <w:color w:val="auto"/>
              </w:rPr>
            </w:pPr>
            <w:r>
              <w:rPr>
                <w:rFonts w:ascii="Arial" w:cs="Arial" w:eastAsia="Arial" w:hAnsi="Arial"/>
                <w:sz w:val="18"/>
                <w:szCs w:val="18"/>
                <w:color w:val="auto"/>
              </w:rPr>
              <w:t>Katz was Chief Executive</w:t>
            </w:r>
          </w:p>
        </w:tc>
        <w:tc>
          <w:tcPr>
            <w:tcW w:w="0" w:type="dxa"/>
            <w:vAlign w:val="bottom"/>
          </w:tcPr>
          <w:p>
            <w:pPr>
              <w:spacing w:after="0"/>
              <w:rPr>
                <w:sz w:val="1"/>
                <w:szCs w:val="1"/>
                <w:color w:val="auto"/>
              </w:rPr>
            </w:pPr>
          </w:p>
        </w:tc>
      </w:tr>
      <w:tr>
        <w:trPr>
          <w:trHeight w:val="216"/>
        </w:trPr>
        <w:tc>
          <w:tcPr>
            <w:tcW w:w="15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0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60" w:type="dxa"/>
            <w:vAlign w:val="bottom"/>
          </w:tcPr>
          <w:p>
            <w:pPr>
              <w:spacing w:after="0"/>
              <w:rPr>
                <w:sz w:val="18"/>
                <w:szCs w:val="18"/>
                <w:color w:val="auto"/>
              </w:rPr>
            </w:pPr>
          </w:p>
        </w:tc>
        <w:tc>
          <w:tcPr>
            <w:tcW w:w="2280" w:type="dxa"/>
            <w:vAlign w:val="bottom"/>
            <w:gridSpan w:val="2"/>
          </w:tcPr>
          <w:p>
            <w:pPr>
              <w:ind w:left="220"/>
              <w:spacing w:after="0"/>
              <w:rPr>
                <w:sz w:val="20"/>
                <w:szCs w:val="20"/>
                <w:color w:val="auto"/>
              </w:rPr>
            </w:pPr>
            <w:r>
              <w:rPr>
                <w:rFonts w:ascii="Arial" w:cs="Arial" w:eastAsia="Arial" w:hAnsi="Arial"/>
                <w:sz w:val="18"/>
                <w:szCs w:val="18"/>
                <w:color w:val="auto"/>
              </w:rPr>
              <w:t>Officer of MacAndrews &amp;</w:t>
            </w:r>
          </w:p>
        </w:tc>
        <w:tc>
          <w:tcPr>
            <w:tcW w:w="0" w:type="dxa"/>
            <w:vAlign w:val="bottom"/>
          </w:tcPr>
          <w:p>
            <w:pPr>
              <w:spacing w:after="0"/>
              <w:rPr>
                <w:sz w:val="1"/>
                <w:szCs w:val="1"/>
                <w:color w:val="auto"/>
              </w:rPr>
            </w:pPr>
          </w:p>
        </w:tc>
      </w:tr>
      <w:tr>
        <w:trPr>
          <w:trHeight w:val="216"/>
        </w:trPr>
        <w:tc>
          <w:tcPr>
            <w:tcW w:w="15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0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60" w:type="dxa"/>
            <w:vAlign w:val="bottom"/>
          </w:tcPr>
          <w:p>
            <w:pPr>
              <w:spacing w:after="0"/>
              <w:rPr>
                <w:sz w:val="18"/>
                <w:szCs w:val="18"/>
                <w:color w:val="auto"/>
              </w:rPr>
            </w:pPr>
          </w:p>
        </w:tc>
        <w:tc>
          <w:tcPr>
            <w:tcW w:w="2280" w:type="dxa"/>
            <w:vAlign w:val="bottom"/>
            <w:gridSpan w:val="2"/>
          </w:tcPr>
          <w:p>
            <w:pPr>
              <w:ind w:left="220"/>
              <w:spacing w:after="0"/>
              <w:rPr>
                <w:sz w:val="20"/>
                <w:szCs w:val="20"/>
                <w:color w:val="auto"/>
              </w:rPr>
            </w:pPr>
            <w:r>
              <w:rPr>
                <w:rFonts w:ascii="Arial" w:cs="Arial" w:eastAsia="Arial" w:hAnsi="Arial"/>
                <w:sz w:val="18"/>
                <w:szCs w:val="18"/>
                <w:color w:val="auto"/>
              </w:rPr>
              <w:t>Forbes Acquisition</w:t>
            </w:r>
          </w:p>
        </w:tc>
        <w:tc>
          <w:tcPr>
            <w:tcW w:w="0" w:type="dxa"/>
            <w:vAlign w:val="bottom"/>
          </w:tcPr>
          <w:p>
            <w:pPr>
              <w:spacing w:after="0"/>
              <w:rPr>
                <w:sz w:val="1"/>
                <w:szCs w:val="1"/>
                <w:color w:val="auto"/>
              </w:rPr>
            </w:pPr>
          </w:p>
        </w:tc>
      </w:tr>
      <w:tr>
        <w:trPr>
          <w:trHeight w:val="216"/>
        </w:trPr>
        <w:tc>
          <w:tcPr>
            <w:tcW w:w="15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0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60" w:type="dxa"/>
            <w:vAlign w:val="bottom"/>
          </w:tcPr>
          <w:p>
            <w:pPr>
              <w:spacing w:after="0"/>
              <w:rPr>
                <w:sz w:val="18"/>
                <w:szCs w:val="18"/>
                <w:color w:val="auto"/>
              </w:rPr>
            </w:pPr>
          </w:p>
        </w:tc>
        <w:tc>
          <w:tcPr>
            <w:tcW w:w="2280" w:type="dxa"/>
            <w:vAlign w:val="bottom"/>
            <w:gridSpan w:val="2"/>
          </w:tcPr>
          <w:p>
            <w:pPr>
              <w:ind w:left="220"/>
              <w:spacing w:after="0"/>
              <w:rPr>
                <w:sz w:val="20"/>
                <w:szCs w:val="20"/>
                <w:color w:val="auto"/>
              </w:rPr>
            </w:pPr>
            <w:r>
              <w:rPr>
                <w:rFonts w:ascii="Arial" w:cs="Arial" w:eastAsia="Arial" w:hAnsi="Arial"/>
                <w:sz w:val="18"/>
                <w:szCs w:val="18"/>
                <w:color w:val="auto"/>
                <w:w w:val="94"/>
              </w:rPr>
              <w:t>Holdings, Inc. from 2006 to</w:t>
            </w:r>
          </w:p>
        </w:tc>
        <w:tc>
          <w:tcPr>
            <w:tcW w:w="0" w:type="dxa"/>
            <w:vAlign w:val="bottom"/>
          </w:tcPr>
          <w:p>
            <w:pPr>
              <w:spacing w:after="0"/>
              <w:rPr>
                <w:sz w:val="1"/>
                <w:szCs w:val="1"/>
                <w:color w:val="auto"/>
              </w:rPr>
            </w:pPr>
          </w:p>
        </w:tc>
      </w:tr>
      <w:tr>
        <w:trPr>
          <w:trHeight w:val="216"/>
        </w:trPr>
        <w:tc>
          <w:tcPr>
            <w:tcW w:w="15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0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60" w:type="dxa"/>
            <w:vAlign w:val="bottom"/>
          </w:tcPr>
          <w:p>
            <w:pPr>
              <w:spacing w:after="0"/>
              <w:rPr>
                <w:sz w:val="18"/>
                <w:szCs w:val="18"/>
                <w:color w:val="auto"/>
              </w:rPr>
            </w:pPr>
          </w:p>
        </w:tc>
        <w:tc>
          <w:tcPr>
            <w:tcW w:w="2280" w:type="dxa"/>
            <w:vAlign w:val="bottom"/>
            <w:gridSpan w:val="2"/>
          </w:tcPr>
          <w:p>
            <w:pPr>
              <w:ind w:left="220"/>
              <w:spacing w:after="0"/>
              <w:rPr>
                <w:sz w:val="20"/>
                <w:szCs w:val="20"/>
                <w:color w:val="auto"/>
              </w:rPr>
            </w:pPr>
            <w:r>
              <w:rPr>
                <w:rFonts w:ascii="Arial" w:cs="Arial" w:eastAsia="Arial" w:hAnsi="Arial"/>
                <w:sz w:val="18"/>
                <w:szCs w:val="18"/>
                <w:color w:val="auto"/>
                <w:w w:val="94"/>
              </w:rPr>
              <w:t>2007. Prior to that position,</w:t>
            </w:r>
          </w:p>
        </w:tc>
        <w:tc>
          <w:tcPr>
            <w:tcW w:w="0" w:type="dxa"/>
            <w:vAlign w:val="bottom"/>
          </w:tcPr>
          <w:p>
            <w:pPr>
              <w:spacing w:after="0"/>
              <w:rPr>
                <w:sz w:val="1"/>
                <w:szCs w:val="1"/>
                <w:color w:val="auto"/>
              </w:rPr>
            </w:pPr>
          </w:p>
        </w:tc>
      </w:tr>
      <w:tr>
        <w:trPr>
          <w:trHeight w:val="216"/>
        </w:trPr>
        <w:tc>
          <w:tcPr>
            <w:tcW w:w="15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0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60" w:type="dxa"/>
            <w:vAlign w:val="bottom"/>
          </w:tcPr>
          <w:p>
            <w:pPr>
              <w:spacing w:after="0"/>
              <w:rPr>
                <w:sz w:val="18"/>
                <w:szCs w:val="18"/>
                <w:color w:val="auto"/>
              </w:rPr>
            </w:pPr>
          </w:p>
        </w:tc>
        <w:tc>
          <w:tcPr>
            <w:tcW w:w="2280" w:type="dxa"/>
            <w:vAlign w:val="bottom"/>
            <w:gridSpan w:val="2"/>
          </w:tcPr>
          <w:p>
            <w:pPr>
              <w:ind w:left="220"/>
              <w:spacing w:after="0"/>
              <w:rPr>
                <w:sz w:val="20"/>
                <w:szCs w:val="20"/>
                <w:color w:val="auto"/>
              </w:rPr>
            </w:pPr>
            <w:r>
              <w:rPr>
                <w:rFonts w:ascii="Arial" w:cs="Arial" w:eastAsia="Arial" w:hAnsi="Arial"/>
                <w:sz w:val="18"/>
                <w:szCs w:val="18"/>
                <w:color w:val="auto"/>
                <w:w w:val="91"/>
              </w:rPr>
              <w:t>Mr. Katz was Chairman and</w:t>
            </w:r>
          </w:p>
        </w:tc>
        <w:tc>
          <w:tcPr>
            <w:tcW w:w="0" w:type="dxa"/>
            <w:vAlign w:val="bottom"/>
          </w:tcPr>
          <w:p>
            <w:pPr>
              <w:spacing w:after="0"/>
              <w:rPr>
                <w:sz w:val="1"/>
                <w:szCs w:val="1"/>
                <w:color w:val="auto"/>
              </w:rPr>
            </w:pPr>
          </w:p>
        </w:tc>
      </w:tr>
      <w:tr>
        <w:trPr>
          <w:trHeight w:val="216"/>
        </w:trPr>
        <w:tc>
          <w:tcPr>
            <w:tcW w:w="15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0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60" w:type="dxa"/>
            <w:vAlign w:val="bottom"/>
          </w:tcPr>
          <w:p>
            <w:pPr>
              <w:spacing w:after="0"/>
              <w:rPr>
                <w:sz w:val="18"/>
                <w:szCs w:val="18"/>
                <w:color w:val="auto"/>
              </w:rPr>
            </w:pPr>
          </w:p>
        </w:tc>
        <w:tc>
          <w:tcPr>
            <w:tcW w:w="2280" w:type="dxa"/>
            <w:vAlign w:val="bottom"/>
            <w:gridSpan w:val="2"/>
          </w:tcPr>
          <w:p>
            <w:pPr>
              <w:ind w:left="220"/>
              <w:spacing w:after="0"/>
              <w:rPr>
                <w:sz w:val="20"/>
                <w:szCs w:val="20"/>
                <w:color w:val="auto"/>
              </w:rPr>
            </w:pPr>
            <w:r>
              <w:rPr>
                <w:rFonts w:ascii="Arial" w:cs="Arial" w:eastAsia="Arial" w:hAnsi="Arial"/>
                <w:sz w:val="18"/>
                <w:szCs w:val="18"/>
                <w:color w:val="auto"/>
              </w:rPr>
              <w:t>Chief Executive Officer of</w:t>
            </w:r>
          </w:p>
        </w:tc>
        <w:tc>
          <w:tcPr>
            <w:tcW w:w="0" w:type="dxa"/>
            <w:vAlign w:val="bottom"/>
          </w:tcPr>
          <w:p>
            <w:pPr>
              <w:spacing w:after="0"/>
              <w:rPr>
                <w:sz w:val="1"/>
                <w:szCs w:val="1"/>
                <w:color w:val="auto"/>
              </w:rPr>
            </w:pPr>
          </w:p>
        </w:tc>
      </w:tr>
      <w:tr>
        <w:trPr>
          <w:trHeight w:val="216"/>
        </w:trPr>
        <w:tc>
          <w:tcPr>
            <w:tcW w:w="15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0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60" w:type="dxa"/>
            <w:vAlign w:val="bottom"/>
          </w:tcPr>
          <w:p>
            <w:pPr>
              <w:spacing w:after="0"/>
              <w:rPr>
                <w:sz w:val="18"/>
                <w:szCs w:val="18"/>
                <w:color w:val="auto"/>
              </w:rPr>
            </w:pPr>
          </w:p>
        </w:tc>
        <w:tc>
          <w:tcPr>
            <w:tcW w:w="2280" w:type="dxa"/>
            <w:vAlign w:val="bottom"/>
            <w:gridSpan w:val="2"/>
          </w:tcPr>
          <w:p>
            <w:pPr>
              <w:ind w:left="220"/>
              <w:spacing w:after="0"/>
              <w:rPr>
                <w:sz w:val="20"/>
                <w:szCs w:val="20"/>
                <w:color w:val="auto"/>
              </w:rPr>
            </w:pPr>
            <w:r>
              <w:rPr>
                <w:rFonts w:ascii="Arial" w:cs="Arial" w:eastAsia="Arial" w:hAnsi="Arial"/>
                <w:sz w:val="18"/>
                <w:szCs w:val="18"/>
                <w:color w:val="auto"/>
              </w:rPr>
              <w:t>the Cendant Travel</w:t>
            </w:r>
          </w:p>
        </w:tc>
        <w:tc>
          <w:tcPr>
            <w:tcW w:w="0" w:type="dxa"/>
            <w:vAlign w:val="bottom"/>
          </w:tcPr>
          <w:p>
            <w:pPr>
              <w:spacing w:after="0"/>
              <w:rPr>
                <w:sz w:val="1"/>
                <w:szCs w:val="1"/>
                <w:color w:val="auto"/>
              </w:rPr>
            </w:pPr>
          </w:p>
        </w:tc>
      </w:tr>
      <w:tr>
        <w:trPr>
          <w:trHeight w:val="216"/>
        </w:trPr>
        <w:tc>
          <w:tcPr>
            <w:tcW w:w="15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0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60" w:type="dxa"/>
            <w:vAlign w:val="bottom"/>
          </w:tcPr>
          <w:p>
            <w:pPr>
              <w:spacing w:after="0"/>
              <w:rPr>
                <w:sz w:val="18"/>
                <w:szCs w:val="18"/>
                <w:color w:val="auto"/>
              </w:rPr>
            </w:pPr>
          </w:p>
        </w:tc>
        <w:tc>
          <w:tcPr>
            <w:tcW w:w="2280" w:type="dxa"/>
            <w:vAlign w:val="bottom"/>
            <w:gridSpan w:val="2"/>
          </w:tcPr>
          <w:p>
            <w:pPr>
              <w:ind w:left="220"/>
              <w:spacing w:after="0"/>
              <w:rPr>
                <w:sz w:val="20"/>
                <w:szCs w:val="20"/>
                <w:color w:val="auto"/>
              </w:rPr>
            </w:pPr>
            <w:r>
              <w:rPr>
                <w:rFonts w:ascii="Arial" w:cs="Arial" w:eastAsia="Arial" w:hAnsi="Arial"/>
                <w:sz w:val="18"/>
                <w:szCs w:val="18"/>
                <w:color w:val="auto"/>
              </w:rPr>
              <w:t>Distribution Services</w:t>
            </w:r>
          </w:p>
        </w:tc>
        <w:tc>
          <w:tcPr>
            <w:tcW w:w="0" w:type="dxa"/>
            <w:vAlign w:val="bottom"/>
          </w:tcPr>
          <w:p>
            <w:pPr>
              <w:spacing w:after="0"/>
              <w:rPr>
                <w:sz w:val="1"/>
                <w:szCs w:val="1"/>
                <w:color w:val="auto"/>
              </w:rPr>
            </w:pPr>
          </w:p>
        </w:tc>
      </w:tr>
      <w:tr>
        <w:trPr>
          <w:trHeight w:val="222"/>
        </w:trPr>
        <w:tc>
          <w:tcPr>
            <w:tcW w:w="158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20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060" w:type="dxa"/>
            <w:vAlign w:val="bottom"/>
          </w:tcPr>
          <w:p>
            <w:pPr>
              <w:spacing w:after="0"/>
              <w:rPr>
                <w:sz w:val="19"/>
                <w:szCs w:val="19"/>
                <w:color w:val="auto"/>
              </w:rPr>
            </w:pPr>
          </w:p>
        </w:tc>
        <w:tc>
          <w:tcPr>
            <w:tcW w:w="2280" w:type="dxa"/>
            <w:vAlign w:val="bottom"/>
            <w:gridSpan w:val="2"/>
          </w:tcPr>
          <w:p>
            <w:pPr>
              <w:ind w:left="220"/>
              <w:spacing w:after="0"/>
              <w:rPr>
                <w:sz w:val="20"/>
                <w:szCs w:val="20"/>
                <w:color w:val="auto"/>
              </w:rPr>
            </w:pPr>
            <w:r>
              <w:rPr>
                <w:rFonts w:ascii="Arial" w:cs="Arial" w:eastAsia="Arial" w:hAnsi="Arial"/>
                <w:sz w:val="18"/>
                <w:szCs w:val="18"/>
                <w:color w:val="auto"/>
                <w:w w:val="93"/>
              </w:rPr>
              <w:t>Division from 2001 to 2005.</w:t>
            </w:r>
          </w:p>
        </w:tc>
        <w:tc>
          <w:tcPr>
            <w:tcW w:w="0" w:type="dxa"/>
            <w:vAlign w:val="bottom"/>
          </w:tcPr>
          <w:p>
            <w:pPr>
              <w:spacing w:after="0"/>
              <w:rPr>
                <w:sz w:val="1"/>
                <w:szCs w:val="1"/>
                <w:color w:val="auto"/>
              </w:rPr>
            </w:pPr>
          </w:p>
        </w:tc>
      </w:tr>
      <w:tr>
        <w:trPr>
          <w:trHeight w:val="365"/>
        </w:trPr>
        <w:tc>
          <w:tcPr>
            <w:tcW w:w="15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2060" w:type="dxa"/>
            <w:vAlign w:val="bottom"/>
          </w:tcPr>
          <w:p>
            <w:pPr>
              <w:spacing w:after="0"/>
              <w:rPr>
                <w:sz w:val="24"/>
                <w:szCs w:val="24"/>
                <w:color w:val="auto"/>
              </w:rPr>
            </w:pPr>
          </w:p>
        </w:tc>
        <w:tc>
          <w:tcPr>
            <w:tcW w:w="2300" w:type="dxa"/>
            <w:vAlign w:val="bottom"/>
            <w:gridSpan w:val="2"/>
          </w:tcPr>
          <w:p>
            <w:pPr>
              <w:ind w:left="980"/>
              <w:spacing w:after="0"/>
              <w:rPr>
                <w:sz w:val="20"/>
                <w:szCs w:val="20"/>
                <w:color w:val="auto"/>
              </w:rPr>
            </w:pPr>
            <w:r>
              <w:rPr>
                <w:rFonts w:ascii="Arial" w:cs="Arial" w:eastAsia="Arial" w:hAnsi="Arial"/>
                <w:sz w:val="18"/>
                <w:szCs w:val="18"/>
                <w:color w:val="auto"/>
              </w:rPr>
              <w:t>8</w:t>
            </w:r>
          </w:p>
        </w:tc>
        <w:tc>
          <w:tcPr>
            <w:tcW w:w="220" w:type="dxa"/>
            <w:vAlign w:val="bottom"/>
          </w:tcPr>
          <w:p>
            <w:pPr>
              <w:spacing w:after="0"/>
              <w:rPr>
                <w:sz w:val="24"/>
                <w:szCs w:val="24"/>
                <w:color w:val="auto"/>
              </w:rPr>
            </w:pPr>
          </w:p>
        </w:tc>
        <w:tc>
          <w:tcPr>
            <w:tcW w:w="20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br w:type="column"/>
      </w:r>
    </w:p>
    <w:p>
      <w:pPr>
        <w:spacing w:after="0" w:line="394"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Other</w:t>
      </w:r>
    </w:p>
    <w:p>
      <w:pPr>
        <w:jc w:val="center"/>
        <w:spacing w:after="0" w:line="223" w:lineRule="auto"/>
        <w:rPr>
          <w:sz w:val="20"/>
          <w:szCs w:val="20"/>
          <w:color w:val="auto"/>
        </w:rPr>
      </w:pPr>
      <w:r>
        <w:rPr>
          <w:rFonts w:ascii="Arial" w:cs="Arial" w:eastAsia="Arial" w:hAnsi="Arial"/>
          <w:sz w:val="14"/>
          <w:szCs w:val="14"/>
          <w:b w:val="1"/>
          <w:bCs w:val="1"/>
          <w:color w:val="auto"/>
        </w:rPr>
        <w:t>Directorships</w:t>
      </w:r>
    </w:p>
    <w:p>
      <w:pPr>
        <w:spacing w:after="0" w:line="1" w:lineRule="exact"/>
        <w:rPr>
          <w:sz w:val="20"/>
          <w:szCs w:val="20"/>
          <w:color w:val="auto"/>
        </w:rPr>
      </w:pPr>
    </w:p>
    <w:p>
      <w:pPr>
        <w:jc w:val="center"/>
        <w:spacing w:after="0" w:line="283" w:lineRule="auto"/>
        <w:rPr>
          <w:sz w:val="20"/>
          <w:szCs w:val="20"/>
          <w:color w:val="auto"/>
        </w:rPr>
      </w:pPr>
      <w:r>
        <w:rPr>
          <w:rFonts w:ascii="Arial" w:cs="Arial" w:eastAsia="Arial" w:hAnsi="Arial"/>
          <w:sz w:val="12"/>
          <w:szCs w:val="12"/>
          <w:b w:val="1"/>
          <w:bCs w:val="1"/>
          <w:color w:val="auto"/>
        </w:rPr>
        <w:t>Held by Director or Nominee for Director</w:t>
      </w:r>
      <w:r>
        <w:rPr>
          <w:rFonts w:ascii="Arial" w:cs="Arial" w:eastAsia="Arial" w:hAnsi="Arial"/>
          <w:sz w:val="19"/>
          <w:szCs w:val="19"/>
          <w:b w:val="1"/>
          <w:bCs w:val="1"/>
          <w:color w:val="auto"/>
          <w:vertAlign w:val="superscript"/>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-298450</wp:posOffset>
            </wp:positionH>
            <wp:positionV relativeFrom="paragraph">
              <wp:posOffset>-78740</wp:posOffset>
            </wp:positionV>
            <wp:extent cx="1226185" cy="88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1226185" cy="8890"/>
                    </a:xfrm>
                    <a:prstGeom prst="rect">
                      <a:avLst/>
                    </a:prstGeom>
                    <a:noFill/>
                  </pic:spPr>
                </pic:pic>
              </a:graphicData>
            </a:graphic>
          </wp:anchor>
        </w:drawing>
      </w:r>
    </w:p>
    <w:p>
      <w:pPr>
        <w:sectPr>
          <w:pgSz w:w="11900" w:h="16838" w:orient="portrait"/>
          <w:cols w:equalWidth="0" w:num="2">
            <w:col w:w="9280" w:space="680"/>
            <w:col w:w="980"/>
          </w:cols>
          <w:pgMar w:left="240" w:top="280" w:right="719" w:bottom="1440" w:gutter="0" w:footer="0" w:header="0"/>
        </w:sectPr>
      </w:pPr>
    </w:p>
    <w:bookmarkStart w:id="11" w:name="page12"/>
    <w:bookmarkEnd w:id="11"/>
    <w:p>
      <w:pPr>
        <w:spacing w:after="0"/>
        <w:rPr>
          <w:sz w:val="20"/>
          <w:szCs w:val="20"/>
          <w:color w:val="auto"/>
        </w:rPr>
      </w:pPr>
      <w:r>
        <w:rPr>
          <w:rFonts w:ascii="Arial" w:cs="Arial" w:eastAsia="Arial" w:hAnsi="Arial"/>
          <w:sz w:val="18"/>
          <w:szCs w:val="18"/>
          <w:b w:val="1"/>
          <w:bCs w:val="1"/>
          <w:i w:val="1"/>
          <w:i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 xml:space="preserve">Class II Directors </w:t>
      </w:r>
      <w:r>
        <w:rPr>
          <w:rFonts w:ascii="Arial" w:cs="Arial" w:eastAsia="Arial" w:hAnsi="Arial"/>
          <w:sz w:val="18"/>
          <w:szCs w:val="18"/>
          <w:i w:val="1"/>
          <w:iCs w:val="1"/>
          <w:color w:val="auto"/>
        </w:rPr>
        <w:t>(continuing directors not up for re-election at the Meeting)</w:t>
      </w:r>
    </w:p>
    <w:p>
      <w:pPr>
        <w:spacing w:after="0" w:line="19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580" w:type="dxa"/>
            <w:vAlign w:val="bottom"/>
          </w:tcPr>
          <w:p>
            <w:pPr>
              <w:spacing w:after="0"/>
              <w:rPr>
                <w:sz w:val="14"/>
                <w:szCs w:val="14"/>
                <w:color w:val="auto"/>
              </w:rPr>
            </w:pPr>
          </w:p>
        </w:tc>
        <w:tc>
          <w:tcPr>
            <w:tcW w:w="176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8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60" w:type="dxa"/>
            <w:vAlign w:val="bottom"/>
          </w:tcPr>
          <w:p>
            <w:pPr>
              <w:jc w:val="center"/>
              <w:spacing w:after="0"/>
              <w:rPr>
                <w:sz w:val="20"/>
                <w:szCs w:val="20"/>
                <w:color w:val="auto"/>
              </w:rPr>
            </w:pPr>
            <w:r>
              <w:rPr>
                <w:rFonts w:ascii="Arial" w:cs="Arial" w:eastAsia="Arial" w:hAnsi="Arial"/>
                <w:sz w:val="14"/>
                <w:szCs w:val="14"/>
                <w:b w:val="1"/>
                <w:bCs w:val="1"/>
                <w:color w:val="auto"/>
                <w:w w:val="90"/>
              </w:rPr>
              <w:t>Other</w:t>
            </w:r>
          </w:p>
        </w:tc>
      </w:tr>
      <w:tr>
        <w:trPr>
          <w:trHeight w:val="149"/>
        </w:trPr>
        <w:tc>
          <w:tcPr>
            <w:tcW w:w="1580" w:type="dxa"/>
            <w:vAlign w:val="bottom"/>
          </w:tcPr>
          <w:p>
            <w:pPr>
              <w:spacing w:after="0"/>
              <w:rPr>
                <w:sz w:val="12"/>
                <w:szCs w:val="12"/>
                <w:color w:val="auto"/>
              </w:rPr>
            </w:pPr>
          </w:p>
        </w:tc>
        <w:tc>
          <w:tcPr>
            <w:tcW w:w="176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8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1"/>
              </w:rPr>
              <w:t>Principal</w:t>
            </w:r>
          </w:p>
        </w:tc>
        <w:tc>
          <w:tcPr>
            <w:tcW w:w="100" w:type="dxa"/>
            <w:vAlign w:val="bottom"/>
          </w:tcPr>
          <w:p>
            <w:pPr>
              <w:spacing w:after="0"/>
              <w:rPr>
                <w:sz w:val="12"/>
                <w:szCs w:val="12"/>
                <w:color w:val="auto"/>
              </w:rPr>
            </w:pPr>
          </w:p>
        </w:tc>
        <w:tc>
          <w:tcPr>
            <w:tcW w:w="20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6"/>
              </w:rPr>
              <w:t>Directorships</w:t>
            </w:r>
          </w:p>
        </w:tc>
      </w:tr>
      <w:tr>
        <w:trPr>
          <w:trHeight w:val="149"/>
        </w:trPr>
        <w:tc>
          <w:tcPr>
            <w:tcW w:w="1580" w:type="dxa"/>
            <w:vAlign w:val="bottom"/>
          </w:tcPr>
          <w:p>
            <w:pPr>
              <w:spacing w:after="0"/>
              <w:rPr>
                <w:sz w:val="12"/>
                <w:szCs w:val="12"/>
                <w:color w:val="auto"/>
              </w:rPr>
            </w:pPr>
          </w:p>
        </w:tc>
        <w:tc>
          <w:tcPr>
            <w:tcW w:w="176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8"/>
              </w:rPr>
              <w:t>Term of Office</w:t>
            </w:r>
          </w:p>
        </w:tc>
        <w:tc>
          <w:tcPr>
            <w:tcW w:w="100" w:type="dxa"/>
            <w:vAlign w:val="bottom"/>
          </w:tcPr>
          <w:p>
            <w:pPr>
              <w:spacing w:after="0"/>
              <w:rPr>
                <w:sz w:val="12"/>
                <w:szCs w:val="12"/>
                <w:color w:val="auto"/>
              </w:rPr>
            </w:pPr>
          </w:p>
        </w:tc>
        <w:tc>
          <w:tcPr>
            <w:tcW w:w="28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7"/>
              </w:rPr>
              <w:t>Occupation(s)</w:t>
            </w:r>
          </w:p>
        </w:tc>
        <w:tc>
          <w:tcPr>
            <w:tcW w:w="100" w:type="dxa"/>
            <w:vAlign w:val="bottom"/>
          </w:tcPr>
          <w:p>
            <w:pPr>
              <w:spacing w:after="0"/>
              <w:rPr>
                <w:sz w:val="12"/>
                <w:szCs w:val="12"/>
                <w:color w:val="auto"/>
              </w:rPr>
            </w:pPr>
          </w:p>
        </w:tc>
        <w:tc>
          <w:tcPr>
            <w:tcW w:w="20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0"/>
              </w:rPr>
              <w:t>Held by Director</w:t>
            </w:r>
          </w:p>
        </w:tc>
      </w:tr>
      <w:tr>
        <w:trPr>
          <w:trHeight w:val="134"/>
        </w:trPr>
        <w:tc>
          <w:tcPr>
            <w:tcW w:w="1580" w:type="dxa"/>
            <w:vAlign w:val="bottom"/>
          </w:tcPr>
          <w:p>
            <w:pPr>
              <w:spacing w:after="0"/>
              <w:rPr>
                <w:sz w:val="11"/>
                <w:szCs w:val="11"/>
                <w:color w:val="auto"/>
              </w:rPr>
            </w:pPr>
          </w:p>
        </w:tc>
        <w:tc>
          <w:tcPr>
            <w:tcW w:w="1760" w:type="dxa"/>
            <w:vAlign w:val="bottom"/>
          </w:tcPr>
          <w:p>
            <w:pPr>
              <w:spacing w:after="0"/>
              <w:rPr>
                <w:sz w:val="11"/>
                <w:szCs w:val="11"/>
                <w:color w:val="auto"/>
              </w:rPr>
            </w:pPr>
          </w:p>
        </w:tc>
        <w:tc>
          <w:tcPr>
            <w:tcW w:w="1240" w:type="dxa"/>
            <w:vAlign w:val="bottom"/>
          </w:tcPr>
          <w:p>
            <w:pPr>
              <w:ind w:left="180"/>
              <w:spacing w:after="0" w:line="135" w:lineRule="exact"/>
              <w:rPr>
                <w:sz w:val="20"/>
                <w:szCs w:val="20"/>
                <w:color w:val="auto"/>
              </w:rPr>
            </w:pPr>
            <w:r>
              <w:rPr>
                <w:rFonts w:ascii="Arial" w:cs="Arial" w:eastAsia="Arial" w:hAnsi="Arial"/>
                <w:sz w:val="14"/>
                <w:szCs w:val="14"/>
                <w:b w:val="1"/>
                <w:bCs w:val="1"/>
                <w:color w:val="auto"/>
                <w:w w:val="98"/>
              </w:rPr>
              <w:t>Position(s) held</w:t>
            </w:r>
          </w:p>
        </w:tc>
        <w:tc>
          <w:tcPr>
            <w:tcW w:w="120" w:type="dxa"/>
            <w:vAlign w:val="bottom"/>
          </w:tcPr>
          <w:p>
            <w:pPr>
              <w:spacing w:after="0"/>
              <w:rPr>
                <w:sz w:val="11"/>
                <w:szCs w:val="11"/>
                <w:color w:val="auto"/>
              </w:rPr>
            </w:pPr>
          </w:p>
        </w:tc>
        <w:tc>
          <w:tcPr>
            <w:tcW w:w="1600" w:type="dxa"/>
            <w:vAlign w:val="bottom"/>
          </w:tcPr>
          <w:p>
            <w:pPr>
              <w:jc w:val="center"/>
              <w:spacing w:after="0" w:line="135" w:lineRule="exact"/>
              <w:rPr>
                <w:sz w:val="20"/>
                <w:szCs w:val="20"/>
                <w:color w:val="auto"/>
              </w:rPr>
            </w:pPr>
            <w:r>
              <w:rPr>
                <w:rFonts w:ascii="Arial" w:cs="Arial" w:eastAsia="Arial" w:hAnsi="Arial"/>
                <w:sz w:val="14"/>
                <w:szCs w:val="14"/>
                <w:b w:val="1"/>
                <w:bCs w:val="1"/>
                <w:color w:val="auto"/>
                <w:w w:val="88"/>
              </w:rPr>
              <w:t>and Length of</w:t>
            </w:r>
          </w:p>
        </w:tc>
        <w:tc>
          <w:tcPr>
            <w:tcW w:w="100" w:type="dxa"/>
            <w:vAlign w:val="bottom"/>
          </w:tcPr>
          <w:p>
            <w:pPr>
              <w:spacing w:after="0"/>
              <w:rPr>
                <w:sz w:val="11"/>
                <w:szCs w:val="11"/>
                <w:color w:val="auto"/>
              </w:rPr>
            </w:pPr>
          </w:p>
        </w:tc>
        <w:tc>
          <w:tcPr>
            <w:tcW w:w="2860" w:type="dxa"/>
            <w:vAlign w:val="bottom"/>
          </w:tcPr>
          <w:p>
            <w:pPr>
              <w:jc w:val="center"/>
              <w:spacing w:after="0" w:line="135" w:lineRule="exact"/>
              <w:rPr>
                <w:sz w:val="20"/>
                <w:szCs w:val="20"/>
                <w:color w:val="auto"/>
              </w:rPr>
            </w:pPr>
            <w:r>
              <w:rPr>
                <w:rFonts w:ascii="Arial" w:cs="Arial" w:eastAsia="Arial" w:hAnsi="Arial"/>
                <w:sz w:val="14"/>
                <w:szCs w:val="14"/>
                <w:b w:val="1"/>
                <w:bCs w:val="1"/>
                <w:color w:val="auto"/>
                <w:w w:val="88"/>
              </w:rPr>
              <w:t>During the Past 5</w:t>
            </w:r>
          </w:p>
        </w:tc>
        <w:tc>
          <w:tcPr>
            <w:tcW w:w="100" w:type="dxa"/>
            <w:vAlign w:val="bottom"/>
          </w:tcPr>
          <w:p>
            <w:pPr>
              <w:spacing w:after="0"/>
              <w:rPr>
                <w:sz w:val="11"/>
                <w:szCs w:val="11"/>
                <w:color w:val="auto"/>
              </w:rPr>
            </w:pPr>
          </w:p>
        </w:tc>
        <w:tc>
          <w:tcPr>
            <w:tcW w:w="2060" w:type="dxa"/>
            <w:vAlign w:val="bottom"/>
          </w:tcPr>
          <w:p>
            <w:pPr>
              <w:jc w:val="center"/>
              <w:spacing w:after="0" w:line="135" w:lineRule="exact"/>
              <w:rPr>
                <w:sz w:val="20"/>
                <w:szCs w:val="20"/>
                <w:color w:val="auto"/>
              </w:rPr>
            </w:pPr>
            <w:r>
              <w:rPr>
                <w:rFonts w:ascii="Arial" w:cs="Arial" w:eastAsia="Arial" w:hAnsi="Arial"/>
                <w:sz w:val="14"/>
                <w:szCs w:val="14"/>
                <w:b w:val="1"/>
                <w:bCs w:val="1"/>
                <w:color w:val="auto"/>
                <w:w w:val="88"/>
              </w:rPr>
              <w:t>or Nominee for</w:t>
            </w:r>
          </w:p>
        </w:tc>
      </w:tr>
      <w:tr>
        <w:trPr>
          <w:trHeight w:val="189"/>
        </w:trPr>
        <w:tc>
          <w:tcPr>
            <w:tcW w:w="3340" w:type="dxa"/>
            <w:vAlign w:val="bottom"/>
            <w:gridSpan w:val="2"/>
          </w:tcPr>
          <w:p>
            <w:pPr>
              <w:spacing w:after="0" w:line="189" w:lineRule="exact"/>
              <w:rPr>
                <w:sz w:val="20"/>
                <w:szCs w:val="20"/>
                <w:color w:val="auto"/>
              </w:rPr>
            </w:pPr>
            <w:r>
              <w:rPr>
                <w:rFonts w:ascii="Arial" w:cs="Arial" w:eastAsia="Arial" w:hAnsi="Arial"/>
                <w:sz w:val="13"/>
                <w:szCs w:val="13"/>
                <w:b w:val="1"/>
                <w:bCs w:val="1"/>
                <w:color w:val="auto"/>
              </w:rPr>
              <w:t>Name, Address and Age</w:t>
            </w:r>
            <w:r>
              <w:rPr>
                <w:rFonts w:ascii="Arial" w:cs="Arial" w:eastAsia="Arial" w:hAnsi="Arial"/>
                <w:sz w:val="21"/>
                <w:szCs w:val="21"/>
                <w:b w:val="1"/>
                <w:bCs w:val="1"/>
                <w:color w:val="auto"/>
                <w:vertAlign w:val="superscript"/>
              </w:rPr>
              <w:t>(1)</w:t>
            </w:r>
          </w:p>
        </w:tc>
        <w:tc>
          <w:tcPr>
            <w:tcW w:w="1240" w:type="dxa"/>
            <w:vAlign w:val="bottom"/>
          </w:tcPr>
          <w:p>
            <w:pPr>
              <w:ind w:left="200"/>
              <w:spacing w:after="0"/>
              <w:rPr>
                <w:sz w:val="20"/>
                <w:szCs w:val="20"/>
                <w:color w:val="auto"/>
              </w:rPr>
            </w:pPr>
            <w:r>
              <w:rPr>
                <w:rFonts w:ascii="Arial" w:cs="Arial" w:eastAsia="Arial" w:hAnsi="Arial"/>
                <w:sz w:val="14"/>
                <w:szCs w:val="14"/>
                <w:b w:val="1"/>
                <w:bCs w:val="1"/>
                <w:color w:val="auto"/>
              </w:rPr>
              <w:t>with Company</w:t>
            </w:r>
          </w:p>
        </w:tc>
        <w:tc>
          <w:tcPr>
            <w:tcW w:w="120" w:type="dxa"/>
            <w:vAlign w:val="bottom"/>
          </w:tcPr>
          <w:p>
            <w:pPr>
              <w:spacing w:after="0"/>
              <w:rPr>
                <w:sz w:val="16"/>
                <w:szCs w:val="16"/>
                <w:color w:val="auto"/>
              </w:rPr>
            </w:pPr>
          </w:p>
        </w:tc>
        <w:tc>
          <w:tcPr>
            <w:tcW w:w="1600" w:type="dxa"/>
            <w:vAlign w:val="bottom"/>
          </w:tcPr>
          <w:p>
            <w:pPr>
              <w:jc w:val="center"/>
              <w:spacing w:after="0"/>
              <w:rPr>
                <w:sz w:val="20"/>
                <w:szCs w:val="20"/>
                <w:color w:val="auto"/>
              </w:rPr>
            </w:pPr>
            <w:r>
              <w:rPr>
                <w:rFonts w:ascii="Arial" w:cs="Arial" w:eastAsia="Arial" w:hAnsi="Arial"/>
                <w:sz w:val="14"/>
                <w:szCs w:val="14"/>
                <w:b w:val="1"/>
                <w:bCs w:val="1"/>
                <w:color w:val="auto"/>
                <w:w w:val="86"/>
              </w:rPr>
              <w:t>Time Served</w:t>
            </w:r>
          </w:p>
        </w:tc>
        <w:tc>
          <w:tcPr>
            <w:tcW w:w="100" w:type="dxa"/>
            <w:vAlign w:val="bottom"/>
          </w:tcPr>
          <w:p>
            <w:pPr>
              <w:spacing w:after="0"/>
              <w:rPr>
                <w:sz w:val="16"/>
                <w:szCs w:val="16"/>
                <w:color w:val="auto"/>
              </w:rPr>
            </w:pPr>
          </w:p>
        </w:tc>
        <w:tc>
          <w:tcPr>
            <w:tcW w:w="2860" w:type="dxa"/>
            <w:vAlign w:val="bottom"/>
          </w:tcPr>
          <w:p>
            <w:pPr>
              <w:jc w:val="center"/>
              <w:spacing w:after="0"/>
              <w:rPr>
                <w:sz w:val="20"/>
                <w:szCs w:val="20"/>
                <w:color w:val="auto"/>
              </w:rPr>
            </w:pPr>
            <w:r>
              <w:rPr>
                <w:rFonts w:ascii="Arial" w:cs="Arial" w:eastAsia="Arial" w:hAnsi="Arial"/>
                <w:sz w:val="14"/>
                <w:szCs w:val="14"/>
                <w:b w:val="1"/>
                <w:bCs w:val="1"/>
                <w:color w:val="auto"/>
                <w:w w:val="83"/>
              </w:rPr>
              <w:t>Years</w:t>
            </w:r>
          </w:p>
        </w:tc>
        <w:tc>
          <w:tcPr>
            <w:tcW w:w="100" w:type="dxa"/>
            <w:vAlign w:val="bottom"/>
          </w:tcPr>
          <w:p>
            <w:pPr>
              <w:spacing w:after="0"/>
              <w:rPr>
                <w:sz w:val="16"/>
                <w:szCs w:val="16"/>
                <w:color w:val="auto"/>
              </w:rPr>
            </w:pPr>
          </w:p>
        </w:tc>
        <w:tc>
          <w:tcPr>
            <w:tcW w:w="2060" w:type="dxa"/>
            <w:vAlign w:val="bottom"/>
          </w:tcPr>
          <w:p>
            <w:pPr>
              <w:jc w:val="center"/>
              <w:spacing w:after="0" w:line="189" w:lineRule="exact"/>
              <w:rPr>
                <w:sz w:val="20"/>
                <w:szCs w:val="20"/>
                <w:color w:val="auto"/>
              </w:rPr>
            </w:pPr>
            <w:r>
              <w:rPr>
                <w:rFonts w:ascii="Arial" w:cs="Arial" w:eastAsia="Arial" w:hAnsi="Arial"/>
                <w:sz w:val="13"/>
                <w:szCs w:val="13"/>
                <w:b w:val="1"/>
                <w:bCs w:val="1"/>
                <w:color w:val="auto"/>
                <w:w w:val="92"/>
              </w:rPr>
              <w:t>Director</w:t>
            </w:r>
            <w:r>
              <w:rPr>
                <w:rFonts w:ascii="Arial" w:cs="Arial" w:eastAsia="Arial" w:hAnsi="Arial"/>
                <w:sz w:val="21"/>
                <w:szCs w:val="21"/>
                <w:b w:val="1"/>
                <w:bCs w:val="1"/>
                <w:color w:val="auto"/>
                <w:w w:val="92"/>
                <w:vertAlign w:val="superscript"/>
              </w:rPr>
              <w:t>(2)</w:t>
            </w:r>
          </w:p>
        </w:tc>
      </w:tr>
      <w:tr>
        <w:trPr>
          <w:trHeight w:val="222"/>
        </w:trPr>
        <w:tc>
          <w:tcPr>
            <w:tcW w:w="1580" w:type="dxa"/>
            <w:vAlign w:val="bottom"/>
            <w:tcBorders>
              <w:top w:val="single" w:sz="8" w:color="auto"/>
            </w:tcBorders>
          </w:tcPr>
          <w:p>
            <w:pPr>
              <w:spacing w:after="0"/>
              <w:rPr>
                <w:sz w:val="20"/>
                <w:szCs w:val="20"/>
                <w:color w:val="auto"/>
              </w:rPr>
            </w:pPr>
            <w:r>
              <w:rPr>
                <w:rFonts w:ascii="Arial" w:cs="Arial" w:eastAsia="Arial" w:hAnsi="Arial"/>
                <w:sz w:val="18"/>
                <w:szCs w:val="18"/>
                <w:b w:val="1"/>
                <w:bCs w:val="1"/>
                <w:color w:val="auto"/>
                <w:w w:val="81"/>
              </w:rPr>
              <w:t>Independent Directors</w:t>
            </w:r>
          </w:p>
        </w:tc>
        <w:tc>
          <w:tcPr>
            <w:tcW w:w="1760" w:type="dxa"/>
            <w:vAlign w:val="bottom"/>
          </w:tcPr>
          <w:p>
            <w:pPr>
              <w:spacing w:after="0"/>
              <w:rPr>
                <w:sz w:val="19"/>
                <w:szCs w:val="19"/>
                <w:color w:val="auto"/>
              </w:rPr>
            </w:pPr>
          </w:p>
        </w:tc>
        <w:tc>
          <w:tcPr>
            <w:tcW w:w="124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160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286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2060" w:type="dxa"/>
            <w:vAlign w:val="bottom"/>
            <w:tcBorders>
              <w:top w:val="single" w:sz="8" w:color="auto"/>
            </w:tcBorders>
          </w:tcPr>
          <w:p>
            <w:pPr>
              <w:spacing w:after="0"/>
              <w:rPr>
                <w:sz w:val="19"/>
                <w:szCs w:val="19"/>
                <w:color w:val="auto"/>
              </w:rPr>
            </w:pPr>
          </w:p>
        </w:tc>
      </w:tr>
      <w:tr>
        <w:trPr>
          <w:trHeight w:val="303"/>
        </w:trPr>
        <w:tc>
          <w:tcPr>
            <w:tcW w:w="3340" w:type="dxa"/>
            <w:vAlign w:val="bottom"/>
            <w:gridSpan w:val="2"/>
          </w:tcPr>
          <w:p>
            <w:pPr>
              <w:spacing w:after="0"/>
              <w:rPr>
                <w:sz w:val="20"/>
                <w:szCs w:val="20"/>
                <w:color w:val="auto"/>
              </w:rPr>
            </w:pPr>
            <w:r>
              <w:rPr>
                <w:rFonts w:ascii="Arial" w:cs="Arial" w:eastAsia="Arial" w:hAnsi="Arial"/>
                <w:sz w:val="18"/>
                <w:szCs w:val="18"/>
                <w:color w:val="auto"/>
              </w:rPr>
              <w:t>Adam K. Bernstein (46)</w:t>
            </w:r>
          </w:p>
        </w:tc>
        <w:tc>
          <w:tcPr>
            <w:tcW w:w="1240" w:type="dxa"/>
            <w:vAlign w:val="bottom"/>
          </w:tcPr>
          <w:p>
            <w:pPr>
              <w:spacing w:after="0"/>
              <w:rPr>
                <w:sz w:val="20"/>
                <w:szCs w:val="20"/>
                <w:color w:val="auto"/>
              </w:rPr>
            </w:pPr>
            <w:r>
              <w:rPr>
                <w:rFonts w:ascii="Arial" w:cs="Arial" w:eastAsia="Arial" w:hAnsi="Arial"/>
                <w:sz w:val="18"/>
                <w:szCs w:val="18"/>
                <w:color w:val="auto"/>
              </w:rPr>
              <w:t>Director</w:t>
            </w:r>
          </w:p>
        </w:tc>
        <w:tc>
          <w:tcPr>
            <w:tcW w:w="1720" w:type="dxa"/>
            <w:vAlign w:val="bottom"/>
            <w:gridSpan w:val="2"/>
          </w:tcPr>
          <w:p>
            <w:pPr>
              <w:ind w:left="120"/>
              <w:spacing w:after="0"/>
              <w:rPr>
                <w:sz w:val="20"/>
                <w:szCs w:val="20"/>
                <w:color w:val="auto"/>
              </w:rPr>
            </w:pPr>
            <w:r>
              <w:rPr>
                <w:rFonts w:ascii="Arial" w:cs="Arial" w:eastAsia="Arial" w:hAnsi="Arial"/>
                <w:sz w:val="18"/>
                <w:szCs w:val="18"/>
                <w:color w:val="auto"/>
              </w:rPr>
              <w:t>Class II Director</w:t>
            </w:r>
          </w:p>
        </w:tc>
        <w:tc>
          <w:tcPr>
            <w:tcW w:w="100" w:type="dxa"/>
            <w:vAlign w:val="bottom"/>
          </w:tcPr>
          <w:p>
            <w:pPr>
              <w:spacing w:after="0"/>
              <w:rPr>
                <w:sz w:val="24"/>
                <w:szCs w:val="24"/>
                <w:color w:val="auto"/>
              </w:rPr>
            </w:pPr>
          </w:p>
        </w:tc>
        <w:tc>
          <w:tcPr>
            <w:tcW w:w="2860" w:type="dxa"/>
            <w:vAlign w:val="bottom"/>
          </w:tcPr>
          <w:p>
            <w:pPr>
              <w:spacing w:after="0"/>
              <w:rPr>
                <w:sz w:val="20"/>
                <w:szCs w:val="20"/>
                <w:color w:val="auto"/>
              </w:rPr>
            </w:pPr>
            <w:r>
              <w:rPr>
                <w:rFonts w:ascii="Arial" w:cs="Arial" w:eastAsia="Arial" w:hAnsi="Arial"/>
                <w:sz w:val="18"/>
                <w:szCs w:val="18"/>
                <w:color w:val="auto"/>
                <w:w w:val="90"/>
              </w:rPr>
              <w:t>President of The Bernstein Companies,</w:t>
            </w:r>
          </w:p>
        </w:tc>
        <w:tc>
          <w:tcPr>
            <w:tcW w:w="100" w:type="dxa"/>
            <w:vAlign w:val="bottom"/>
          </w:tcPr>
          <w:p>
            <w:pPr>
              <w:spacing w:after="0"/>
              <w:rPr>
                <w:sz w:val="24"/>
                <w:szCs w:val="24"/>
                <w:color w:val="auto"/>
              </w:rPr>
            </w:pPr>
          </w:p>
        </w:tc>
        <w:tc>
          <w:tcPr>
            <w:tcW w:w="2060" w:type="dxa"/>
            <w:vAlign w:val="bottom"/>
          </w:tcPr>
          <w:p>
            <w:pPr>
              <w:spacing w:after="0"/>
              <w:rPr>
                <w:sz w:val="20"/>
                <w:szCs w:val="20"/>
                <w:color w:val="auto"/>
              </w:rPr>
            </w:pPr>
            <w:r>
              <w:rPr>
                <w:rFonts w:ascii="Arial" w:cs="Arial" w:eastAsia="Arial" w:hAnsi="Arial"/>
                <w:sz w:val="18"/>
                <w:szCs w:val="18"/>
                <w:color w:val="auto"/>
              </w:rPr>
              <w:t>President of the Mid-</w:t>
            </w:r>
          </w:p>
        </w:tc>
      </w:tr>
      <w:tr>
        <w:trPr>
          <w:trHeight w:val="216"/>
        </w:trPr>
        <w:tc>
          <w:tcPr>
            <w:tcW w:w="158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720" w:type="dxa"/>
            <w:vAlign w:val="bottom"/>
            <w:gridSpan w:val="2"/>
          </w:tcPr>
          <w:p>
            <w:pPr>
              <w:ind w:left="120"/>
              <w:spacing w:after="0"/>
              <w:rPr>
                <w:sz w:val="20"/>
                <w:szCs w:val="20"/>
                <w:color w:val="auto"/>
              </w:rPr>
            </w:pPr>
            <w:r>
              <w:rPr>
                <w:rFonts w:ascii="Arial" w:cs="Arial" w:eastAsia="Arial" w:hAnsi="Arial"/>
                <w:sz w:val="18"/>
                <w:szCs w:val="18"/>
                <w:color w:val="auto"/>
              </w:rPr>
              <w:t>since February</w:t>
            </w:r>
          </w:p>
        </w:tc>
        <w:tc>
          <w:tcPr>
            <w:tcW w:w="100" w:type="dxa"/>
            <w:vAlign w:val="bottom"/>
          </w:tcPr>
          <w:p>
            <w:pPr>
              <w:spacing w:after="0"/>
              <w:rPr>
                <w:sz w:val="18"/>
                <w:szCs w:val="18"/>
                <w:color w:val="auto"/>
              </w:rPr>
            </w:pPr>
          </w:p>
        </w:tc>
        <w:tc>
          <w:tcPr>
            <w:tcW w:w="2860" w:type="dxa"/>
            <w:vAlign w:val="bottom"/>
          </w:tcPr>
          <w:p>
            <w:pPr>
              <w:spacing w:after="0"/>
              <w:rPr>
                <w:sz w:val="20"/>
                <w:szCs w:val="20"/>
                <w:color w:val="auto"/>
              </w:rPr>
            </w:pPr>
            <w:r>
              <w:rPr>
                <w:rFonts w:ascii="Arial" w:cs="Arial" w:eastAsia="Arial" w:hAnsi="Arial"/>
                <w:sz w:val="18"/>
                <w:szCs w:val="18"/>
                <w:color w:val="auto"/>
                <w:w w:val="94"/>
              </w:rPr>
              <w:t>a Washington, D.C.-based real estate</w:t>
            </w:r>
          </w:p>
        </w:tc>
        <w:tc>
          <w:tcPr>
            <w:tcW w:w="100" w:type="dxa"/>
            <w:vAlign w:val="bottom"/>
          </w:tcPr>
          <w:p>
            <w:pPr>
              <w:spacing w:after="0"/>
              <w:rPr>
                <w:sz w:val="18"/>
                <w:szCs w:val="18"/>
                <w:color w:val="auto"/>
              </w:rPr>
            </w:pPr>
          </w:p>
        </w:tc>
        <w:tc>
          <w:tcPr>
            <w:tcW w:w="2060" w:type="dxa"/>
            <w:vAlign w:val="bottom"/>
          </w:tcPr>
          <w:p>
            <w:pPr>
              <w:spacing w:after="0"/>
              <w:rPr>
                <w:sz w:val="20"/>
                <w:szCs w:val="20"/>
                <w:color w:val="auto"/>
              </w:rPr>
            </w:pPr>
            <w:r>
              <w:rPr>
                <w:rFonts w:ascii="Arial" w:cs="Arial" w:eastAsia="Arial" w:hAnsi="Arial"/>
                <w:sz w:val="18"/>
                <w:szCs w:val="18"/>
                <w:color w:val="auto"/>
                <w:w w:val="97"/>
              </w:rPr>
              <w:t>Atlantic Regional Advisory</w:t>
            </w:r>
          </w:p>
        </w:tc>
      </w:tr>
      <w:tr>
        <w:trPr>
          <w:trHeight w:val="216"/>
        </w:trPr>
        <w:tc>
          <w:tcPr>
            <w:tcW w:w="158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720" w:type="dxa"/>
            <w:vAlign w:val="bottom"/>
            <w:gridSpan w:val="2"/>
          </w:tcPr>
          <w:p>
            <w:pPr>
              <w:ind w:left="120"/>
              <w:spacing w:after="0"/>
              <w:rPr>
                <w:sz w:val="20"/>
                <w:szCs w:val="20"/>
                <w:color w:val="auto"/>
              </w:rPr>
            </w:pPr>
            <w:r>
              <w:rPr>
                <w:rFonts w:ascii="Arial" w:cs="Arial" w:eastAsia="Arial" w:hAnsi="Arial"/>
                <w:sz w:val="18"/>
                <w:szCs w:val="18"/>
                <w:color w:val="auto"/>
              </w:rPr>
              <w:t>2007; Term</w:t>
            </w:r>
          </w:p>
        </w:tc>
        <w:tc>
          <w:tcPr>
            <w:tcW w:w="100" w:type="dxa"/>
            <w:vAlign w:val="bottom"/>
          </w:tcPr>
          <w:p>
            <w:pPr>
              <w:spacing w:after="0"/>
              <w:rPr>
                <w:sz w:val="18"/>
                <w:szCs w:val="18"/>
                <w:color w:val="auto"/>
              </w:rPr>
            </w:pPr>
          </w:p>
        </w:tc>
        <w:tc>
          <w:tcPr>
            <w:tcW w:w="2860" w:type="dxa"/>
            <w:vAlign w:val="bottom"/>
          </w:tcPr>
          <w:p>
            <w:pPr>
              <w:spacing w:after="0"/>
              <w:rPr>
                <w:sz w:val="20"/>
                <w:szCs w:val="20"/>
                <w:color w:val="auto"/>
              </w:rPr>
            </w:pPr>
            <w:r>
              <w:rPr>
                <w:rFonts w:ascii="Arial" w:cs="Arial" w:eastAsia="Arial" w:hAnsi="Arial"/>
                <w:sz w:val="18"/>
                <w:szCs w:val="18"/>
                <w:color w:val="auto"/>
              </w:rPr>
              <w:t>firm that he joined in 1986.</w:t>
            </w:r>
          </w:p>
        </w:tc>
        <w:tc>
          <w:tcPr>
            <w:tcW w:w="100" w:type="dxa"/>
            <w:vAlign w:val="bottom"/>
          </w:tcPr>
          <w:p>
            <w:pPr>
              <w:spacing w:after="0"/>
              <w:rPr>
                <w:sz w:val="18"/>
                <w:szCs w:val="18"/>
                <w:color w:val="auto"/>
              </w:rPr>
            </w:pPr>
          </w:p>
        </w:tc>
        <w:tc>
          <w:tcPr>
            <w:tcW w:w="2060" w:type="dxa"/>
            <w:vAlign w:val="bottom"/>
          </w:tcPr>
          <w:p>
            <w:pPr>
              <w:spacing w:after="0"/>
              <w:rPr>
                <w:sz w:val="20"/>
                <w:szCs w:val="20"/>
                <w:color w:val="auto"/>
              </w:rPr>
            </w:pPr>
            <w:r>
              <w:rPr>
                <w:rFonts w:ascii="Arial" w:cs="Arial" w:eastAsia="Arial" w:hAnsi="Arial"/>
                <w:sz w:val="18"/>
                <w:szCs w:val="18"/>
                <w:color w:val="auto"/>
              </w:rPr>
              <w:t>Board of the University of</w:t>
            </w:r>
          </w:p>
        </w:tc>
      </w:tr>
      <w:tr>
        <w:trPr>
          <w:trHeight w:val="216"/>
        </w:trPr>
        <w:tc>
          <w:tcPr>
            <w:tcW w:w="158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720" w:type="dxa"/>
            <w:vAlign w:val="bottom"/>
            <w:gridSpan w:val="2"/>
          </w:tcPr>
          <w:p>
            <w:pPr>
              <w:ind w:left="120"/>
              <w:spacing w:after="0"/>
              <w:rPr>
                <w:sz w:val="20"/>
                <w:szCs w:val="20"/>
                <w:color w:val="auto"/>
              </w:rPr>
            </w:pPr>
            <w:r>
              <w:rPr>
                <w:rFonts w:ascii="Arial" w:cs="Arial" w:eastAsia="Arial" w:hAnsi="Arial"/>
                <w:sz w:val="18"/>
                <w:szCs w:val="18"/>
                <w:color w:val="auto"/>
              </w:rPr>
              <w:t>Expires 2012</w:t>
            </w:r>
          </w:p>
        </w:tc>
        <w:tc>
          <w:tcPr>
            <w:tcW w:w="100" w:type="dxa"/>
            <w:vAlign w:val="bottom"/>
          </w:tcPr>
          <w:p>
            <w:pPr>
              <w:spacing w:after="0"/>
              <w:rPr>
                <w:sz w:val="18"/>
                <w:szCs w:val="18"/>
                <w:color w:val="auto"/>
              </w:rPr>
            </w:pPr>
          </w:p>
        </w:tc>
        <w:tc>
          <w:tcPr>
            <w:tcW w:w="2860" w:type="dxa"/>
            <w:vAlign w:val="bottom"/>
          </w:tcPr>
          <w:p>
            <w:pPr>
              <w:spacing w:after="0"/>
              <w:rPr>
                <w:sz w:val="20"/>
                <w:szCs w:val="20"/>
                <w:color w:val="auto"/>
              </w:rPr>
            </w:pPr>
            <w:r>
              <w:rPr>
                <w:rFonts w:ascii="Arial" w:cs="Arial" w:eastAsia="Arial" w:hAnsi="Arial"/>
                <w:sz w:val="18"/>
                <w:szCs w:val="18"/>
                <w:color w:val="auto"/>
              </w:rPr>
              <w:t>Mr. Bernstein also serves as the</w:t>
            </w:r>
          </w:p>
        </w:tc>
        <w:tc>
          <w:tcPr>
            <w:tcW w:w="100" w:type="dxa"/>
            <w:vAlign w:val="bottom"/>
          </w:tcPr>
          <w:p>
            <w:pPr>
              <w:spacing w:after="0"/>
              <w:rPr>
                <w:sz w:val="18"/>
                <w:szCs w:val="18"/>
                <w:color w:val="auto"/>
              </w:rPr>
            </w:pPr>
          </w:p>
        </w:tc>
        <w:tc>
          <w:tcPr>
            <w:tcW w:w="2060" w:type="dxa"/>
            <w:vAlign w:val="bottom"/>
          </w:tcPr>
          <w:p>
            <w:pPr>
              <w:spacing w:after="0"/>
              <w:rPr>
                <w:sz w:val="20"/>
                <w:szCs w:val="20"/>
                <w:color w:val="auto"/>
              </w:rPr>
            </w:pPr>
            <w:r>
              <w:rPr>
                <w:rFonts w:ascii="Arial" w:cs="Arial" w:eastAsia="Arial" w:hAnsi="Arial"/>
                <w:sz w:val="18"/>
                <w:szCs w:val="18"/>
                <w:color w:val="auto"/>
              </w:rPr>
              <w:t>Pennsylvania.</w:t>
            </w:r>
          </w:p>
        </w:tc>
      </w:tr>
      <w:tr>
        <w:trPr>
          <w:trHeight w:val="216"/>
        </w:trPr>
        <w:tc>
          <w:tcPr>
            <w:tcW w:w="158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60" w:type="dxa"/>
            <w:vAlign w:val="bottom"/>
          </w:tcPr>
          <w:p>
            <w:pPr>
              <w:spacing w:after="0"/>
              <w:rPr>
                <w:sz w:val="20"/>
                <w:szCs w:val="20"/>
                <w:color w:val="auto"/>
              </w:rPr>
            </w:pPr>
            <w:r>
              <w:rPr>
                <w:rFonts w:ascii="Arial" w:cs="Arial" w:eastAsia="Arial" w:hAnsi="Arial"/>
                <w:sz w:val="18"/>
                <w:szCs w:val="18"/>
                <w:color w:val="auto"/>
                <w:w w:val="94"/>
              </w:rPr>
              <w:t>President and Chief Executive Officer</w:t>
            </w:r>
          </w:p>
        </w:tc>
        <w:tc>
          <w:tcPr>
            <w:tcW w:w="100" w:type="dxa"/>
            <w:vAlign w:val="bottom"/>
          </w:tcPr>
          <w:p>
            <w:pPr>
              <w:spacing w:after="0"/>
              <w:rPr>
                <w:sz w:val="18"/>
                <w:szCs w:val="18"/>
                <w:color w:val="auto"/>
              </w:rPr>
            </w:pPr>
          </w:p>
        </w:tc>
        <w:tc>
          <w:tcPr>
            <w:tcW w:w="2060" w:type="dxa"/>
            <w:vAlign w:val="bottom"/>
          </w:tcPr>
          <w:p>
            <w:pPr>
              <w:spacing w:after="0"/>
              <w:rPr>
                <w:sz w:val="18"/>
                <w:szCs w:val="18"/>
                <w:color w:val="auto"/>
              </w:rPr>
            </w:pPr>
          </w:p>
        </w:tc>
      </w:tr>
      <w:tr>
        <w:trPr>
          <w:trHeight w:val="216"/>
        </w:trPr>
        <w:tc>
          <w:tcPr>
            <w:tcW w:w="158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60" w:type="dxa"/>
            <w:vAlign w:val="bottom"/>
          </w:tcPr>
          <w:p>
            <w:pPr>
              <w:spacing w:after="0"/>
              <w:rPr>
                <w:sz w:val="20"/>
                <w:szCs w:val="20"/>
                <w:color w:val="auto"/>
              </w:rPr>
            </w:pPr>
            <w:r>
              <w:rPr>
                <w:rFonts w:ascii="Arial" w:cs="Arial" w:eastAsia="Arial" w:hAnsi="Arial"/>
                <w:sz w:val="18"/>
                <w:szCs w:val="18"/>
                <w:color w:val="auto"/>
              </w:rPr>
              <w:t>of Consortium Atlantic Realty Trust,</w:t>
            </w:r>
          </w:p>
        </w:tc>
        <w:tc>
          <w:tcPr>
            <w:tcW w:w="100" w:type="dxa"/>
            <w:vAlign w:val="bottom"/>
          </w:tcPr>
          <w:p>
            <w:pPr>
              <w:spacing w:after="0"/>
              <w:rPr>
                <w:sz w:val="18"/>
                <w:szCs w:val="18"/>
                <w:color w:val="auto"/>
              </w:rPr>
            </w:pPr>
          </w:p>
        </w:tc>
        <w:tc>
          <w:tcPr>
            <w:tcW w:w="2060" w:type="dxa"/>
            <w:vAlign w:val="bottom"/>
          </w:tcPr>
          <w:p>
            <w:pPr>
              <w:spacing w:after="0"/>
              <w:rPr>
                <w:sz w:val="18"/>
                <w:szCs w:val="18"/>
                <w:color w:val="auto"/>
              </w:rPr>
            </w:pPr>
          </w:p>
        </w:tc>
      </w:tr>
      <w:tr>
        <w:trPr>
          <w:trHeight w:val="216"/>
        </w:trPr>
        <w:tc>
          <w:tcPr>
            <w:tcW w:w="158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60" w:type="dxa"/>
            <w:vAlign w:val="bottom"/>
          </w:tcPr>
          <w:p>
            <w:pPr>
              <w:spacing w:after="0"/>
              <w:rPr>
                <w:sz w:val="20"/>
                <w:szCs w:val="20"/>
                <w:color w:val="auto"/>
              </w:rPr>
            </w:pPr>
            <w:r>
              <w:rPr>
                <w:rFonts w:ascii="Arial" w:cs="Arial" w:eastAsia="Arial" w:hAnsi="Arial"/>
                <w:sz w:val="18"/>
                <w:szCs w:val="18"/>
                <w:color w:val="auto"/>
                <w:w w:val="98"/>
              </w:rPr>
              <w:t>Inc., a private real estate investment</w:t>
            </w:r>
          </w:p>
        </w:tc>
        <w:tc>
          <w:tcPr>
            <w:tcW w:w="100" w:type="dxa"/>
            <w:vAlign w:val="bottom"/>
          </w:tcPr>
          <w:p>
            <w:pPr>
              <w:spacing w:after="0"/>
              <w:rPr>
                <w:sz w:val="18"/>
                <w:szCs w:val="18"/>
                <w:color w:val="auto"/>
              </w:rPr>
            </w:pPr>
          </w:p>
        </w:tc>
        <w:tc>
          <w:tcPr>
            <w:tcW w:w="2060" w:type="dxa"/>
            <w:vAlign w:val="bottom"/>
          </w:tcPr>
          <w:p>
            <w:pPr>
              <w:spacing w:after="0"/>
              <w:rPr>
                <w:sz w:val="18"/>
                <w:szCs w:val="18"/>
                <w:color w:val="auto"/>
              </w:rPr>
            </w:pPr>
          </w:p>
        </w:tc>
      </w:tr>
      <w:tr>
        <w:trPr>
          <w:trHeight w:val="216"/>
        </w:trPr>
        <w:tc>
          <w:tcPr>
            <w:tcW w:w="158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60" w:type="dxa"/>
            <w:vAlign w:val="bottom"/>
          </w:tcPr>
          <w:p>
            <w:pPr>
              <w:spacing w:after="0"/>
              <w:rPr>
                <w:sz w:val="20"/>
                <w:szCs w:val="20"/>
                <w:color w:val="auto"/>
              </w:rPr>
            </w:pPr>
            <w:r>
              <w:rPr>
                <w:rFonts w:ascii="Arial" w:cs="Arial" w:eastAsia="Arial" w:hAnsi="Arial"/>
                <w:sz w:val="18"/>
                <w:szCs w:val="18"/>
                <w:color w:val="auto"/>
              </w:rPr>
              <w:t>trust operating in the mid-Atlantic</w:t>
            </w:r>
          </w:p>
        </w:tc>
        <w:tc>
          <w:tcPr>
            <w:tcW w:w="100" w:type="dxa"/>
            <w:vAlign w:val="bottom"/>
          </w:tcPr>
          <w:p>
            <w:pPr>
              <w:spacing w:after="0"/>
              <w:rPr>
                <w:sz w:val="18"/>
                <w:szCs w:val="18"/>
                <w:color w:val="auto"/>
              </w:rPr>
            </w:pPr>
          </w:p>
        </w:tc>
        <w:tc>
          <w:tcPr>
            <w:tcW w:w="2060" w:type="dxa"/>
            <w:vAlign w:val="bottom"/>
          </w:tcPr>
          <w:p>
            <w:pPr>
              <w:spacing w:after="0"/>
              <w:rPr>
                <w:sz w:val="18"/>
                <w:szCs w:val="18"/>
                <w:color w:val="auto"/>
              </w:rPr>
            </w:pPr>
          </w:p>
        </w:tc>
      </w:tr>
      <w:tr>
        <w:trPr>
          <w:trHeight w:val="222"/>
        </w:trPr>
        <w:tc>
          <w:tcPr>
            <w:tcW w:w="1580" w:type="dxa"/>
            <w:vAlign w:val="bottom"/>
          </w:tcPr>
          <w:p>
            <w:pPr>
              <w:spacing w:after="0"/>
              <w:rPr>
                <w:sz w:val="19"/>
                <w:szCs w:val="19"/>
                <w:color w:val="auto"/>
              </w:rPr>
            </w:pPr>
          </w:p>
        </w:tc>
        <w:tc>
          <w:tcPr>
            <w:tcW w:w="176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60" w:type="dxa"/>
            <w:vAlign w:val="bottom"/>
          </w:tcPr>
          <w:p>
            <w:pPr>
              <w:spacing w:after="0"/>
              <w:rPr>
                <w:sz w:val="20"/>
                <w:szCs w:val="20"/>
                <w:color w:val="auto"/>
              </w:rPr>
            </w:pPr>
            <w:r>
              <w:rPr>
                <w:rFonts w:ascii="Arial" w:cs="Arial" w:eastAsia="Arial" w:hAnsi="Arial"/>
                <w:sz w:val="18"/>
                <w:szCs w:val="18"/>
                <w:color w:val="auto"/>
              </w:rPr>
              <w:t>region since its formation in 2000.</w:t>
            </w:r>
          </w:p>
        </w:tc>
        <w:tc>
          <w:tcPr>
            <w:tcW w:w="100" w:type="dxa"/>
            <w:vAlign w:val="bottom"/>
          </w:tcPr>
          <w:p>
            <w:pPr>
              <w:spacing w:after="0"/>
              <w:rPr>
                <w:sz w:val="19"/>
                <w:szCs w:val="19"/>
                <w:color w:val="auto"/>
              </w:rPr>
            </w:pPr>
          </w:p>
        </w:tc>
        <w:tc>
          <w:tcPr>
            <w:tcW w:w="2060" w:type="dxa"/>
            <w:vAlign w:val="bottom"/>
          </w:tcPr>
          <w:p>
            <w:pPr>
              <w:spacing w:after="0"/>
              <w:rPr>
                <w:sz w:val="19"/>
                <w:szCs w:val="19"/>
                <w:color w:val="auto"/>
              </w:rPr>
            </w:pPr>
          </w:p>
        </w:tc>
      </w:tr>
      <w:tr>
        <w:trPr>
          <w:trHeight w:val="318"/>
        </w:trPr>
        <w:tc>
          <w:tcPr>
            <w:tcW w:w="3340" w:type="dxa"/>
            <w:vAlign w:val="bottom"/>
            <w:gridSpan w:val="2"/>
          </w:tcPr>
          <w:p>
            <w:pPr>
              <w:spacing w:after="0"/>
              <w:rPr>
                <w:sz w:val="20"/>
                <w:szCs w:val="20"/>
                <w:color w:val="auto"/>
              </w:rPr>
            </w:pPr>
            <w:r>
              <w:rPr>
                <w:rFonts w:ascii="Arial" w:cs="Arial" w:eastAsia="Arial" w:hAnsi="Arial"/>
                <w:sz w:val="18"/>
                <w:szCs w:val="18"/>
                <w:color w:val="auto"/>
              </w:rPr>
              <w:t>Jeffrey Flug (47)</w:t>
            </w:r>
          </w:p>
        </w:tc>
        <w:tc>
          <w:tcPr>
            <w:tcW w:w="1240" w:type="dxa"/>
            <w:vAlign w:val="bottom"/>
          </w:tcPr>
          <w:p>
            <w:pPr>
              <w:spacing w:after="0"/>
              <w:rPr>
                <w:sz w:val="20"/>
                <w:szCs w:val="20"/>
                <w:color w:val="auto"/>
              </w:rPr>
            </w:pPr>
            <w:r>
              <w:rPr>
                <w:rFonts w:ascii="Arial" w:cs="Arial" w:eastAsia="Arial" w:hAnsi="Arial"/>
                <w:sz w:val="18"/>
                <w:szCs w:val="18"/>
                <w:color w:val="auto"/>
              </w:rPr>
              <w:t>Director</w:t>
            </w:r>
          </w:p>
        </w:tc>
        <w:tc>
          <w:tcPr>
            <w:tcW w:w="1720" w:type="dxa"/>
            <w:vAlign w:val="bottom"/>
            <w:gridSpan w:val="2"/>
          </w:tcPr>
          <w:p>
            <w:pPr>
              <w:ind w:left="120"/>
              <w:spacing w:after="0"/>
              <w:rPr>
                <w:sz w:val="20"/>
                <w:szCs w:val="20"/>
                <w:color w:val="auto"/>
              </w:rPr>
            </w:pPr>
            <w:r>
              <w:rPr>
                <w:rFonts w:ascii="Arial" w:cs="Arial" w:eastAsia="Arial" w:hAnsi="Arial"/>
                <w:sz w:val="18"/>
                <w:szCs w:val="18"/>
                <w:color w:val="auto"/>
              </w:rPr>
              <w:t>Class II Director</w:t>
            </w:r>
          </w:p>
        </w:tc>
        <w:tc>
          <w:tcPr>
            <w:tcW w:w="100" w:type="dxa"/>
            <w:vAlign w:val="bottom"/>
          </w:tcPr>
          <w:p>
            <w:pPr>
              <w:spacing w:after="0"/>
              <w:rPr>
                <w:sz w:val="24"/>
                <w:szCs w:val="24"/>
                <w:color w:val="auto"/>
              </w:rPr>
            </w:pPr>
          </w:p>
        </w:tc>
        <w:tc>
          <w:tcPr>
            <w:tcW w:w="2860" w:type="dxa"/>
            <w:vAlign w:val="bottom"/>
          </w:tcPr>
          <w:p>
            <w:pPr>
              <w:spacing w:after="0"/>
              <w:rPr>
                <w:sz w:val="20"/>
                <w:szCs w:val="20"/>
                <w:color w:val="auto"/>
              </w:rPr>
            </w:pPr>
            <w:r>
              <w:rPr>
                <w:rFonts w:ascii="Arial" w:cs="Arial" w:eastAsia="Arial" w:hAnsi="Arial"/>
                <w:sz w:val="18"/>
                <w:szCs w:val="18"/>
                <w:color w:val="auto"/>
                <w:w w:val="95"/>
              </w:rPr>
              <w:t>Chief Operating Officer and Financial</w:t>
            </w:r>
          </w:p>
        </w:tc>
        <w:tc>
          <w:tcPr>
            <w:tcW w:w="100" w:type="dxa"/>
            <w:vAlign w:val="bottom"/>
          </w:tcPr>
          <w:p>
            <w:pPr>
              <w:spacing w:after="0"/>
              <w:rPr>
                <w:sz w:val="24"/>
                <w:szCs w:val="24"/>
                <w:color w:val="auto"/>
              </w:rPr>
            </w:pPr>
          </w:p>
        </w:tc>
        <w:tc>
          <w:tcPr>
            <w:tcW w:w="2060" w:type="dxa"/>
            <w:vAlign w:val="bottom"/>
          </w:tcPr>
          <w:p>
            <w:pPr>
              <w:spacing w:after="0"/>
              <w:rPr>
                <w:sz w:val="24"/>
                <w:szCs w:val="24"/>
                <w:color w:val="auto"/>
              </w:rPr>
            </w:pPr>
          </w:p>
        </w:tc>
      </w:tr>
      <w:tr>
        <w:trPr>
          <w:trHeight w:val="216"/>
        </w:trPr>
        <w:tc>
          <w:tcPr>
            <w:tcW w:w="158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720" w:type="dxa"/>
            <w:vAlign w:val="bottom"/>
            <w:gridSpan w:val="2"/>
          </w:tcPr>
          <w:p>
            <w:pPr>
              <w:ind w:left="120"/>
              <w:spacing w:after="0"/>
              <w:rPr>
                <w:sz w:val="20"/>
                <w:szCs w:val="20"/>
                <w:color w:val="auto"/>
              </w:rPr>
            </w:pPr>
            <w:r>
              <w:rPr>
                <w:rFonts w:ascii="Arial" w:cs="Arial" w:eastAsia="Arial" w:hAnsi="Arial"/>
                <w:sz w:val="18"/>
                <w:szCs w:val="18"/>
                <w:color w:val="auto"/>
              </w:rPr>
              <w:t>since February</w:t>
            </w:r>
          </w:p>
        </w:tc>
        <w:tc>
          <w:tcPr>
            <w:tcW w:w="100" w:type="dxa"/>
            <w:vAlign w:val="bottom"/>
          </w:tcPr>
          <w:p>
            <w:pPr>
              <w:spacing w:after="0"/>
              <w:rPr>
                <w:sz w:val="18"/>
                <w:szCs w:val="18"/>
                <w:color w:val="auto"/>
              </w:rPr>
            </w:pPr>
          </w:p>
        </w:tc>
        <w:tc>
          <w:tcPr>
            <w:tcW w:w="2860" w:type="dxa"/>
            <w:vAlign w:val="bottom"/>
          </w:tcPr>
          <w:p>
            <w:pPr>
              <w:spacing w:after="0"/>
              <w:rPr>
                <w:sz w:val="20"/>
                <w:szCs w:val="20"/>
                <w:color w:val="auto"/>
              </w:rPr>
            </w:pPr>
            <w:r>
              <w:rPr>
                <w:rFonts w:ascii="Arial" w:cs="Arial" w:eastAsia="Arial" w:hAnsi="Arial"/>
                <w:sz w:val="18"/>
                <w:szCs w:val="18"/>
                <w:color w:val="auto"/>
              </w:rPr>
              <w:t>Officer of Union Square Hospitality</w:t>
            </w:r>
          </w:p>
        </w:tc>
        <w:tc>
          <w:tcPr>
            <w:tcW w:w="100" w:type="dxa"/>
            <w:vAlign w:val="bottom"/>
          </w:tcPr>
          <w:p>
            <w:pPr>
              <w:spacing w:after="0"/>
              <w:rPr>
                <w:sz w:val="18"/>
                <w:szCs w:val="18"/>
                <w:color w:val="auto"/>
              </w:rPr>
            </w:pPr>
          </w:p>
        </w:tc>
        <w:tc>
          <w:tcPr>
            <w:tcW w:w="2060" w:type="dxa"/>
            <w:vAlign w:val="bottom"/>
          </w:tcPr>
          <w:p>
            <w:pPr>
              <w:spacing w:after="0"/>
              <w:rPr>
                <w:sz w:val="18"/>
                <w:szCs w:val="18"/>
                <w:color w:val="auto"/>
              </w:rPr>
            </w:pPr>
          </w:p>
        </w:tc>
      </w:tr>
      <w:tr>
        <w:trPr>
          <w:trHeight w:val="216"/>
        </w:trPr>
        <w:tc>
          <w:tcPr>
            <w:tcW w:w="158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720" w:type="dxa"/>
            <w:vAlign w:val="bottom"/>
            <w:gridSpan w:val="2"/>
          </w:tcPr>
          <w:p>
            <w:pPr>
              <w:ind w:left="120"/>
              <w:spacing w:after="0"/>
              <w:rPr>
                <w:sz w:val="20"/>
                <w:szCs w:val="20"/>
                <w:color w:val="auto"/>
              </w:rPr>
            </w:pPr>
            <w:r>
              <w:rPr>
                <w:rFonts w:ascii="Arial" w:cs="Arial" w:eastAsia="Arial" w:hAnsi="Arial"/>
                <w:sz w:val="18"/>
                <w:szCs w:val="18"/>
                <w:color w:val="auto"/>
              </w:rPr>
              <w:t>2007; Term</w:t>
            </w:r>
          </w:p>
        </w:tc>
        <w:tc>
          <w:tcPr>
            <w:tcW w:w="100" w:type="dxa"/>
            <w:vAlign w:val="bottom"/>
          </w:tcPr>
          <w:p>
            <w:pPr>
              <w:spacing w:after="0"/>
              <w:rPr>
                <w:sz w:val="18"/>
                <w:szCs w:val="18"/>
                <w:color w:val="auto"/>
              </w:rPr>
            </w:pPr>
          </w:p>
        </w:tc>
        <w:tc>
          <w:tcPr>
            <w:tcW w:w="2860" w:type="dxa"/>
            <w:vAlign w:val="bottom"/>
          </w:tcPr>
          <w:p>
            <w:pPr>
              <w:spacing w:after="0"/>
              <w:rPr>
                <w:sz w:val="20"/>
                <w:szCs w:val="20"/>
                <w:color w:val="auto"/>
              </w:rPr>
            </w:pPr>
            <w:r>
              <w:rPr>
                <w:rFonts w:ascii="Arial" w:cs="Arial" w:eastAsia="Arial" w:hAnsi="Arial"/>
                <w:sz w:val="18"/>
                <w:szCs w:val="18"/>
                <w:color w:val="auto"/>
                <w:w w:val="97"/>
              </w:rPr>
              <w:t>Group since 2009. Mr. Flug has also</w:t>
            </w:r>
          </w:p>
        </w:tc>
        <w:tc>
          <w:tcPr>
            <w:tcW w:w="100" w:type="dxa"/>
            <w:vAlign w:val="bottom"/>
          </w:tcPr>
          <w:p>
            <w:pPr>
              <w:spacing w:after="0"/>
              <w:rPr>
                <w:sz w:val="18"/>
                <w:szCs w:val="18"/>
                <w:color w:val="auto"/>
              </w:rPr>
            </w:pPr>
          </w:p>
        </w:tc>
        <w:tc>
          <w:tcPr>
            <w:tcW w:w="2060" w:type="dxa"/>
            <w:vAlign w:val="bottom"/>
          </w:tcPr>
          <w:p>
            <w:pPr>
              <w:spacing w:after="0"/>
              <w:rPr>
                <w:sz w:val="18"/>
                <w:szCs w:val="18"/>
                <w:color w:val="auto"/>
              </w:rPr>
            </w:pPr>
          </w:p>
        </w:tc>
      </w:tr>
      <w:tr>
        <w:trPr>
          <w:trHeight w:val="216"/>
        </w:trPr>
        <w:tc>
          <w:tcPr>
            <w:tcW w:w="158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720" w:type="dxa"/>
            <w:vAlign w:val="bottom"/>
            <w:gridSpan w:val="2"/>
          </w:tcPr>
          <w:p>
            <w:pPr>
              <w:ind w:left="120"/>
              <w:spacing w:after="0"/>
              <w:rPr>
                <w:sz w:val="20"/>
                <w:szCs w:val="20"/>
                <w:color w:val="auto"/>
              </w:rPr>
            </w:pPr>
            <w:r>
              <w:rPr>
                <w:rFonts w:ascii="Arial" w:cs="Arial" w:eastAsia="Arial" w:hAnsi="Arial"/>
                <w:sz w:val="18"/>
                <w:szCs w:val="18"/>
                <w:color w:val="auto"/>
              </w:rPr>
              <w:t>Expires 2012</w:t>
            </w:r>
          </w:p>
        </w:tc>
        <w:tc>
          <w:tcPr>
            <w:tcW w:w="100" w:type="dxa"/>
            <w:vAlign w:val="bottom"/>
          </w:tcPr>
          <w:p>
            <w:pPr>
              <w:spacing w:after="0"/>
              <w:rPr>
                <w:sz w:val="18"/>
                <w:szCs w:val="18"/>
                <w:color w:val="auto"/>
              </w:rPr>
            </w:pPr>
          </w:p>
        </w:tc>
        <w:tc>
          <w:tcPr>
            <w:tcW w:w="2860" w:type="dxa"/>
            <w:vAlign w:val="bottom"/>
          </w:tcPr>
          <w:p>
            <w:pPr>
              <w:spacing w:after="0"/>
              <w:rPr>
                <w:sz w:val="20"/>
                <w:szCs w:val="20"/>
                <w:color w:val="auto"/>
              </w:rPr>
            </w:pPr>
            <w:r>
              <w:rPr>
                <w:rFonts w:ascii="Arial" w:cs="Arial" w:eastAsia="Arial" w:hAnsi="Arial"/>
                <w:sz w:val="18"/>
                <w:szCs w:val="18"/>
                <w:color w:val="auto"/>
                <w:w w:val="94"/>
              </w:rPr>
              <w:t>served as Chief Executive Officer and</w:t>
            </w:r>
          </w:p>
        </w:tc>
        <w:tc>
          <w:tcPr>
            <w:tcW w:w="100" w:type="dxa"/>
            <w:vAlign w:val="bottom"/>
          </w:tcPr>
          <w:p>
            <w:pPr>
              <w:spacing w:after="0"/>
              <w:rPr>
                <w:sz w:val="18"/>
                <w:szCs w:val="18"/>
                <w:color w:val="auto"/>
              </w:rPr>
            </w:pPr>
          </w:p>
        </w:tc>
        <w:tc>
          <w:tcPr>
            <w:tcW w:w="2060" w:type="dxa"/>
            <w:vAlign w:val="bottom"/>
          </w:tcPr>
          <w:p>
            <w:pPr>
              <w:spacing w:after="0"/>
              <w:rPr>
                <w:sz w:val="18"/>
                <w:szCs w:val="18"/>
                <w:color w:val="auto"/>
              </w:rPr>
            </w:pPr>
          </w:p>
        </w:tc>
      </w:tr>
      <w:tr>
        <w:trPr>
          <w:trHeight w:val="216"/>
        </w:trPr>
        <w:tc>
          <w:tcPr>
            <w:tcW w:w="158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60" w:type="dxa"/>
            <w:vAlign w:val="bottom"/>
          </w:tcPr>
          <w:p>
            <w:pPr>
              <w:spacing w:after="0"/>
              <w:rPr>
                <w:sz w:val="20"/>
                <w:szCs w:val="20"/>
                <w:color w:val="auto"/>
              </w:rPr>
            </w:pPr>
            <w:r>
              <w:rPr>
                <w:rFonts w:ascii="Arial" w:cs="Arial" w:eastAsia="Arial" w:hAnsi="Arial"/>
                <w:sz w:val="18"/>
                <w:szCs w:val="18"/>
                <w:color w:val="auto"/>
                <w:w w:val="95"/>
              </w:rPr>
              <w:t>Executive Director from 2006 to 2008</w:t>
            </w:r>
          </w:p>
        </w:tc>
        <w:tc>
          <w:tcPr>
            <w:tcW w:w="100" w:type="dxa"/>
            <w:vAlign w:val="bottom"/>
          </w:tcPr>
          <w:p>
            <w:pPr>
              <w:spacing w:after="0"/>
              <w:rPr>
                <w:sz w:val="18"/>
                <w:szCs w:val="18"/>
                <w:color w:val="auto"/>
              </w:rPr>
            </w:pPr>
          </w:p>
        </w:tc>
        <w:tc>
          <w:tcPr>
            <w:tcW w:w="2060" w:type="dxa"/>
            <w:vAlign w:val="bottom"/>
          </w:tcPr>
          <w:p>
            <w:pPr>
              <w:spacing w:after="0"/>
              <w:rPr>
                <w:sz w:val="18"/>
                <w:szCs w:val="18"/>
                <w:color w:val="auto"/>
              </w:rPr>
            </w:pPr>
          </w:p>
        </w:tc>
      </w:tr>
      <w:tr>
        <w:trPr>
          <w:trHeight w:val="216"/>
        </w:trPr>
        <w:tc>
          <w:tcPr>
            <w:tcW w:w="158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60" w:type="dxa"/>
            <w:vAlign w:val="bottom"/>
          </w:tcPr>
          <w:p>
            <w:pPr>
              <w:spacing w:after="0"/>
              <w:rPr>
                <w:sz w:val="20"/>
                <w:szCs w:val="20"/>
                <w:color w:val="auto"/>
              </w:rPr>
            </w:pPr>
            <w:r>
              <w:rPr>
                <w:rFonts w:ascii="Arial" w:cs="Arial" w:eastAsia="Arial" w:hAnsi="Arial"/>
                <w:sz w:val="18"/>
                <w:szCs w:val="18"/>
                <w:color w:val="auto"/>
                <w:w w:val="93"/>
              </w:rPr>
              <w:t>of Millennium Promise Alliance, Inc., a</w:t>
            </w:r>
          </w:p>
        </w:tc>
        <w:tc>
          <w:tcPr>
            <w:tcW w:w="100" w:type="dxa"/>
            <w:vAlign w:val="bottom"/>
          </w:tcPr>
          <w:p>
            <w:pPr>
              <w:spacing w:after="0"/>
              <w:rPr>
                <w:sz w:val="18"/>
                <w:szCs w:val="18"/>
                <w:color w:val="auto"/>
              </w:rPr>
            </w:pPr>
          </w:p>
        </w:tc>
        <w:tc>
          <w:tcPr>
            <w:tcW w:w="2060" w:type="dxa"/>
            <w:vAlign w:val="bottom"/>
          </w:tcPr>
          <w:p>
            <w:pPr>
              <w:spacing w:after="0"/>
              <w:rPr>
                <w:sz w:val="18"/>
                <w:szCs w:val="18"/>
                <w:color w:val="auto"/>
              </w:rPr>
            </w:pPr>
          </w:p>
        </w:tc>
      </w:tr>
      <w:tr>
        <w:trPr>
          <w:trHeight w:val="216"/>
        </w:trPr>
        <w:tc>
          <w:tcPr>
            <w:tcW w:w="158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60" w:type="dxa"/>
            <w:vAlign w:val="bottom"/>
          </w:tcPr>
          <w:p>
            <w:pPr>
              <w:spacing w:after="0"/>
              <w:rPr>
                <w:sz w:val="20"/>
                <w:szCs w:val="20"/>
                <w:color w:val="auto"/>
              </w:rPr>
            </w:pPr>
            <w:r>
              <w:rPr>
                <w:rFonts w:ascii="Arial" w:cs="Arial" w:eastAsia="Arial" w:hAnsi="Arial"/>
                <w:sz w:val="18"/>
                <w:szCs w:val="18"/>
                <w:color w:val="auto"/>
                <w:w w:val="93"/>
              </w:rPr>
              <w:t>non-profit organization whose mission</w:t>
            </w:r>
          </w:p>
        </w:tc>
        <w:tc>
          <w:tcPr>
            <w:tcW w:w="100" w:type="dxa"/>
            <w:vAlign w:val="bottom"/>
          </w:tcPr>
          <w:p>
            <w:pPr>
              <w:spacing w:after="0"/>
              <w:rPr>
                <w:sz w:val="18"/>
                <w:szCs w:val="18"/>
                <w:color w:val="auto"/>
              </w:rPr>
            </w:pPr>
          </w:p>
        </w:tc>
        <w:tc>
          <w:tcPr>
            <w:tcW w:w="2060" w:type="dxa"/>
            <w:vAlign w:val="bottom"/>
          </w:tcPr>
          <w:p>
            <w:pPr>
              <w:spacing w:after="0"/>
              <w:rPr>
                <w:sz w:val="18"/>
                <w:szCs w:val="18"/>
                <w:color w:val="auto"/>
              </w:rPr>
            </w:pPr>
          </w:p>
        </w:tc>
      </w:tr>
      <w:tr>
        <w:trPr>
          <w:trHeight w:val="216"/>
        </w:trPr>
        <w:tc>
          <w:tcPr>
            <w:tcW w:w="158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60" w:type="dxa"/>
            <w:vAlign w:val="bottom"/>
          </w:tcPr>
          <w:p>
            <w:pPr>
              <w:spacing w:after="0"/>
              <w:rPr>
                <w:sz w:val="20"/>
                <w:szCs w:val="20"/>
                <w:color w:val="auto"/>
              </w:rPr>
            </w:pPr>
            <w:r>
              <w:rPr>
                <w:rFonts w:ascii="Arial" w:cs="Arial" w:eastAsia="Arial" w:hAnsi="Arial"/>
                <w:sz w:val="18"/>
                <w:szCs w:val="18"/>
                <w:color w:val="auto"/>
                <w:w w:val="93"/>
              </w:rPr>
              <w:t>is to eradicate extreme global poverty.</w:t>
            </w:r>
          </w:p>
        </w:tc>
        <w:tc>
          <w:tcPr>
            <w:tcW w:w="100" w:type="dxa"/>
            <w:vAlign w:val="bottom"/>
          </w:tcPr>
          <w:p>
            <w:pPr>
              <w:spacing w:after="0"/>
              <w:rPr>
                <w:sz w:val="18"/>
                <w:szCs w:val="18"/>
                <w:color w:val="auto"/>
              </w:rPr>
            </w:pPr>
          </w:p>
        </w:tc>
        <w:tc>
          <w:tcPr>
            <w:tcW w:w="2060" w:type="dxa"/>
            <w:vAlign w:val="bottom"/>
          </w:tcPr>
          <w:p>
            <w:pPr>
              <w:spacing w:after="0"/>
              <w:rPr>
                <w:sz w:val="18"/>
                <w:szCs w:val="18"/>
                <w:color w:val="auto"/>
              </w:rPr>
            </w:pPr>
          </w:p>
        </w:tc>
      </w:tr>
      <w:tr>
        <w:trPr>
          <w:trHeight w:val="216"/>
        </w:trPr>
        <w:tc>
          <w:tcPr>
            <w:tcW w:w="158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60" w:type="dxa"/>
            <w:vAlign w:val="bottom"/>
          </w:tcPr>
          <w:p>
            <w:pPr>
              <w:spacing w:after="0"/>
              <w:rPr>
                <w:sz w:val="20"/>
                <w:szCs w:val="20"/>
                <w:color w:val="auto"/>
              </w:rPr>
            </w:pPr>
            <w:r>
              <w:rPr>
                <w:rFonts w:ascii="Arial" w:cs="Arial" w:eastAsia="Arial" w:hAnsi="Arial"/>
                <w:sz w:val="18"/>
                <w:szCs w:val="18"/>
                <w:color w:val="auto"/>
              </w:rPr>
              <w:t>From 2000 to 2006 Mr. Flug was a</w:t>
            </w:r>
          </w:p>
        </w:tc>
        <w:tc>
          <w:tcPr>
            <w:tcW w:w="100" w:type="dxa"/>
            <w:vAlign w:val="bottom"/>
          </w:tcPr>
          <w:p>
            <w:pPr>
              <w:spacing w:after="0"/>
              <w:rPr>
                <w:sz w:val="18"/>
                <w:szCs w:val="18"/>
                <w:color w:val="auto"/>
              </w:rPr>
            </w:pPr>
          </w:p>
        </w:tc>
        <w:tc>
          <w:tcPr>
            <w:tcW w:w="2060" w:type="dxa"/>
            <w:vAlign w:val="bottom"/>
          </w:tcPr>
          <w:p>
            <w:pPr>
              <w:spacing w:after="0"/>
              <w:rPr>
                <w:sz w:val="18"/>
                <w:szCs w:val="18"/>
                <w:color w:val="auto"/>
              </w:rPr>
            </w:pPr>
          </w:p>
        </w:tc>
      </w:tr>
      <w:tr>
        <w:trPr>
          <w:trHeight w:val="216"/>
        </w:trPr>
        <w:tc>
          <w:tcPr>
            <w:tcW w:w="158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60" w:type="dxa"/>
            <w:vAlign w:val="bottom"/>
          </w:tcPr>
          <w:p>
            <w:pPr>
              <w:spacing w:after="0"/>
              <w:rPr>
                <w:sz w:val="20"/>
                <w:szCs w:val="20"/>
                <w:color w:val="auto"/>
              </w:rPr>
            </w:pPr>
            <w:r>
              <w:rPr>
                <w:rFonts w:ascii="Arial" w:cs="Arial" w:eastAsia="Arial" w:hAnsi="Arial"/>
                <w:sz w:val="18"/>
                <w:szCs w:val="18"/>
                <w:color w:val="auto"/>
                <w:w w:val="94"/>
              </w:rPr>
              <w:t>Managing Director and Head of North</w:t>
            </w:r>
          </w:p>
        </w:tc>
        <w:tc>
          <w:tcPr>
            <w:tcW w:w="100" w:type="dxa"/>
            <w:vAlign w:val="bottom"/>
          </w:tcPr>
          <w:p>
            <w:pPr>
              <w:spacing w:after="0"/>
              <w:rPr>
                <w:sz w:val="18"/>
                <w:szCs w:val="18"/>
                <w:color w:val="auto"/>
              </w:rPr>
            </w:pPr>
          </w:p>
        </w:tc>
        <w:tc>
          <w:tcPr>
            <w:tcW w:w="2060" w:type="dxa"/>
            <w:vAlign w:val="bottom"/>
          </w:tcPr>
          <w:p>
            <w:pPr>
              <w:spacing w:after="0"/>
              <w:rPr>
                <w:sz w:val="18"/>
                <w:szCs w:val="18"/>
                <w:color w:val="auto"/>
              </w:rPr>
            </w:pPr>
          </w:p>
        </w:tc>
      </w:tr>
      <w:tr>
        <w:trPr>
          <w:trHeight w:val="216"/>
        </w:trPr>
        <w:tc>
          <w:tcPr>
            <w:tcW w:w="158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60" w:type="dxa"/>
            <w:vAlign w:val="bottom"/>
          </w:tcPr>
          <w:p>
            <w:pPr>
              <w:spacing w:after="0"/>
              <w:rPr>
                <w:sz w:val="20"/>
                <w:szCs w:val="20"/>
                <w:color w:val="auto"/>
              </w:rPr>
            </w:pPr>
            <w:r>
              <w:rPr>
                <w:rFonts w:ascii="Arial" w:cs="Arial" w:eastAsia="Arial" w:hAnsi="Arial"/>
                <w:sz w:val="18"/>
                <w:szCs w:val="18"/>
                <w:color w:val="auto"/>
              </w:rPr>
              <w:t>American Institutional Sales at JP</w:t>
            </w:r>
          </w:p>
        </w:tc>
        <w:tc>
          <w:tcPr>
            <w:tcW w:w="100" w:type="dxa"/>
            <w:vAlign w:val="bottom"/>
          </w:tcPr>
          <w:p>
            <w:pPr>
              <w:spacing w:after="0"/>
              <w:rPr>
                <w:sz w:val="18"/>
                <w:szCs w:val="18"/>
                <w:color w:val="auto"/>
              </w:rPr>
            </w:pPr>
          </w:p>
        </w:tc>
        <w:tc>
          <w:tcPr>
            <w:tcW w:w="2060" w:type="dxa"/>
            <w:vAlign w:val="bottom"/>
          </w:tcPr>
          <w:p>
            <w:pPr>
              <w:spacing w:after="0"/>
              <w:rPr>
                <w:sz w:val="18"/>
                <w:szCs w:val="18"/>
                <w:color w:val="auto"/>
              </w:rPr>
            </w:pPr>
          </w:p>
        </w:tc>
      </w:tr>
      <w:tr>
        <w:trPr>
          <w:trHeight w:val="222"/>
        </w:trPr>
        <w:tc>
          <w:tcPr>
            <w:tcW w:w="1580" w:type="dxa"/>
            <w:vAlign w:val="bottom"/>
          </w:tcPr>
          <w:p>
            <w:pPr>
              <w:spacing w:after="0"/>
              <w:rPr>
                <w:sz w:val="19"/>
                <w:szCs w:val="19"/>
                <w:color w:val="auto"/>
              </w:rPr>
            </w:pPr>
          </w:p>
        </w:tc>
        <w:tc>
          <w:tcPr>
            <w:tcW w:w="176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60" w:type="dxa"/>
            <w:vAlign w:val="bottom"/>
          </w:tcPr>
          <w:p>
            <w:pPr>
              <w:spacing w:after="0"/>
              <w:rPr>
                <w:sz w:val="20"/>
                <w:szCs w:val="20"/>
                <w:color w:val="auto"/>
              </w:rPr>
            </w:pPr>
            <w:r>
              <w:rPr>
                <w:rFonts w:ascii="Arial" w:cs="Arial" w:eastAsia="Arial" w:hAnsi="Arial"/>
                <w:sz w:val="18"/>
                <w:szCs w:val="18"/>
                <w:color w:val="auto"/>
              </w:rPr>
              <w:t>Morgan’s Investment Bank.</w:t>
            </w:r>
          </w:p>
        </w:tc>
        <w:tc>
          <w:tcPr>
            <w:tcW w:w="100" w:type="dxa"/>
            <w:vAlign w:val="bottom"/>
          </w:tcPr>
          <w:p>
            <w:pPr>
              <w:spacing w:after="0"/>
              <w:rPr>
                <w:sz w:val="19"/>
                <w:szCs w:val="19"/>
                <w:color w:val="auto"/>
              </w:rPr>
            </w:pPr>
          </w:p>
        </w:tc>
        <w:tc>
          <w:tcPr>
            <w:tcW w:w="2060" w:type="dxa"/>
            <w:vAlign w:val="bottom"/>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69850</wp:posOffset>
            </wp:positionV>
            <wp:extent cx="728980" cy="88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22" w:lineRule="exact"/>
        <w:rPr>
          <w:sz w:val="20"/>
          <w:szCs w:val="20"/>
          <w:color w:val="auto"/>
        </w:rPr>
      </w:pPr>
    </w:p>
    <w:p>
      <w:pPr>
        <w:ind w:left="460" w:right="160" w:hanging="452"/>
        <w:spacing w:after="0" w:line="254" w:lineRule="auto"/>
        <w:tabs>
          <w:tab w:leader="none" w:pos="4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business address of the director nominee and other directors is c/o PennantPark Investment Corporation, 590 Madison Avenue, 15</w:t>
      </w:r>
      <w:r>
        <w:rPr>
          <w:rFonts w:ascii="Arial" w:cs="Arial" w:eastAsia="Arial" w:hAnsi="Arial"/>
          <w:sz w:val="11"/>
          <w:szCs w:val="11"/>
          <w:color w:val="auto"/>
        </w:rPr>
        <w:t>th</w:t>
      </w:r>
      <w:r>
        <w:rPr>
          <w:rFonts w:ascii="Arial" w:cs="Arial" w:eastAsia="Arial" w:hAnsi="Arial"/>
          <w:sz w:val="18"/>
          <w:szCs w:val="18"/>
          <w:color w:val="auto"/>
        </w:rPr>
        <w:t xml:space="preserve"> Floor, New York, New York 10022.</w:t>
      </w:r>
    </w:p>
    <w:p>
      <w:pPr>
        <w:ind w:left="460" w:hanging="452"/>
        <w:spacing w:after="0"/>
        <w:tabs>
          <w:tab w:leader="none" w:pos="4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No director otherwise serves as a director of an investment company subject to the 1940 Act.</w:t>
      </w:r>
    </w:p>
    <w:p>
      <w:pPr>
        <w:spacing w:after="0" w:line="9" w:lineRule="exact"/>
        <w:rPr>
          <w:rFonts w:ascii="Arial" w:cs="Arial" w:eastAsia="Arial" w:hAnsi="Arial"/>
          <w:sz w:val="18"/>
          <w:szCs w:val="18"/>
          <w:color w:val="auto"/>
        </w:rPr>
      </w:pPr>
    </w:p>
    <w:p>
      <w:pPr>
        <w:ind w:left="460" w:hanging="452"/>
        <w:spacing w:after="0"/>
        <w:tabs>
          <w:tab w:leader="none" w:pos="4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Mr. Penn is an interested director due to his position as an officer of the Company and of PennantPark Investment Advisers, LLC.</w:t>
      </w:r>
    </w:p>
    <w:p>
      <w:pPr>
        <w:spacing w:after="0" w:line="15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420"/>
          </w:cols>
          <w:pgMar w:left="240" w:top="280" w:right="239" w:bottom="1440" w:gutter="0" w:footer="0" w:header="0"/>
        </w:sectPr>
      </w:pPr>
    </w:p>
    <w:bookmarkStart w:id="12" w:name="page13"/>
    <w:bookmarkEnd w:id="12"/>
    <w:p>
      <w:pPr>
        <w:jc w:val="center"/>
        <w:ind w:right="-19"/>
        <w:spacing w:after="0"/>
        <w:rPr>
          <w:sz w:val="20"/>
          <w:szCs w:val="20"/>
          <w:color w:val="auto"/>
        </w:rPr>
      </w:pPr>
      <w:r>
        <w:rPr>
          <w:rFonts w:ascii="Arial" w:cs="Arial" w:eastAsia="Arial" w:hAnsi="Arial"/>
          <w:sz w:val="18"/>
          <w:szCs w:val="18"/>
          <w:b w:val="1"/>
          <w:bCs w:val="1"/>
          <w:i w:val="1"/>
          <w:i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Corporate Governance</w:t>
      </w:r>
    </w:p>
    <w:p>
      <w:pPr>
        <w:spacing w:after="0" w:line="171" w:lineRule="exact"/>
        <w:rPr>
          <w:sz w:val="20"/>
          <w:szCs w:val="20"/>
          <w:color w:val="auto"/>
        </w:rPr>
      </w:pPr>
    </w:p>
    <w:p>
      <w:pPr>
        <w:jc w:val="both"/>
        <w:ind w:right="300" w:firstLine="456"/>
        <w:spacing w:after="0" w:line="259" w:lineRule="auto"/>
        <w:rPr>
          <w:sz w:val="20"/>
          <w:szCs w:val="20"/>
          <w:color w:val="auto"/>
        </w:rPr>
      </w:pPr>
      <w:r>
        <w:rPr>
          <w:rFonts w:ascii="Arial" w:cs="Arial" w:eastAsia="Arial" w:hAnsi="Arial"/>
          <w:sz w:val="18"/>
          <w:szCs w:val="18"/>
          <w:color w:val="auto"/>
        </w:rPr>
        <w:t>We believe that maintaining the highest standards of corporate governance is a crucial part of our business, and the Company is committed to having in place the necessary controls and procedures designed to ensure compliance with applicable laws, rules and regulations, as well as our own ethical standards of conduct.</w:t>
      </w:r>
    </w:p>
    <w:p>
      <w:pPr>
        <w:spacing w:after="0" w:line="302"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i w:val="1"/>
          <w:iCs w:val="1"/>
          <w:color w:val="auto"/>
        </w:rPr>
        <w:t>Director Independence</w:t>
      </w:r>
    </w:p>
    <w:p>
      <w:pPr>
        <w:spacing w:after="0" w:line="171"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NASDAQ rules require listed companies to have a board of directors with at least a majority of independent directors. Under NASDAQ rules, in order for a director to be deemed independent, our Board must determine that the individual does not have a relationship that would interfere with the director’s exercise of independent judgment in carrying out his or her responsibilities. Each member of our Board is required to complete an independence questionnaire when changes in circumstances occur but no less frequently than annually designed to provide information to assist the Board in determining whether the director is independent under NASDAQ rules, applicable law, and our corporate governance guidelines. Our Board has determined that each of our directors, other than Mr. Penn, is independent under the listing standards of the NASDAQ Global Select Market. The Board limits membership on the Audit Committee and the Nominating and Corporate Governance Committee to independent directors.</w:t>
      </w:r>
    </w:p>
    <w:p>
      <w:pPr>
        <w:spacing w:after="0" w:line="28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i w:val="1"/>
          <w:iCs w:val="1"/>
          <w:color w:val="auto"/>
        </w:rPr>
        <w:t>Committees of the Board of Directors</w:t>
      </w:r>
    </w:p>
    <w:p>
      <w:pPr>
        <w:spacing w:after="0" w:line="171" w:lineRule="exact"/>
        <w:rPr>
          <w:sz w:val="20"/>
          <w:szCs w:val="20"/>
          <w:color w:val="auto"/>
        </w:rPr>
      </w:pPr>
    </w:p>
    <w:p>
      <w:pPr>
        <w:ind w:right="120" w:firstLine="456"/>
        <w:spacing w:after="0" w:line="294" w:lineRule="auto"/>
        <w:rPr>
          <w:sz w:val="20"/>
          <w:szCs w:val="20"/>
          <w:color w:val="auto"/>
        </w:rPr>
      </w:pPr>
      <w:r>
        <w:rPr>
          <w:rFonts w:ascii="Arial" w:cs="Arial" w:eastAsia="Arial" w:hAnsi="Arial"/>
          <w:sz w:val="16"/>
          <w:szCs w:val="16"/>
          <w:color w:val="auto"/>
        </w:rPr>
        <w:t>Our Board of Directors has established an Audit Committee and a Nominating and Corporate Governance Committee. For the fiscal year ended September 30, 2009, the Board of Directors of the Company held six board meetings, four Audit Committee meetings and two Nominating and Corporate Governance Committee meetings. All directors attended at least 75% of the aggregate number of meetings of the Board and of the respective Committees on which they served. The Company requires each director to make a diligent effort to attend all Board and Committee meetings, and encourages directors to attend the Annual Meeting of Stockholders. Last year three members of the Board of Directors attended the meeting.</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Audit Committee</w:t>
      </w:r>
    </w:p>
    <w:p>
      <w:pPr>
        <w:spacing w:after="0" w:line="96" w:lineRule="exact"/>
        <w:rPr>
          <w:sz w:val="20"/>
          <w:szCs w:val="20"/>
          <w:color w:val="auto"/>
        </w:rPr>
      </w:pPr>
    </w:p>
    <w:p>
      <w:pPr>
        <w:ind w:right="40" w:firstLine="456"/>
        <w:spacing w:after="0" w:line="286" w:lineRule="auto"/>
        <w:rPr>
          <w:sz w:val="20"/>
          <w:szCs w:val="20"/>
          <w:color w:val="auto"/>
        </w:rPr>
      </w:pPr>
      <w:r>
        <w:rPr>
          <w:rFonts w:ascii="Arial" w:cs="Arial" w:eastAsia="Arial" w:hAnsi="Arial"/>
          <w:sz w:val="16"/>
          <w:szCs w:val="16"/>
          <w:color w:val="auto"/>
        </w:rPr>
        <w:t>The members of the Audit Committee are Messrs. Bernstein, Brozost, Flug and Katz, each of whom is independent for purposes of the 1940 Act and The NASDAQ corporate governance rules. Mr. Flug serves as chairman of the Audit Committee. The Audit Committee operates pursuant to an Audit Committee Charter approved by the Board of Directors. The charter sets forth the responsibilities of the Audit Committee, which include selecting or retaining each year an independent registered public accounting firm (the “auditors”) to audit the accounts and records of the Company; reviewing and discussing with management and the auditors the annual audited financial statements of the Company, including disclosures made in management’s discussion and analysis, and recommending to the Board of Directors whether the audited financial statements should be included in the Company’s annual report on Form 10-K; reviewing and discussing with management and the auditors the Company’s quarterly financial statements prior to the filings of its quarterly reports on Form 10-Q; pre-approving the auditors’ engagement to render audit and/or permissible non-audit services; and evaluating the qualifications, performance and independence of the auditors. The Audit Committee is also responsible for aiding our Board of Directors in fair value pricing of debt and equity securities that are not publicly traded or for which current market values are not readily available. The Board of Directors and Audit Committee use the services of nationally recognized independent valuation firms to help them determine the fair value of these securities. The Company’s Board of Directors has determined that Mr. Flug is our “Audit Committee financial expert” as that term is defined under Item 407 of Regulation S-K under the Securities Exchange Act of 1934, as amended (the Exchange Act”). The Audit Committee Charter is available on the Company’s website (http://</w:t>
      </w:r>
      <w:r>
        <w:rPr>
          <w:rFonts w:ascii="Arial" w:cs="Arial" w:eastAsia="Arial" w:hAnsi="Arial"/>
          <w:sz w:val="16"/>
          <w:szCs w:val="16"/>
          <w:u w:val="single" w:color="auto"/>
          <w:color w:val="auto"/>
        </w:rPr>
        <w:t>www.pennantpark.com</w:t>
      </w:r>
      <w:r>
        <w:rPr>
          <w:rFonts w:ascii="Arial" w:cs="Arial" w:eastAsia="Arial" w:hAnsi="Arial"/>
          <w:sz w:val="16"/>
          <w:szCs w:val="16"/>
          <w:color w:val="auto"/>
        </w:rPr>
        <w:t>).</w:t>
      </w:r>
    </w:p>
    <w:p>
      <w:pPr>
        <w:spacing w:after="0" w:line="10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420"/>
          </w:cols>
          <w:pgMar w:left="240" w:top="280" w:right="239" w:bottom="1440" w:gutter="0" w:footer="0" w:header="0"/>
        </w:sectPr>
      </w:pPr>
    </w:p>
    <w:bookmarkStart w:id="13" w:name="page14"/>
    <w:bookmarkEnd w:id="13"/>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Information about the Executive Officer Who is Not a Director</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information, as of the Record Date, pertains to our executive officer who is not a director of the Company.</w:t>
      </w:r>
    </w:p>
    <w:p>
      <w:pPr>
        <w:spacing w:after="0" w:line="19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560" w:type="dxa"/>
            <w:vAlign w:val="bottom"/>
            <w:vMerge w:val="restart"/>
          </w:tcPr>
          <w:p>
            <w:pPr>
              <w:spacing w:after="0"/>
              <w:rPr>
                <w:sz w:val="20"/>
                <w:szCs w:val="20"/>
                <w:color w:val="auto"/>
              </w:rPr>
            </w:pPr>
            <w:r>
              <w:rPr>
                <w:rFonts w:ascii="Arial" w:cs="Arial" w:eastAsia="Arial" w:hAnsi="Arial"/>
                <w:sz w:val="14"/>
                <w:szCs w:val="14"/>
                <w:b w:val="1"/>
                <w:bCs w:val="1"/>
                <w:color w:val="auto"/>
                <w:w w:val="87"/>
              </w:rPr>
              <w:t>Name Address and Age</w:t>
            </w:r>
            <w:r>
              <w:rPr>
                <w:rFonts w:ascii="Arial" w:cs="Arial" w:eastAsia="Arial" w:hAnsi="Arial"/>
                <w:sz w:val="22"/>
                <w:szCs w:val="22"/>
                <w:b w:val="1"/>
                <w:bCs w:val="1"/>
                <w:color w:val="auto"/>
                <w:w w:val="87"/>
                <w:vertAlign w:val="superscript"/>
              </w:rPr>
              <w:t>(1)</w:t>
            </w:r>
          </w:p>
        </w:tc>
        <w:tc>
          <w:tcPr>
            <w:tcW w:w="1080" w:type="dxa"/>
            <w:vAlign w:val="bottom"/>
          </w:tcPr>
          <w:p>
            <w:pPr>
              <w:spacing w:after="0"/>
              <w:rPr>
                <w:sz w:val="14"/>
                <w:szCs w:val="14"/>
                <w:color w:val="auto"/>
              </w:rPr>
            </w:pPr>
          </w:p>
        </w:tc>
        <w:tc>
          <w:tcPr>
            <w:tcW w:w="2180" w:type="dxa"/>
            <w:vAlign w:val="bottom"/>
          </w:tcPr>
          <w:p>
            <w:pPr>
              <w:ind w:left="640"/>
              <w:spacing w:after="0"/>
              <w:rPr>
                <w:sz w:val="20"/>
                <w:szCs w:val="20"/>
                <w:color w:val="auto"/>
              </w:rPr>
            </w:pPr>
            <w:r>
              <w:rPr>
                <w:rFonts w:ascii="Arial" w:cs="Arial" w:eastAsia="Arial" w:hAnsi="Arial"/>
                <w:sz w:val="14"/>
                <w:szCs w:val="14"/>
                <w:b w:val="1"/>
                <w:bCs w:val="1"/>
                <w:color w:val="auto"/>
              </w:rPr>
              <w:t>Position(s) held</w:t>
            </w:r>
          </w:p>
        </w:tc>
        <w:tc>
          <w:tcPr>
            <w:tcW w:w="220" w:type="dxa"/>
            <w:vAlign w:val="bottom"/>
          </w:tcPr>
          <w:p>
            <w:pPr>
              <w:spacing w:after="0"/>
              <w:rPr>
                <w:sz w:val="14"/>
                <w:szCs w:val="14"/>
                <w:color w:val="auto"/>
              </w:rPr>
            </w:pPr>
          </w:p>
        </w:tc>
        <w:tc>
          <w:tcPr>
            <w:tcW w:w="63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5"/>
        </w:trPr>
        <w:tc>
          <w:tcPr>
            <w:tcW w:w="1560" w:type="dxa"/>
            <w:vAlign w:val="bottom"/>
            <w:tcBorders>
              <w:bottom w:val="single" w:sz="8" w:color="auto"/>
            </w:tcBorders>
            <w:vMerge w:val="continue"/>
          </w:tcPr>
          <w:p>
            <w:pPr>
              <w:spacing w:after="0"/>
              <w:rPr>
                <w:sz w:val="15"/>
                <w:szCs w:val="15"/>
                <w:color w:val="auto"/>
              </w:rPr>
            </w:pPr>
          </w:p>
        </w:tc>
        <w:tc>
          <w:tcPr>
            <w:tcW w:w="1080" w:type="dxa"/>
            <w:vAlign w:val="bottom"/>
          </w:tcPr>
          <w:p>
            <w:pPr>
              <w:spacing w:after="0"/>
              <w:rPr>
                <w:sz w:val="15"/>
                <w:szCs w:val="15"/>
                <w:color w:val="auto"/>
              </w:rPr>
            </w:pPr>
          </w:p>
        </w:tc>
        <w:tc>
          <w:tcPr>
            <w:tcW w:w="2180" w:type="dxa"/>
            <w:vAlign w:val="bottom"/>
            <w:tcBorders>
              <w:bottom w:val="single" w:sz="8" w:color="auto"/>
            </w:tcBorders>
          </w:tcPr>
          <w:p>
            <w:pPr>
              <w:ind w:left="660"/>
              <w:spacing w:after="0"/>
              <w:rPr>
                <w:sz w:val="20"/>
                <w:szCs w:val="20"/>
                <w:color w:val="auto"/>
              </w:rPr>
            </w:pPr>
            <w:r>
              <w:rPr>
                <w:rFonts w:ascii="Arial" w:cs="Arial" w:eastAsia="Arial" w:hAnsi="Arial"/>
                <w:sz w:val="14"/>
                <w:szCs w:val="14"/>
                <w:b w:val="1"/>
                <w:bCs w:val="1"/>
                <w:color w:val="auto"/>
              </w:rPr>
              <w:t>with Company</w:t>
            </w:r>
          </w:p>
        </w:tc>
        <w:tc>
          <w:tcPr>
            <w:tcW w:w="220" w:type="dxa"/>
            <w:vAlign w:val="bottom"/>
          </w:tcPr>
          <w:p>
            <w:pPr>
              <w:spacing w:after="0"/>
              <w:rPr>
                <w:sz w:val="15"/>
                <w:szCs w:val="15"/>
                <w:color w:val="auto"/>
              </w:rPr>
            </w:pPr>
          </w:p>
        </w:tc>
        <w:tc>
          <w:tcPr>
            <w:tcW w:w="6380" w:type="dxa"/>
            <w:vAlign w:val="bottom"/>
            <w:tcBorders>
              <w:bottom w:val="single" w:sz="8" w:color="auto"/>
            </w:tcBorders>
          </w:tcPr>
          <w:p>
            <w:pPr>
              <w:ind w:left="1800"/>
              <w:spacing w:after="0"/>
              <w:rPr>
                <w:sz w:val="20"/>
                <w:szCs w:val="20"/>
                <w:color w:val="auto"/>
              </w:rPr>
            </w:pPr>
            <w:r>
              <w:rPr>
                <w:rFonts w:ascii="Arial" w:cs="Arial" w:eastAsia="Arial" w:hAnsi="Arial"/>
                <w:sz w:val="14"/>
                <w:szCs w:val="14"/>
                <w:b w:val="1"/>
                <w:bCs w:val="1"/>
                <w:color w:val="auto"/>
              </w:rPr>
              <w:t>Principal Occupation(s) During the Past 5 Years</w:t>
            </w:r>
          </w:p>
        </w:tc>
        <w:tc>
          <w:tcPr>
            <w:tcW w:w="0" w:type="dxa"/>
            <w:vAlign w:val="bottom"/>
          </w:tcPr>
          <w:p>
            <w:pPr>
              <w:spacing w:after="0"/>
              <w:rPr>
                <w:sz w:val="1"/>
                <w:szCs w:val="1"/>
                <w:color w:val="auto"/>
              </w:rPr>
            </w:pPr>
          </w:p>
        </w:tc>
      </w:tr>
      <w:tr>
        <w:trPr>
          <w:trHeight w:val="201"/>
        </w:trPr>
        <w:tc>
          <w:tcPr>
            <w:tcW w:w="1560" w:type="dxa"/>
            <w:vAlign w:val="bottom"/>
          </w:tcPr>
          <w:p>
            <w:pPr>
              <w:spacing w:after="0" w:line="201" w:lineRule="exact"/>
              <w:rPr>
                <w:sz w:val="20"/>
                <w:szCs w:val="20"/>
                <w:color w:val="auto"/>
              </w:rPr>
            </w:pPr>
            <w:r>
              <w:rPr>
                <w:rFonts w:ascii="Arial" w:cs="Arial" w:eastAsia="Arial" w:hAnsi="Arial"/>
                <w:sz w:val="18"/>
                <w:szCs w:val="18"/>
                <w:color w:val="auto"/>
              </w:rPr>
              <w:t>Aviv Efrat (45)</w:t>
            </w:r>
          </w:p>
        </w:tc>
        <w:tc>
          <w:tcPr>
            <w:tcW w:w="1080" w:type="dxa"/>
            <w:vAlign w:val="bottom"/>
          </w:tcPr>
          <w:p>
            <w:pPr>
              <w:spacing w:after="0"/>
              <w:rPr>
                <w:sz w:val="17"/>
                <w:szCs w:val="17"/>
                <w:color w:val="auto"/>
              </w:rPr>
            </w:pPr>
          </w:p>
        </w:tc>
        <w:tc>
          <w:tcPr>
            <w:tcW w:w="2180" w:type="dxa"/>
            <w:vAlign w:val="bottom"/>
          </w:tcPr>
          <w:p>
            <w:pPr>
              <w:spacing w:after="0" w:line="201" w:lineRule="exact"/>
              <w:rPr>
                <w:sz w:val="20"/>
                <w:szCs w:val="20"/>
                <w:color w:val="auto"/>
              </w:rPr>
            </w:pPr>
            <w:r>
              <w:rPr>
                <w:rFonts w:ascii="Arial" w:cs="Arial" w:eastAsia="Arial" w:hAnsi="Arial"/>
                <w:sz w:val="18"/>
                <w:szCs w:val="18"/>
                <w:color w:val="auto"/>
              </w:rPr>
              <w:t>Chief Financial Officer and</w:t>
            </w:r>
          </w:p>
        </w:tc>
        <w:tc>
          <w:tcPr>
            <w:tcW w:w="220" w:type="dxa"/>
            <w:vAlign w:val="bottom"/>
          </w:tcPr>
          <w:p>
            <w:pPr>
              <w:spacing w:after="0"/>
              <w:rPr>
                <w:sz w:val="17"/>
                <w:szCs w:val="17"/>
                <w:color w:val="auto"/>
              </w:rPr>
            </w:pPr>
          </w:p>
        </w:tc>
        <w:tc>
          <w:tcPr>
            <w:tcW w:w="6380" w:type="dxa"/>
            <w:vAlign w:val="bottom"/>
          </w:tcPr>
          <w:p>
            <w:pPr>
              <w:spacing w:after="0" w:line="201" w:lineRule="exact"/>
              <w:rPr>
                <w:sz w:val="20"/>
                <w:szCs w:val="20"/>
                <w:color w:val="auto"/>
              </w:rPr>
            </w:pPr>
            <w:r>
              <w:rPr>
                <w:rFonts w:ascii="Arial" w:cs="Arial" w:eastAsia="Arial" w:hAnsi="Arial"/>
                <w:sz w:val="18"/>
                <w:szCs w:val="18"/>
                <w:color w:val="auto"/>
                <w:w w:val="95"/>
              </w:rPr>
              <w:t>Chief Financial Officer and Treasurer of PennantPark Investment Corporation since</w:t>
            </w:r>
          </w:p>
        </w:tc>
        <w:tc>
          <w:tcPr>
            <w:tcW w:w="0" w:type="dxa"/>
            <w:vAlign w:val="bottom"/>
          </w:tcPr>
          <w:p>
            <w:pPr>
              <w:spacing w:after="0"/>
              <w:rPr>
                <w:sz w:val="1"/>
                <w:szCs w:val="1"/>
                <w:color w:val="auto"/>
              </w:rPr>
            </w:pPr>
          </w:p>
        </w:tc>
      </w:tr>
      <w:tr>
        <w:trPr>
          <w:trHeight w:val="216"/>
        </w:trPr>
        <w:tc>
          <w:tcPr>
            <w:tcW w:w="15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180" w:type="dxa"/>
            <w:vAlign w:val="bottom"/>
          </w:tcPr>
          <w:p>
            <w:pPr>
              <w:spacing w:after="0"/>
              <w:rPr>
                <w:sz w:val="20"/>
                <w:szCs w:val="20"/>
                <w:color w:val="auto"/>
              </w:rPr>
            </w:pPr>
            <w:r>
              <w:rPr>
                <w:rFonts w:ascii="Arial" w:cs="Arial" w:eastAsia="Arial" w:hAnsi="Arial"/>
                <w:sz w:val="18"/>
                <w:szCs w:val="18"/>
                <w:color w:val="auto"/>
              </w:rPr>
              <w:t>Treasurer</w:t>
            </w:r>
          </w:p>
        </w:tc>
        <w:tc>
          <w:tcPr>
            <w:tcW w:w="220" w:type="dxa"/>
            <w:vAlign w:val="bottom"/>
          </w:tcPr>
          <w:p>
            <w:pPr>
              <w:spacing w:after="0"/>
              <w:rPr>
                <w:sz w:val="18"/>
                <w:szCs w:val="18"/>
                <w:color w:val="auto"/>
              </w:rPr>
            </w:pPr>
          </w:p>
        </w:tc>
        <w:tc>
          <w:tcPr>
            <w:tcW w:w="6380" w:type="dxa"/>
            <w:vAlign w:val="bottom"/>
          </w:tcPr>
          <w:p>
            <w:pPr>
              <w:spacing w:after="0"/>
              <w:rPr>
                <w:sz w:val="20"/>
                <w:szCs w:val="20"/>
                <w:color w:val="auto"/>
              </w:rPr>
            </w:pPr>
            <w:r>
              <w:rPr>
                <w:rFonts w:ascii="Arial" w:cs="Arial" w:eastAsia="Arial" w:hAnsi="Arial"/>
                <w:sz w:val="18"/>
                <w:szCs w:val="18"/>
                <w:color w:val="auto"/>
                <w:w w:val="93"/>
              </w:rPr>
              <w:t>inception in 2007. Managing Director of PennantPark Investment Administration, LLC</w:t>
            </w:r>
          </w:p>
        </w:tc>
        <w:tc>
          <w:tcPr>
            <w:tcW w:w="0" w:type="dxa"/>
            <w:vAlign w:val="bottom"/>
          </w:tcPr>
          <w:p>
            <w:pPr>
              <w:spacing w:after="0"/>
              <w:rPr>
                <w:sz w:val="1"/>
                <w:szCs w:val="1"/>
                <w:color w:val="auto"/>
              </w:rPr>
            </w:pPr>
          </w:p>
        </w:tc>
      </w:tr>
      <w:tr>
        <w:trPr>
          <w:trHeight w:val="216"/>
        </w:trPr>
        <w:tc>
          <w:tcPr>
            <w:tcW w:w="15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380" w:type="dxa"/>
            <w:vAlign w:val="bottom"/>
          </w:tcPr>
          <w:p>
            <w:pPr>
              <w:spacing w:after="0"/>
              <w:rPr>
                <w:sz w:val="20"/>
                <w:szCs w:val="20"/>
                <w:color w:val="auto"/>
              </w:rPr>
            </w:pPr>
            <w:r>
              <w:rPr>
                <w:rFonts w:ascii="Arial" w:cs="Arial" w:eastAsia="Arial" w:hAnsi="Arial"/>
                <w:sz w:val="18"/>
                <w:szCs w:val="18"/>
                <w:color w:val="auto"/>
                <w:w w:val="92"/>
              </w:rPr>
              <w:t>since inception in 2007. A Director at BlackRock, Inc. from 1997 to 2007 where he was</w:t>
            </w:r>
          </w:p>
        </w:tc>
        <w:tc>
          <w:tcPr>
            <w:tcW w:w="0" w:type="dxa"/>
            <w:vAlign w:val="bottom"/>
          </w:tcPr>
          <w:p>
            <w:pPr>
              <w:spacing w:after="0"/>
              <w:rPr>
                <w:sz w:val="1"/>
                <w:szCs w:val="1"/>
                <w:color w:val="auto"/>
              </w:rPr>
            </w:pPr>
          </w:p>
        </w:tc>
      </w:tr>
      <w:tr>
        <w:trPr>
          <w:trHeight w:val="216"/>
        </w:trPr>
        <w:tc>
          <w:tcPr>
            <w:tcW w:w="15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380" w:type="dxa"/>
            <w:vAlign w:val="bottom"/>
          </w:tcPr>
          <w:p>
            <w:pPr>
              <w:spacing w:after="0"/>
              <w:rPr>
                <w:sz w:val="20"/>
                <w:szCs w:val="20"/>
                <w:color w:val="auto"/>
              </w:rPr>
            </w:pPr>
            <w:r>
              <w:rPr>
                <w:rFonts w:ascii="Arial" w:cs="Arial" w:eastAsia="Arial" w:hAnsi="Arial"/>
                <w:sz w:val="18"/>
                <w:szCs w:val="18"/>
                <w:color w:val="auto"/>
                <w:w w:val="88"/>
              </w:rPr>
              <w:t>responsible for a variety of administrative, operational, and financial aspects of closed-end</w:t>
            </w:r>
          </w:p>
        </w:tc>
        <w:tc>
          <w:tcPr>
            <w:tcW w:w="0" w:type="dxa"/>
            <w:vAlign w:val="bottom"/>
          </w:tcPr>
          <w:p>
            <w:pPr>
              <w:spacing w:after="0"/>
              <w:rPr>
                <w:sz w:val="1"/>
                <w:szCs w:val="1"/>
                <w:color w:val="auto"/>
              </w:rPr>
            </w:pPr>
          </w:p>
        </w:tc>
      </w:tr>
      <w:tr>
        <w:trPr>
          <w:trHeight w:val="222"/>
        </w:trPr>
        <w:tc>
          <w:tcPr>
            <w:tcW w:w="156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21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380" w:type="dxa"/>
            <w:vAlign w:val="bottom"/>
          </w:tcPr>
          <w:p>
            <w:pPr>
              <w:spacing w:after="0"/>
              <w:rPr>
                <w:sz w:val="20"/>
                <w:szCs w:val="20"/>
                <w:color w:val="auto"/>
              </w:rPr>
            </w:pPr>
            <w:r>
              <w:rPr>
                <w:rFonts w:ascii="Arial" w:cs="Arial" w:eastAsia="Arial" w:hAnsi="Arial"/>
                <w:sz w:val="18"/>
                <w:szCs w:val="18"/>
                <w:color w:val="auto"/>
              </w:rPr>
              <w:t>and open-end registered investment companies.</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69850</wp:posOffset>
            </wp:positionV>
            <wp:extent cx="728980" cy="88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22" w:lineRule="exact"/>
        <w:rPr>
          <w:sz w:val="20"/>
          <w:szCs w:val="20"/>
          <w:color w:val="auto"/>
        </w:rPr>
      </w:pPr>
    </w:p>
    <w:p>
      <w:pPr>
        <w:ind w:left="460" w:hanging="452"/>
        <w:spacing w:after="0"/>
        <w:tabs>
          <w:tab w:leader="none" w:pos="460" w:val="left"/>
        </w:tabs>
        <w:numPr>
          <w:ilvl w:val="0"/>
          <w:numId w:val="12"/>
        </w:numPr>
        <w:rPr>
          <w:rFonts w:ascii="Arial" w:cs="Arial" w:eastAsia="Arial" w:hAnsi="Arial"/>
          <w:sz w:val="16"/>
          <w:szCs w:val="16"/>
          <w:color w:val="auto"/>
        </w:rPr>
      </w:pPr>
      <w:r>
        <w:rPr>
          <w:rFonts w:ascii="Arial" w:cs="Arial" w:eastAsia="Arial" w:hAnsi="Arial"/>
          <w:sz w:val="16"/>
          <w:szCs w:val="16"/>
          <w:color w:val="auto"/>
        </w:rPr>
        <w:t>The business address of executive officer is c/o PennantPark Investment Corporation, 590 Madison Avenue, 15th Floor, New York, New York 10022.</w:t>
      </w:r>
    </w:p>
    <w:p>
      <w:pPr>
        <w:spacing w:after="0" w:line="2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Information about Chief Compliance Officer</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information, as of the Record Date, pertains to our Chief Compliance Officer who is not a director of the Company.</w:t>
      </w:r>
    </w:p>
    <w:p>
      <w:pPr>
        <w:spacing w:after="0" w:line="19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560" w:type="dxa"/>
            <w:vAlign w:val="bottom"/>
            <w:vMerge w:val="restart"/>
          </w:tcPr>
          <w:p>
            <w:pPr>
              <w:spacing w:after="0"/>
              <w:rPr>
                <w:sz w:val="20"/>
                <w:szCs w:val="20"/>
                <w:color w:val="auto"/>
              </w:rPr>
            </w:pPr>
            <w:r>
              <w:rPr>
                <w:rFonts w:ascii="Arial" w:cs="Arial" w:eastAsia="Arial" w:hAnsi="Arial"/>
                <w:sz w:val="14"/>
                <w:szCs w:val="14"/>
                <w:b w:val="1"/>
                <w:bCs w:val="1"/>
                <w:color w:val="auto"/>
                <w:w w:val="87"/>
              </w:rPr>
              <w:t>Name Address and Age</w:t>
            </w:r>
            <w:r>
              <w:rPr>
                <w:rFonts w:ascii="Arial" w:cs="Arial" w:eastAsia="Arial" w:hAnsi="Arial"/>
                <w:sz w:val="22"/>
                <w:szCs w:val="22"/>
                <w:b w:val="1"/>
                <w:bCs w:val="1"/>
                <w:color w:val="auto"/>
                <w:w w:val="87"/>
                <w:vertAlign w:val="superscript"/>
              </w:rPr>
              <w:t>(1)</w:t>
            </w:r>
          </w:p>
        </w:tc>
        <w:tc>
          <w:tcPr>
            <w:tcW w:w="1080" w:type="dxa"/>
            <w:vAlign w:val="bottom"/>
          </w:tcPr>
          <w:p>
            <w:pPr>
              <w:spacing w:after="0"/>
              <w:rPr>
                <w:sz w:val="14"/>
                <w:szCs w:val="14"/>
                <w:color w:val="auto"/>
              </w:rPr>
            </w:pPr>
          </w:p>
        </w:tc>
        <w:tc>
          <w:tcPr>
            <w:tcW w:w="2180" w:type="dxa"/>
            <w:vAlign w:val="bottom"/>
          </w:tcPr>
          <w:p>
            <w:pPr>
              <w:ind w:left="640"/>
              <w:spacing w:after="0"/>
              <w:rPr>
                <w:sz w:val="20"/>
                <w:szCs w:val="20"/>
                <w:color w:val="auto"/>
              </w:rPr>
            </w:pPr>
            <w:r>
              <w:rPr>
                <w:rFonts w:ascii="Arial" w:cs="Arial" w:eastAsia="Arial" w:hAnsi="Arial"/>
                <w:sz w:val="14"/>
                <w:szCs w:val="14"/>
                <w:b w:val="1"/>
                <w:bCs w:val="1"/>
                <w:color w:val="auto"/>
              </w:rPr>
              <w:t>Position(s) held</w:t>
            </w:r>
          </w:p>
        </w:tc>
        <w:tc>
          <w:tcPr>
            <w:tcW w:w="220" w:type="dxa"/>
            <w:vAlign w:val="bottom"/>
          </w:tcPr>
          <w:p>
            <w:pPr>
              <w:spacing w:after="0"/>
              <w:rPr>
                <w:sz w:val="14"/>
                <w:szCs w:val="14"/>
                <w:color w:val="auto"/>
              </w:rPr>
            </w:pPr>
          </w:p>
        </w:tc>
        <w:tc>
          <w:tcPr>
            <w:tcW w:w="63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5"/>
        </w:trPr>
        <w:tc>
          <w:tcPr>
            <w:tcW w:w="1560" w:type="dxa"/>
            <w:vAlign w:val="bottom"/>
            <w:tcBorders>
              <w:bottom w:val="single" w:sz="8" w:color="auto"/>
            </w:tcBorders>
            <w:vMerge w:val="continue"/>
          </w:tcPr>
          <w:p>
            <w:pPr>
              <w:spacing w:after="0"/>
              <w:rPr>
                <w:sz w:val="15"/>
                <w:szCs w:val="15"/>
                <w:color w:val="auto"/>
              </w:rPr>
            </w:pPr>
          </w:p>
        </w:tc>
        <w:tc>
          <w:tcPr>
            <w:tcW w:w="1080" w:type="dxa"/>
            <w:vAlign w:val="bottom"/>
          </w:tcPr>
          <w:p>
            <w:pPr>
              <w:spacing w:after="0"/>
              <w:rPr>
                <w:sz w:val="15"/>
                <w:szCs w:val="15"/>
                <w:color w:val="auto"/>
              </w:rPr>
            </w:pPr>
          </w:p>
        </w:tc>
        <w:tc>
          <w:tcPr>
            <w:tcW w:w="2180" w:type="dxa"/>
            <w:vAlign w:val="bottom"/>
            <w:tcBorders>
              <w:bottom w:val="single" w:sz="8" w:color="auto"/>
            </w:tcBorders>
          </w:tcPr>
          <w:p>
            <w:pPr>
              <w:ind w:left="660"/>
              <w:spacing w:after="0"/>
              <w:rPr>
                <w:sz w:val="20"/>
                <w:szCs w:val="20"/>
                <w:color w:val="auto"/>
              </w:rPr>
            </w:pPr>
            <w:r>
              <w:rPr>
                <w:rFonts w:ascii="Arial" w:cs="Arial" w:eastAsia="Arial" w:hAnsi="Arial"/>
                <w:sz w:val="14"/>
                <w:szCs w:val="14"/>
                <w:b w:val="1"/>
                <w:bCs w:val="1"/>
                <w:color w:val="auto"/>
              </w:rPr>
              <w:t>with Company</w:t>
            </w:r>
          </w:p>
        </w:tc>
        <w:tc>
          <w:tcPr>
            <w:tcW w:w="220" w:type="dxa"/>
            <w:vAlign w:val="bottom"/>
          </w:tcPr>
          <w:p>
            <w:pPr>
              <w:spacing w:after="0"/>
              <w:rPr>
                <w:sz w:val="15"/>
                <w:szCs w:val="15"/>
                <w:color w:val="auto"/>
              </w:rPr>
            </w:pPr>
          </w:p>
        </w:tc>
        <w:tc>
          <w:tcPr>
            <w:tcW w:w="6380" w:type="dxa"/>
            <w:vAlign w:val="bottom"/>
            <w:tcBorders>
              <w:bottom w:val="single" w:sz="8" w:color="auto"/>
            </w:tcBorders>
          </w:tcPr>
          <w:p>
            <w:pPr>
              <w:ind w:left="1800"/>
              <w:spacing w:after="0"/>
              <w:rPr>
                <w:sz w:val="20"/>
                <w:szCs w:val="20"/>
                <w:color w:val="auto"/>
              </w:rPr>
            </w:pPr>
            <w:r>
              <w:rPr>
                <w:rFonts w:ascii="Arial" w:cs="Arial" w:eastAsia="Arial" w:hAnsi="Arial"/>
                <w:sz w:val="14"/>
                <w:szCs w:val="14"/>
                <w:b w:val="1"/>
                <w:bCs w:val="1"/>
                <w:color w:val="auto"/>
              </w:rPr>
              <w:t>Principal Occupation(s) During the Past 5 Years</w:t>
            </w:r>
          </w:p>
        </w:tc>
        <w:tc>
          <w:tcPr>
            <w:tcW w:w="0" w:type="dxa"/>
            <w:vAlign w:val="bottom"/>
          </w:tcPr>
          <w:p>
            <w:pPr>
              <w:spacing w:after="0"/>
              <w:rPr>
                <w:sz w:val="1"/>
                <w:szCs w:val="1"/>
                <w:color w:val="auto"/>
              </w:rPr>
            </w:pPr>
          </w:p>
        </w:tc>
      </w:tr>
      <w:tr>
        <w:trPr>
          <w:trHeight w:val="201"/>
        </w:trPr>
        <w:tc>
          <w:tcPr>
            <w:tcW w:w="1560" w:type="dxa"/>
            <w:vAlign w:val="bottom"/>
          </w:tcPr>
          <w:p>
            <w:pPr>
              <w:spacing w:after="0" w:line="201" w:lineRule="exact"/>
              <w:rPr>
                <w:sz w:val="20"/>
                <w:szCs w:val="20"/>
                <w:color w:val="auto"/>
              </w:rPr>
            </w:pPr>
            <w:r>
              <w:rPr>
                <w:rFonts w:ascii="Arial" w:cs="Arial" w:eastAsia="Arial" w:hAnsi="Arial"/>
                <w:sz w:val="18"/>
                <w:szCs w:val="18"/>
                <w:color w:val="auto"/>
                <w:w w:val="96"/>
              </w:rPr>
              <w:t>Guy F. Talarico (52)</w:t>
            </w:r>
          </w:p>
        </w:tc>
        <w:tc>
          <w:tcPr>
            <w:tcW w:w="1080" w:type="dxa"/>
            <w:vAlign w:val="bottom"/>
          </w:tcPr>
          <w:p>
            <w:pPr>
              <w:spacing w:after="0"/>
              <w:rPr>
                <w:sz w:val="17"/>
                <w:szCs w:val="17"/>
                <w:color w:val="auto"/>
              </w:rPr>
            </w:pPr>
          </w:p>
        </w:tc>
        <w:tc>
          <w:tcPr>
            <w:tcW w:w="2180" w:type="dxa"/>
            <w:vAlign w:val="bottom"/>
          </w:tcPr>
          <w:p>
            <w:pPr>
              <w:spacing w:after="0" w:line="201" w:lineRule="exact"/>
              <w:rPr>
                <w:sz w:val="20"/>
                <w:szCs w:val="20"/>
                <w:color w:val="auto"/>
              </w:rPr>
            </w:pPr>
            <w:r>
              <w:rPr>
                <w:rFonts w:ascii="Arial" w:cs="Arial" w:eastAsia="Arial" w:hAnsi="Arial"/>
                <w:sz w:val="18"/>
                <w:szCs w:val="18"/>
                <w:color w:val="auto"/>
              </w:rPr>
              <w:t>Chief Compliance Officer</w:t>
            </w:r>
          </w:p>
        </w:tc>
        <w:tc>
          <w:tcPr>
            <w:tcW w:w="220" w:type="dxa"/>
            <w:vAlign w:val="bottom"/>
          </w:tcPr>
          <w:p>
            <w:pPr>
              <w:spacing w:after="0"/>
              <w:rPr>
                <w:sz w:val="17"/>
                <w:szCs w:val="17"/>
                <w:color w:val="auto"/>
              </w:rPr>
            </w:pPr>
          </w:p>
        </w:tc>
        <w:tc>
          <w:tcPr>
            <w:tcW w:w="6380" w:type="dxa"/>
            <w:vAlign w:val="bottom"/>
          </w:tcPr>
          <w:p>
            <w:pPr>
              <w:spacing w:after="0" w:line="201" w:lineRule="exact"/>
              <w:rPr>
                <w:sz w:val="20"/>
                <w:szCs w:val="20"/>
                <w:color w:val="auto"/>
              </w:rPr>
            </w:pPr>
            <w:r>
              <w:rPr>
                <w:rFonts w:ascii="Arial" w:cs="Arial" w:eastAsia="Arial" w:hAnsi="Arial"/>
                <w:sz w:val="18"/>
                <w:szCs w:val="18"/>
                <w:color w:val="auto"/>
                <w:w w:val="92"/>
              </w:rPr>
              <w:t>Chief Compliance Officer of PennantPark Investment Corporation since May 2008. Mr.</w:t>
            </w:r>
          </w:p>
        </w:tc>
        <w:tc>
          <w:tcPr>
            <w:tcW w:w="0" w:type="dxa"/>
            <w:vAlign w:val="bottom"/>
          </w:tcPr>
          <w:p>
            <w:pPr>
              <w:spacing w:after="0"/>
              <w:rPr>
                <w:sz w:val="1"/>
                <w:szCs w:val="1"/>
                <w:color w:val="auto"/>
              </w:rPr>
            </w:pPr>
          </w:p>
        </w:tc>
      </w:tr>
      <w:tr>
        <w:trPr>
          <w:trHeight w:val="216"/>
        </w:trPr>
        <w:tc>
          <w:tcPr>
            <w:tcW w:w="15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380" w:type="dxa"/>
            <w:vAlign w:val="bottom"/>
          </w:tcPr>
          <w:p>
            <w:pPr>
              <w:spacing w:after="0"/>
              <w:rPr>
                <w:sz w:val="20"/>
                <w:szCs w:val="20"/>
                <w:color w:val="auto"/>
              </w:rPr>
            </w:pPr>
            <w:r>
              <w:rPr>
                <w:rFonts w:ascii="Arial" w:cs="Arial" w:eastAsia="Arial" w:hAnsi="Arial"/>
                <w:sz w:val="18"/>
                <w:szCs w:val="18"/>
                <w:color w:val="auto"/>
                <w:w w:val="92"/>
              </w:rPr>
              <w:t>Talarico has served as Chief Compliance Officer for investment advisers, private funds</w:t>
            </w:r>
          </w:p>
        </w:tc>
        <w:tc>
          <w:tcPr>
            <w:tcW w:w="0" w:type="dxa"/>
            <w:vAlign w:val="bottom"/>
          </w:tcPr>
          <w:p>
            <w:pPr>
              <w:spacing w:after="0"/>
              <w:rPr>
                <w:sz w:val="1"/>
                <w:szCs w:val="1"/>
                <w:color w:val="auto"/>
              </w:rPr>
            </w:pPr>
          </w:p>
        </w:tc>
      </w:tr>
      <w:tr>
        <w:trPr>
          <w:trHeight w:val="216"/>
        </w:trPr>
        <w:tc>
          <w:tcPr>
            <w:tcW w:w="15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380" w:type="dxa"/>
            <w:vAlign w:val="bottom"/>
          </w:tcPr>
          <w:p>
            <w:pPr>
              <w:spacing w:after="0"/>
              <w:rPr>
                <w:sz w:val="20"/>
                <w:szCs w:val="20"/>
                <w:color w:val="auto"/>
              </w:rPr>
            </w:pPr>
            <w:r>
              <w:rPr>
                <w:rFonts w:ascii="Arial" w:cs="Arial" w:eastAsia="Arial" w:hAnsi="Arial"/>
                <w:sz w:val="18"/>
                <w:szCs w:val="18"/>
                <w:color w:val="auto"/>
                <w:w w:val="96"/>
              </w:rPr>
              <w:t>and investment companies since 2004. From 2001 to 2004 Mr. Talarico was senior</w:t>
            </w:r>
          </w:p>
        </w:tc>
        <w:tc>
          <w:tcPr>
            <w:tcW w:w="0" w:type="dxa"/>
            <w:vAlign w:val="bottom"/>
          </w:tcPr>
          <w:p>
            <w:pPr>
              <w:spacing w:after="0"/>
              <w:rPr>
                <w:sz w:val="1"/>
                <w:szCs w:val="1"/>
                <w:color w:val="auto"/>
              </w:rPr>
            </w:pPr>
          </w:p>
        </w:tc>
      </w:tr>
      <w:tr>
        <w:trPr>
          <w:trHeight w:val="216"/>
        </w:trPr>
        <w:tc>
          <w:tcPr>
            <w:tcW w:w="15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380" w:type="dxa"/>
            <w:vAlign w:val="bottom"/>
          </w:tcPr>
          <w:p>
            <w:pPr>
              <w:spacing w:after="0"/>
              <w:rPr>
                <w:sz w:val="20"/>
                <w:szCs w:val="20"/>
                <w:color w:val="auto"/>
              </w:rPr>
            </w:pPr>
            <w:r>
              <w:rPr>
                <w:rFonts w:ascii="Arial" w:cs="Arial" w:eastAsia="Arial" w:hAnsi="Arial"/>
                <w:sz w:val="18"/>
                <w:szCs w:val="18"/>
                <w:color w:val="auto"/>
                <w:w w:val="89"/>
              </w:rPr>
              <w:t>director at Investors Bank &amp; Trust Company where he was servicing investment advisers,</w:t>
            </w:r>
          </w:p>
        </w:tc>
        <w:tc>
          <w:tcPr>
            <w:tcW w:w="0" w:type="dxa"/>
            <w:vAlign w:val="bottom"/>
          </w:tcPr>
          <w:p>
            <w:pPr>
              <w:spacing w:after="0"/>
              <w:rPr>
                <w:sz w:val="1"/>
                <w:szCs w:val="1"/>
                <w:color w:val="auto"/>
              </w:rPr>
            </w:pPr>
          </w:p>
        </w:tc>
      </w:tr>
      <w:tr>
        <w:trPr>
          <w:trHeight w:val="216"/>
        </w:trPr>
        <w:tc>
          <w:tcPr>
            <w:tcW w:w="15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380" w:type="dxa"/>
            <w:vAlign w:val="bottom"/>
          </w:tcPr>
          <w:p>
            <w:pPr>
              <w:spacing w:after="0"/>
              <w:rPr>
                <w:sz w:val="20"/>
                <w:szCs w:val="20"/>
                <w:color w:val="auto"/>
              </w:rPr>
            </w:pPr>
            <w:r>
              <w:rPr>
                <w:rFonts w:ascii="Arial" w:cs="Arial" w:eastAsia="Arial" w:hAnsi="Arial"/>
                <w:sz w:val="18"/>
                <w:szCs w:val="18"/>
                <w:color w:val="auto"/>
                <w:w w:val="92"/>
              </w:rPr>
              <w:t>mutual funds and institutions. From 1986 to 2001 Mr. Talarico was a division executive</w:t>
            </w:r>
          </w:p>
        </w:tc>
        <w:tc>
          <w:tcPr>
            <w:tcW w:w="0" w:type="dxa"/>
            <w:vAlign w:val="bottom"/>
          </w:tcPr>
          <w:p>
            <w:pPr>
              <w:spacing w:after="0"/>
              <w:rPr>
                <w:sz w:val="1"/>
                <w:szCs w:val="1"/>
                <w:color w:val="auto"/>
              </w:rPr>
            </w:pPr>
          </w:p>
        </w:tc>
      </w:tr>
      <w:tr>
        <w:trPr>
          <w:trHeight w:val="222"/>
        </w:trPr>
        <w:tc>
          <w:tcPr>
            <w:tcW w:w="156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21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380" w:type="dxa"/>
            <w:vAlign w:val="bottom"/>
          </w:tcPr>
          <w:p>
            <w:pPr>
              <w:spacing w:after="0"/>
              <w:rPr>
                <w:sz w:val="20"/>
                <w:szCs w:val="20"/>
                <w:color w:val="auto"/>
              </w:rPr>
            </w:pPr>
            <w:r>
              <w:rPr>
                <w:rFonts w:ascii="Arial" w:cs="Arial" w:eastAsia="Arial" w:hAnsi="Arial"/>
                <w:sz w:val="18"/>
                <w:szCs w:val="18"/>
                <w:color w:val="auto"/>
              </w:rPr>
              <w:t>with JPMorgan Chase Bank, N.A.</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61595</wp:posOffset>
            </wp:positionV>
            <wp:extent cx="728980" cy="88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09" w:lineRule="exact"/>
        <w:rPr>
          <w:sz w:val="20"/>
          <w:szCs w:val="20"/>
          <w:color w:val="auto"/>
        </w:rPr>
      </w:pPr>
    </w:p>
    <w:p>
      <w:pPr>
        <w:ind w:left="460" w:hanging="452"/>
        <w:spacing w:after="0"/>
        <w:tabs>
          <w:tab w:leader="none" w:pos="460" w:val="left"/>
        </w:tabs>
        <w:numPr>
          <w:ilvl w:val="0"/>
          <w:numId w:val="13"/>
        </w:numPr>
        <w:rPr>
          <w:rFonts w:ascii="Arial" w:cs="Arial" w:eastAsia="Arial" w:hAnsi="Arial"/>
          <w:sz w:val="16"/>
          <w:szCs w:val="16"/>
          <w:color w:val="auto"/>
        </w:rPr>
      </w:pPr>
      <w:r>
        <w:rPr>
          <w:rFonts w:ascii="Arial" w:cs="Arial" w:eastAsia="Arial" w:hAnsi="Arial"/>
          <w:sz w:val="16"/>
          <w:szCs w:val="16"/>
          <w:color w:val="auto"/>
        </w:rPr>
        <w:t>The business address of officer is c/o PennantPark Investment Corporation, 590 Madison Avenue, 15th Floor, New York, New York 10022.</w:t>
      </w:r>
    </w:p>
    <w:p>
      <w:pPr>
        <w:spacing w:after="0" w:line="2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Nominating and Corporate Governance Committee</w:t>
      </w:r>
    </w:p>
    <w:p>
      <w:pPr>
        <w:spacing w:after="0" w:line="96" w:lineRule="exact"/>
        <w:rPr>
          <w:sz w:val="20"/>
          <w:szCs w:val="20"/>
          <w:color w:val="auto"/>
        </w:rPr>
      </w:pPr>
    </w:p>
    <w:p>
      <w:pPr>
        <w:ind w:right="60" w:firstLine="456"/>
        <w:spacing w:after="0" w:line="291" w:lineRule="auto"/>
        <w:rPr>
          <w:sz w:val="20"/>
          <w:szCs w:val="20"/>
          <w:color w:val="auto"/>
        </w:rPr>
      </w:pPr>
      <w:r>
        <w:rPr>
          <w:rFonts w:ascii="Arial" w:cs="Arial" w:eastAsia="Arial" w:hAnsi="Arial"/>
          <w:sz w:val="16"/>
          <w:szCs w:val="16"/>
          <w:color w:val="auto"/>
        </w:rPr>
        <w:t>The members of the Nominating and Corporate Governance Committee are Messrs. Bernstein, Brozost, Flug and Katz, each of whom is independent for purposes of the 1940 Act and the NASDAQ corporate governance rules. Messrs. Bernstein and Brozost serve as co-chairmen of the Nominating and Corporate Governance Committee. The Nominating and Corporate Governance Committee is responsible for selecting, researching and nominating directors for election by our Stockholders, selecting nominee to fill vacancies on the Board or a committee of the Board, developing and recommending to the Board a set of corporate governance principles and overseeing the evaluation of the Board and our management. The Nominating and Corporate Governance Committee has adopted a written Nominating and Corporate Governance Committee Charter that is available on the Company’s website (http://</w:t>
      </w:r>
      <w:r>
        <w:rPr>
          <w:rFonts w:ascii="Arial" w:cs="Arial" w:eastAsia="Arial" w:hAnsi="Arial"/>
          <w:sz w:val="16"/>
          <w:szCs w:val="16"/>
          <w:u w:val="single" w:color="auto"/>
          <w:color w:val="auto"/>
        </w:rPr>
        <w:t>www.pennantpark.com</w:t>
      </w:r>
      <w:r>
        <w:rPr>
          <w:rFonts w:ascii="Arial" w:cs="Arial" w:eastAsia="Arial" w:hAnsi="Arial"/>
          <w:sz w:val="16"/>
          <w:szCs w:val="16"/>
          <w:color w:val="auto"/>
        </w:rPr>
        <w:t>).</w:t>
      </w:r>
    </w:p>
    <w:p>
      <w:pPr>
        <w:spacing w:after="0" w:line="120" w:lineRule="exact"/>
        <w:rPr>
          <w:sz w:val="20"/>
          <w:szCs w:val="20"/>
          <w:color w:val="auto"/>
        </w:rPr>
      </w:pPr>
    </w:p>
    <w:p>
      <w:pPr>
        <w:ind w:right="260" w:firstLine="456"/>
        <w:spacing w:after="0" w:line="306" w:lineRule="auto"/>
        <w:rPr>
          <w:sz w:val="20"/>
          <w:szCs w:val="20"/>
          <w:color w:val="auto"/>
        </w:rPr>
      </w:pPr>
      <w:r>
        <w:rPr>
          <w:rFonts w:ascii="Arial" w:cs="Arial" w:eastAsia="Arial" w:hAnsi="Arial"/>
          <w:sz w:val="16"/>
          <w:szCs w:val="16"/>
          <w:color w:val="auto"/>
        </w:rPr>
        <w:t>The Nominating and Corporate Governance Committee will consider Stockholder recommendations for possible nominee for election as directors when such recommendations are submitted in accordance with the Company’s bylaws, the Nominating and Corporate Governance Committee Charter and any applicable law, rule or regulation regarding director nominations. Nominations should be sent to Thomas Friedmann, Secretary, c/o</w:t>
      </w:r>
    </w:p>
    <w:p>
      <w:pPr>
        <w:spacing w:after="0" w:line="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420"/>
          </w:cols>
          <w:pgMar w:left="240" w:top="274" w:right="239" w:bottom="1440" w:gutter="0" w:footer="0" w:header="0"/>
        </w:sectPr>
      </w:pPr>
    </w:p>
    <w:bookmarkStart w:id="14" w:name="page15"/>
    <w:bookmarkEnd w:id="14"/>
    <w:p>
      <w:pPr>
        <w:ind w:right="80"/>
        <w:spacing w:after="0" w:line="294"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PennantPark Investment Corporation, 590 Madison Avenue, 15th Floor, New York, New York 10022. When submitting a nomination to the Company for consideration, a stockholder must provide all information that would be required under applicable SEC rules to be disclosed in connection with election of a director, including the following minimum information for each director nominee: full name, age and address; principal occupation during the past five years; current directorships on publicly held companies and investment companies; number of shares of our Common Stock owned, if any; and, a written consent of the individual to stand for election if nominated by the Board of Directors and to serve if elected by the Stockholders.</w:t>
      </w:r>
    </w:p>
    <w:p>
      <w:pPr>
        <w:spacing w:after="0" w:line="116" w:lineRule="exact"/>
        <w:rPr>
          <w:sz w:val="20"/>
          <w:szCs w:val="20"/>
          <w:color w:val="auto"/>
        </w:rPr>
      </w:pPr>
    </w:p>
    <w:p>
      <w:pPr>
        <w:ind w:right="100" w:firstLine="456"/>
        <w:spacing w:after="0" w:line="290" w:lineRule="auto"/>
        <w:rPr>
          <w:sz w:val="20"/>
          <w:szCs w:val="20"/>
          <w:color w:val="auto"/>
        </w:rPr>
      </w:pPr>
      <w:r>
        <w:rPr>
          <w:rFonts w:ascii="Arial" w:cs="Arial" w:eastAsia="Arial" w:hAnsi="Arial"/>
          <w:sz w:val="16"/>
          <w:szCs w:val="16"/>
          <w:color w:val="auto"/>
        </w:rPr>
        <w:t>Criteria considered by the Nominating and Corporate Governance Committee in evaluating the qualifications of individuals for election as members of the Board of Directors include compliance with the independence and other applicable requirements of the NASDAQ corporate governance rules and the 1940 Act, and all other applicable laws, rules, regulations and listing standards, the criteria, policies and principles set forth in the Nominating and Corporate Governance Committee Charter, and the ability to contribute to the effective management of the Company, taking into account the needs of the Company and such factors as the individual’s experience, perspective, skills and knowledge of the industry in which the Company operates. The Nominating and Corporate Governance Committee also may consider such other factors as it may deem are in the best interests of the Company and its Stockholders. The Board of Directors also believes it is appropriate for a key member of the Company’s management to participate as a member of the Board of Directors.</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Compensation Committee</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We do not have a compensation committee because our executive officer does not receive compensation from us.</w:t>
      </w:r>
    </w:p>
    <w:p>
      <w:pPr>
        <w:spacing w:after="0" w:line="33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i w:val="1"/>
          <w:iCs w:val="1"/>
          <w:color w:val="auto"/>
        </w:rPr>
        <w:t>Communication with the Board of Directors</w:t>
      </w:r>
    </w:p>
    <w:p>
      <w:pPr>
        <w:spacing w:after="0" w:line="171" w:lineRule="exact"/>
        <w:rPr>
          <w:sz w:val="20"/>
          <w:szCs w:val="20"/>
          <w:color w:val="auto"/>
        </w:rPr>
      </w:pPr>
    </w:p>
    <w:p>
      <w:pPr>
        <w:ind w:right="160" w:firstLine="456"/>
        <w:spacing w:after="0" w:line="298" w:lineRule="auto"/>
        <w:rPr>
          <w:sz w:val="20"/>
          <w:szCs w:val="20"/>
          <w:color w:val="auto"/>
        </w:rPr>
      </w:pPr>
      <w:r>
        <w:rPr>
          <w:rFonts w:ascii="Arial" w:cs="Arial" w:eastAsia="Arial" w:hAnsi="Arial"/>
          <w:sz w:val="16"/>
          <w:szCs w:val="16"/>
          <w:color w:val="auto"/>
        </w:rPr>
        <w:t>Stockholders with questions about the Company are encouraged to contact PennantPark Investment Corporation’s Investor Relations Department. However, if Stockholders believe that their questions have not been addressed, they may communicate with the Company’s Board of Directors by sending their communications to Thomas Friedmann, Secretary, c/o PennantPark Investment Corporation, 590 Madison Avenue, 15th Floor, New York, New York 10022. All stockholder communications received in this manner will be delivered to one or more members of the Board of Directors.</w:t>
      </w:r>
    </w:p>
    <w:p>
      <w:pPr>
        <w:spacing w:after="0" w:line="194"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i w:val="1"/>
          <w:iCs w:val="1"/>
          <w:color w:val="auto"/>
        </w:rPr>
        <w:t>Code of Conduct and Code of Ethics</w:t>
      </w:r>
    </w:p>
    <w:p>
      <w:pPr>
        <w:spacing w:after="0" w:line="171" w:lineRule="exact"/>
        <w:rPr>
          <w:sz w:val="20"/>
          <w:szCs w:val="20"/>
          <w:color w:val="auto"/>
        </w:rPr>
      </w:pPr>
    </w:p>
    <w:p>
      <w:pPr>
        <w:ind w:firstLine="456"/>
        <w:spacing w:after="0" w:line="298" w:lineRule="auto"/>
        <w:rPr>
          <w:sz w:val="20"/>
          <w:szCs w:val="20"/>
          <w:color w:val="auto"/>
        </w:rPr>
      </w:pPr>
      <w:r>
        <w:rPr>
          <w:rFonts w:ascii="Arial" w:cs="Arial" w:eastAsia="Arial" w:hAnsi="Arial"/>
          <w:sz w:val="16"/>
          <w:szCs w:val="16"/>
          <w:color w:val="auto"/>
        </w:rPr>
        <w:t>We expect each of our officers and directors, as well as any person affiliated with our operations, to act in accordance with the highest standards of personal and professional integrity at all times, and to comply with the Company’s policies and procedures and all laws, rules and regulations of any applicable international, federal, provincial, state or local government. To this effect, the Company has adopted a Code of Conduct, which is posted on the Company’s website at http://</w:t>
      </w:r>
      <w:r>
        <w:rPr>
          <w:rFonts w:ascii="Arial" w:cs="Arial" w:eastAsia="Arial" w:hAnsi="Arial"/>
          <w:sz w:val="16"/>
          <w:szCs w:val="16"/>
          <w:u w:val="single" w:color="auto"/>
          <w:color w:val="auto"/>
        </w:rPr>
        <w:t>www.pennantpark.com</w:t>
      </w:r>
      <w:r>
        <w:rPr>
          <w:rFonts w:ascii="Arial" w:cs="Arial" w:eastAsia="Arial" w:hAnsi="Arial"/>
          <w:sz w:val="16"/>
          <w:szCs w:val="16"/>
          <w:color w:val="auto"/>
        </w:rPr>
        <w:t>. The Code of Conduct applies to the Company’s directors, executive officer, officer, and their staffs.</w:t>
      </w:r>
    </w:p>
    <w:p>
      <w:pPr>
        <w:spacing w:after="0" w:line="113" w:lineRule="exact"/>
        <w:rPr>
          <w:sz w:val="20"/>
          <w:szCs w:val="20"/>
          <w:color w:val="auto"/>
        </w:rPr>
      </w:pPr>
    </w:p>
    <w:p>
      <w:pPr>
        <w:ind w:right="60" w:firstLine="456"/>
        <w:spacing w:after="0" w:line="291" w:lineRule="auto"/>
        <w:rPr>
          <w:sz w:val="20"/>
          <w:szCs w:val="20"/>
          <w:color w:val="auto"/>
        </w:rPr>
      </w:pPr>
      <w:r>
        <w:rPr>
          <w:rFonts w:ascii="Arial" w:cs="Arial" w:eastAsia="Arial" w:hAnsi="Arial"/>
          <w:sz w:val="16"/>
          <w:szCs w:val="16"/>
          <w:color w:val="auto"/>
        </w:rPr>
        <w:t>As required by the 1940 Act, we maintain a Joint Code of Ethics with PennantPark Investment Advisers, LLC that establishes procedures that apply to our directors, executive officer, officer, their respective staffs and the employees of PennantPark Investment Advisers, LLC with respect to their personal investments and investment transactions. Our Joint Code of Ethics generally does not permit investments by our directors, officers or any other covered person in securities that may be purchased or held by us. We filed our Joint Code of Ethics as Exhibit 14.1 to our Annual Report on Form 10-K, filed with the SEC on November 18, 2009, and you may access it via the Internet site of the SEC at http://</w:t>
      </w:r>
      <w:r>
        <w:rPr>
          <w:rFonts w:ascii="Arial" w:cs="Arial" w:eastAsia="Arial" w:hAnsi="Arial"/>
          <w:sz w:val="16"/>
          <w:szCs w:val="16"/>
          <w:u w:val="single" w:color="auto"/>
          <w:color w:val="auto"/>
        </w:rPr>
        <w:t>www.sec.gov</w:t>
      </w:r>
      <w:r>
        <w:rPr>
          <w:rFonts w:ascii="Arial" w:cs="Arial" w:eastAsia="Arial" w:hAnsi="Arial"/>
          <w:sz w:val="16"/>
          <w:szCs w:val="16"/>
          <w:color w:val="auto"/>
        </w:rPr>
        <w:t xml:space="preserve"> or our website at http://</w:t>
      </w:r>
      <w:r>
        <w:rPr>
          <w:rFonts w:ascii="Arial" w:cs="Arial" w:eastAsia="Arial" w:hAnsi="Arial"/>
          <w:sz w:val="16"/>
          <w:szCs w:val="16"/>
          <w:u w:val="single" w:color="auto"/>
          <w:color w:val="auto"/>
        </w:rPr>
        <w:t>www.pennantpark.com</w:t>
      </w:r>
      <w:r>
        <w:rPr>
          <w:rFonts w:ascii="Arial" w:cs="Arial" w:eastAsia="Arial" w:hAnsi="Arial"/>
          <w:sz w:val="16"/>
          <w:szCs w:val="16"/>
          <w:color w:val="auto"/>
        </w:rPr>
        <w:t>. We intend to disclose any material amendments to or waivers of required provisions of our Code of Conduct or the Joint Code of Ethics on Form 8-K.</w:t>
      </w:r>
    </w:p>
    <w:p>
      <w:pPr>
        <w:spacing w:after="0" w:line="10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420"/>
          </w:cols>
          <w:pgMar w:left="240" w:top="280" w:right="239" w:bottom="1440" w:gutter="0" w:footer="0" w:header="0"/>
        </w:sectPr>
      </w:pPr>
    </w:p>
    <w:bookmarkStart w:id="15" w:name="page16"/>
    <w:bookmarkEnd w:id="15"/>
    <w:p>
      <w:pPr>
        <w:jc w:val="center"/>
        <w:spacing w:after="0"/>
        <w:rPr>
          <w:sz w:val="20"/>
          <w:szCs w:val="20"/>
          <w:color w:val="auto"/>
        </w:rPr>
      </w:pPr>
      <w:r>
        <w:rPr>
          <w:rFonts w:ascii="Arial" w:cs="Arial" w:eastAsia="Arial" w:hAnsi="Arial"/>
          <w:sz w:val="18"/>
          <w:szCs w:val="18"/>
          <w:b w:val="1"/>
          <w:bCs w:val="1"/>
          <w:i w:val="1"/>
          <w:i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89165" cy="38735"/>
                    </a:xfrm>
                    <a:prstGeom prst="rect">
                      <a:avLst/>
                    </a:prstGeom>
                    <a:noFill/>
                  </pic:spPr>
                </pic:pic>
              </a:graphicData>
            </a:graphic>
          </wp:anchor>
        </w:drawing>
        <w:t>Compensation of Directors and Executive Officer</w:t>
      </w:r>
    </w:p>
    <w:p>
      <w:pPr>
        <w:spacing w:after="0" w:line="171" w:lineRule="exact"/>
        <w:rPr>
          <w:sz w:val="20"/>
          <w:szCs w:val="20"/>
          <w:color w:val="auto"/>
        </w:rPr>
      </w:pPr>
    </w:p>
    <w:p>
      <w:pPr>
        <w:ind w:right="840" w:firstLine="456"/>
        <w:spacing w:after="0" w:line="268" w:lineRule="auto"/>
        <w:rPr>
          <w:sz w:val="20"/>
          <w:szCs w:val="20"/>
          <w:color w:val="auto"/>
        </w:rPr>
      </w:pPr>
      <w:r>
        <w:rPr>
          <w:rFonts w:ascii="Arial" w:cs="Arial" w:eastAsia="Arial" w:hAnsi="Arial"/>
          <w:sz w:val="18"/>
          <w:szCs w:val="18"/>
          <w:color w:val="auto"/>
        </w:rPr>
        <w:t>The following table shows information regarding the compensation paid by us to our directors for the fiscal year ended September 30, 2009. No compensation is paid by us to any interested director or executive officer.</w:t>
      </w:r>
    </w:p>
    <w:p>
      <w:pPr>
        <w:spacing w:after="0" w:line="15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5860" w:type="dxa"/>
            <w:vAlign w:val="bottom"/>
          </w:tcPr>
          <w:p>
            <w:pPr>
              <w:spacing w:after="0"/>
              <w:rPr>
                <w:sz w:val="14"/>
                <w:szCs w:val="14"/>
                <w:color w:val="auto"/>
              </w:rPr>
            </w:pPr>
          </w:p>
        </w:tc>
        <w:tc>
          <w:tcPr>
            <w:tcW w:w="1080" w:type="dxa"/>
            <w:vAlign w:val="bottom"/>
          </w:tcPr>
          <w:p>
            <w:pPr>
              <w:jc w:val="right"/>
              <w:ind w:right="159"/>
              <w:spacing w:after="0"/>
              <w:rPr>
                <w:sz w:val="20"/>
                <w:szCs w:val="20"/>
                <w:color w:val="auto"/>
              </w:rPr>
            </w:pPr>
            <w:r>
              <w:rPr>
                <w:rFonts w:ascii="Arial" w:cs="Arial" w:eastAsia="Arial" w:hAnsi="Arial"/>
                <w:sz w:val="14"/>
                <w:szCs w:val="14"/>
                <w:b w:val="1"/>
                <w:bCs w:val="1"/>
                <w:color w:val="auto"/>
              </w:rPr>
              <w:t>Aggregate</w:t>
            </w:r>
          </w:p>
        </w:tc>
        <w:tc>
          <w:tcPr>
            <w:tcW w:w="960" w:type="dxa"/>
            <w:vAlign w:val="bottom"/>
          </w:tcPr>
          <w:p>
            <w:pPr>
              <w:spacing w:after="0"/>
              <w:rPr>
                <w:sz w:val="14"/>
                <w:szCs w:val="14"/>
                <w:color w:val="auto"/>
              </w:rPr>
            </w:pPr>
          </w:p>
        </w:tc>
        <w:tc>
          <w:tcPr>
            <w:tcW w:w="1240" w:type="dxa"/>
            <w:vAlign w:val="bottom"/>
          </w:tcPr>
          <w:p>
            <w:pPr>
              <w:jc w:val="right"/>
              <w:spacing w:after="0"/>
              <w:rPr>
                <w:sz w:val="20"/>
                <w:szCs w:val="20"/>
                <w:color w:val="auto"/>
              </w:rPr>
            </w:pPr>
            <w:r>
              <w:rPr>
                <w:rFonts w:ascii="Arial" w:cs="Arial" w:eastAsia="Arial" w:hAnsi="Arial"/>
                <w:sz w:val="14"/>
                <w:szCs w:val="14"/>
                <w:b w:val="1"/>
                <w:bCs w:val="1"/>
                <w:color w:val="auto"/>
                <w:w w:val="84"/>
              </w:rPr>
              <w:t>Pension or retirement</w:t>
            </w:r>
          </w:p>
        </w:tc>
        <w:tc>
          <w:tcPr>
            <w:tcW w:w="96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5860" w:type="dxa"/>
            <w:vAlign w:val="bottom"/>
          </w:tcPr>
          <w:p>
            <w:pPr>
              <w:spacing w:after="0"/>
              <w:rPr>
                <w:sz w:val="11"/>
                <w:szCs w:val="11"/>
                <w:color w:val="auto"/>
              </w:rPr>
            </w:pPr>
          </w:p>
        </w:tc>
        <w:tc>
          <w:tcPr>
            <w:tcW w:w="1080" w:type="dxa"/>
            <w:vAlign w:val="bottom"/>
          </w:tcPr>
          <w:p>
            <w:pPr>
              <w:jc w:val="right"/>
              <w:ind w:right="59"/>
              <w:spacing w:after="0" w:line="135" w:lineRule="exact"/>
              <w:rPr>
                <w:sz w:val="20"/>
                <w:szCs w:val="20"/>
                <w:color w:val="auto"/>
              </w:rPr>
            </w:pPr>
            <w:r>
              <w:rPr>
                <w:rFonts w:ascii="Arial" w:cs="Arial" w:eastAsia="Arial" w:hAnsi="Arial"/>
                <w:sz w:val="14"/>
                <w:szCs w:val="14"/>
                <w:b w:val="1"/>
                <w:bCs w:val="1"/>
                <w:color w:val="auto"/>
                <w:w w:val="96"/>
              </w:rPr>
              <w:t>compensation</w:t>
            </w:r>
          </w:p>
        </w:tc>
        <w:tc>
          <w:tcPr>
            <w:tcW w:w="960" w:type="dxa"/>
            <w:vAlign w:val="bottom"/>
          </w:tcPr>
          <w:p>
            <w:pPr>
              <w:spacing w:after="0"/>
              <w:rPr>
                <w:sz w:val="11"/>
                <w:szCs w:val="11"/>
                <w:color w:val="auto"/>
              </w:rPr>
            </w:pPr>
          </w:p>
        </w:tc>
        <w:tc>
          <w:tcPr>
            <w:tcW w:w="1240" w:type="dxa"/>
            <w:vAlign w:val="bottom"/>
          </w:tcPr>
          <w:p>
            <w:pPr>
              <w:jc w:val="right"/>
              <w:spacing w:after="0" w:line="135" w:lineRule="exact"/>
              <w:rPr>
                <w:sz w:val="20"/>
                <w:szCs w:val="20"/>
                <w:color w:val="auto"/>
              </w:rPr>
            </w:pPr>
            <w:r>
              <w:rPr>
                <w:rFonts w:ascii="Arial" w:cs="Arial" w:eastAsia="Arial" w:hAnsi="Arial"/>
                <w:sz w:val="14"/>
                <w:szCs w:val="14"/>
                <w:b w:val="1"/>
                <w:bCs w:val="1"/>
                <w:color w:val="auto"/>
                <w:w w:val="87"/>
              </w:rPr>
              <w:t>benefits accrued as</w:t>
            </w:r>
          </w:p>
        </w:tc>
        <w:tc>
          <w:tcPr>
            <w:tcW w:w="960" w:type="dxa"/>
            <w:vAlign w:val="bottom"/>
          </w:tcPr>
          <w:p>
            <w:pPr>
              <w:spacing w:after="0"/>
              <w:rPr>
                <w:sz w:val="11"/>
                <w:szCs w:val="11"/>
                <w:color w:val="auto"/>
              </w:rPr>
            </w:pPr>
          </w:p>
        </w:tc>
        <w:tc>
          <w:tcPr>
            <w:tcW w:w="940" w:type="dxa"/>
            <w:vAlign w:val="bottom"/>
          </w:tcPr>
          <w:p>
            <w:pPr>
              <w:jc w:val="right"/>
              <w:ind w:right="22"/>
              <w:spacing w:after="0" w:line="135" w:lineRule="exact"/>
              <w:rPr>
                <w:sz w:val="20"/>
                <w:szCs w:val="20"/>
                <w:color w:val="auto"/>
              </w:rPr>
            </w:pPr>
            <w:r>
              <w:rPr>
                <w:rFonts w:ascii="Arial" w:cs="Arial" w:eastAsia="Arial" w:hAnsi="Arial"/>
                <w:sz w:val="14"/>
                <w:szCs w:val="14"/>
                <w:b w:val="1"/>
                <w:bCs w:val="1"/>
                <w:color w:val="auto"/>
                <w:w w:val="98"/>
              </w:rPr>
              <w:t>Total paid to</w:t>
            </w:r>
          </w:p>
        </w:tc>
        <w:tc>
          <w:tcPr>
            <w:tcW w:w="0" w:type="dxa"/>
            <w:vAlign w:val="bottom"/>
          </w:tcPr>
          <w:p>
            <w:pPr>
              <w:spacing w:after="0"/>
              <w:rPr>
                <w:sz w:val="1"/>
                <w:szCs w:val="1"/>
                <w:color w:val="auto"/>
              </w:rPr>
            </w:pPr>
          </w:p>
        </w:tc>
      </w:tr>
      <w:tr>
        <w:trPr>
          <w:trHeight w:val="176"/>
        </w:trPr>
        <w:tc>
          <w:tcPr>
            <w:tcW w:w="6240" w:type="dxa"/>
            <w:vAlign w:val="bottom"/>
            <w:gridSpan w:val="3"/>
          </w:tcPr>
          <w:p>
            <w:pPr>
              <w:spacing w:after="0"/>
              <w:rPr>
                <w:sz w:val="20"/>
                <w:szCs w:val="20"/>
                <w:color w:val="auto"/>
              </w:rPr>
            </w:pPr>
            <w:r>
              <w:rPr>
                <w:rFonts w:ascii="Arial" w:cs="Arial" w:eastAsia="Arial" w:hAnsi="Arial"/>
                <w:sz w:val="14"/>
                <w:szCs w:val="14"/>
                <w:b w:val="1"/>
                <w:bCs w:val="1"/>
                <w:color w:val="auto"/>
              </w:rPr>
              <w:t>Name</w:t>
            </w:r>
          </w:p>
        </w:tc>
        <w:tc>
          <w:tcPr>
            <w:tcW w:w="1080" w:type="dxa"/>
            <w:vAlign w:val="bottom"/>
          </w:tcPr>
          <w:p>
            <w:pPr>
              <w:jc w:val="right"/>
              <w:spacing w:after="0"/>
              <w:rPr>
                <w:sz w:val="20"/>
                <w:szCs w:val="20"/>
                <w:color w:val="auto"/>
              </w:rPr>
            </w:pPr>
            <w:r>
              <w:rPr>
                <w:rFonts w:ascii="Arial" w:cs="Arial" w:eastAsia="Arial" w:hAnsi="Arial"/>
                <w:sz w:val="14"/>
                <w:szCs w:val="14"/>
                <w:b w:val="1"/>
                <w:bCs w:val="1"/>
                <w:color w:val="auto"/>
                <w:w w:val="85"/>
              </w:rPr>
              <w:t>from the Company</w:t>
            </w:r>
          </w:p>
        </w:tc>
        <w:tc>
          <w:tcPr>
            <w:tcW w:w="960" w:type="dxa"/>
            <w:vAlign w:val="bottom"/>
          </w:tcPr>
          <w:p>
            <w:pPr>
              <w:spacing w:after="0"/>
              <w:rPr>
                <w:sz w:val="15"/>
                <w:szCs w:val="15"/>
                <w:color w:val="auto"/>
              </w:rPr>
            </w:pPr>
          </w:p>
        </w:tc>
        <w:tc>
          <w:tcPr>
            <w:tcW w:w="1240" w:type="dxa"/>
            <w:vAlign w:val="bottom"/>
          </w:tcPr>
          <w:p>
            <w:pPr>
              <w:jc w:val="right"/>
              <w:spacing w:after="0" w:line="176" w:lineRule="exact"/>
              <w:rPr>
                <w:sz w:val="20"/>
                <w:szCs w:val="20"/>
                <w:color w:val="auto"/>
              </w:rPr>
            </w:pPr>
            <w:r>
              <w:rPr>
                <w:rFonts w:ascii="Arial" w:cs="Arial" w:eastAsia="Arial" w:hAnsi="Arial"/>
                <w:sz w:val="13"/>
                <w:szCs w:val="13"/>
                <w:b w:val="1"/>
                <w:bCs w:val="1"/>
                <w:color w:val="auto"/>
                <w:w w:val="89"/>
              </w:rPr>
              <w:t>part of our expense</w:t>
            </w:r>
            <w:r>
              <w:rPr>
                <w:rFonts w:ascii="Arial" w:cs="Arial" w:eastAsia="Arial" w:hAnsi="Arial"/>
                <w:sz w:val="20"/>
                <w:szCs w:val="20"/>
                <w:b w:val="1"/>
                <w:bCs w:val="1"/>
                <w:color w:val="auto"/>
                <w:w w:val="89"/>
                <w:vertAlign w:val="superscript"/>
              </w:rPr>
              <w:t>(1)</w:t>
            </w:r>
          </w:p>
        </w:tc>
        <w:tc>
          <w:tcPr>
            <w:tcW w:w="960" w:type="dxa"/>
            <w:vAlign w:val="bottom"/>
          </w:tcPr>
          <w:p>
            <w:pPr>
              <w:spacing w:after="0"/>
              <w:rPr>
                <w:sz w:val="15"/>
                <w:szCs w:val="15"/>
                <w:color w:val="auto"/>
              </w:rPr>
            </w:pPr>
          </w:p>
        </w:tc>
        <w:tc>
          <w:tcPr>
            <w:tcW w:w="940" w:type="dxa"/>
            <w:vAlign w:val="bottom"/>
          </w:tcPr>
          <w:p>
            <w:pPr>
              <w:jc w:val="right"/>
              <w:spacing w:after="0"/>
              <w:rPr>
                <w:sz w:val="20"/>
                <w:szCs w:val="20"/>
                <w:color w:val="auto"/>
              </w:rPr>
            </w:pPr>
            <w:r>
              <w:rPr>
                <w:rFonts w:ascii="Arial" w:cs="Arial" w:eastAsia="Arial" w:hAnsi="Arial"/>
                <w:sz w:val="14"/>
                <w:szCs w:val="14"/>
                <w:b w:val="1"/>
                <w:bCs w:val="1"/>
                <w:color w:val="auto"/>
                <w:w w:val="86"/>
              </w:rPr>
              <w:t>director / officer</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5860" w:type="dxa"/>
            <w:vAlign w:val="bottom"/>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240" w:type="dxa"/>
            <w:vAlign w:val="bottom"/>
            <w:shd w:val="clear" w:color="auto" w:fill="000000"/>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622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Independent Directors</w:t>
            </w:r>
          </w:p>
        </w:tc>
        <w:tc>
          <w:tcPr>
            <w:tcW w:w="10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5860" w:type="dxa"/>
            <w:vAlign w:val="bottom"/>
          </w:tcPr>
          <w:p>
            <w:pPr>
              <w:ind w:left="60"/>
              <w:spacing w:after="0"/>
              <w:rPr>
                <w:sz w:val="20"/>
                <w:szCs w:val="20"/>
                <w:color w:val="auto"/>
              </w:rPr>
            </w:pPr>
            <w:r>
              <w:rPr>
                <w:rFonts w:ascii="Arial" w:cs="Arial" w:eastAsia="Arial" w:hAnsi="Arial"/>
                <w:sz w:val="18"/>
                <w:szCs w:val="18"/>
                <w:color w:val="auto"/>
              </w:rPr>
              <w:t>Adam K. Bernstein</w:t>
            </w:r>
          </w:p>
        </w:tc>
        <w:tc>
          <w:tcPr>
            <w:tcW w:w="1080" w:type="dxa"/>
            <w:vAlign w:val="bottom"/>
          </w:tcPr>
          <w:p>
            <w:pPr>
              <w:jc w:val="right"/>
              <w:spacing w:after="0"/>
              <w:rPr>
                <w:sz w:val="20"/>
                <w:szCs w:val="20"/>
                <w:color w:val="auto"/>
              </w:rPr>
            </w:pPr>
            <w:r>
              <w:rPr>
                <w:rFonts w:ascii="Arial" w:cs="Arial" w:eastAsia="Arial" w:hAnsi="Arial"/>
                <w:sz w:val="18"/>
                <w:szCs w:val="18"/>
                <w:color w:val="auto"/>
              </w:rPr>
              <w:t>92,500</w:t>
            </w:r>
          </w:p>
        </w:tc>
        <w:tc>
          <w:tcPr>
            <w:tcW w:w="96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None</w:t>
            </w:r>
          </w:p>
        </w:tc>
        <w:tc>
          <w:tcPr>
            <w:tcW w:w="1900" w:type="dxa"/>
            <w:vAlign w:val="bottom"/>
            <w:gridSpan w:val="2"/>
          </w:tcPr>
          <w:p>
            <w:pPr>
              <w:jc w:val="right"/>
              <w:spacing w:after="0"/>
              <w:rPr>
                <w:sz w:val="20"/>
                <w:szCs w:val="20"/>
                <w:color w:val="auto"/>
              </w:rPr>
            </w:pPr>
            <w:r>
              <w:rPr>
                <w:rFonts w:ascii="Arial" w:cs="Arial" w:eastAsia="Arial" w:hAnsi="Arial"/>
                <w:sz w:val="18"/>
                <w:szCs w:val="18"/>
                <w:color w:val="auto"/>
              </w:rPr>
              <w:t>92,500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5860" w:type="dxa"/>
            <w:vAlign w:val="bottom"/>
            <w:shd w:val="clear" w:color="auto" w:fill="CCEEFF"/>
          </w:tcPr>
          <w:p>
            <w:pPr>
              <w:ind w:left="60"/>
              <w:spacing w:after="0"/>
              <w:rPr>
                <w:sz w:val="20"/>
                <w:szCs w:val="20"/>
                <w:color w:val="auto"/>
              </w:rPr>
            </w:pPr>
            <w:r>
              <w:rPr>
                <w:rFonts w:ascii="Arial" w:cs="Arial" w:eastAsia="Arial" w:hAnsi="Arial"/>
                <w:sz w:val="18"/>
                <w:szCs w:val="18"/>
                <w:color w:val="auto"/>
              </w:rPr>
              <w:t>Marshall Brozost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92,500</w:t>
            </w:r>
          </w:p>
        </w:tc>
        <w:tc>
          <w:tcPr>
            <w:tcW w:w="96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None</w:t>
            </w:r>
          </w:p>
        </w:tc>
        <w:tc>
          <w:tcPr>
            <w:tcW w:w="19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92,500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5860" w:type="dxa"/>
            <w:vAlign w:val="bottom"/>
          </w:tcPr>
          <w:p>
            <w:pPr>
              <w:ind w:left="60"/>
              <w:spacing w:after="0"/>
              <w:rPr>
                <w:sz w:val="20"/>
                <w:szCs w:val="20"/>
                <w:color w:val="auto"/>
              </w:rPr>
            </w:pPr>
            <w:r>
              <w:rPr>
                <w:rFonts w:ascii="Arial" w:cs="Arial" w:eastAsia="Arial" w:hAnsi="Arial"/>
                <w:sz w:val="18"/>
                <w:szCs w:val="18"/>
                <w:color w:val="auto"/>
              </w:rPr>
              <w:t>Jeffrey Flug</w:t>
            </w:r>
          </w:p>
        </w:tc>
        <w:tc>
          <w:tcPr>
            <w:tcW w:w="1080" w:type="dxa"/>
            <w:vAlign w:val="bottom"/>
          </w:tcPr>
          <w:p>
            <w:pPr>
              <w:jc w:val="right"/>
              <w:spacing w:after="0"/>
              <w:rPr>
                <w:sz w:val="20"/>
                <w:szCs w:val="20"/>
                <w:color w:val="auto"/>
              </w:rPr>
            </w:pPr>
            <w:r>
              <w:rPr>
                <w:rFonts w:ascii="Arial" w:cs="Arial" w:eastAsia="Arial" w:hAnsi="Arial"/>
                <w:sz w:val="18"/>
                <w:szCs w:val="18"/>
                <w:color w:val="auto"/>
              </w:rPr>
              <w:t>97,500</w:t>
            </w:r>
          </w:p>
        </w:tc>
        <w:tc>
          <w:tcPr>
            <w:tcW w:w="96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None</w:t>
            </w:r>
          </w:p>
        </w:tc>
        <w:tc>
          <w:tcPr>
            <w:tcW w:w="1900" w:type="dxa"/>
            <w:vAlign w:val="bottom"/>
            <w:gridSpan w:val="2"/>
          </w:tcPr>
          <w:p>
            <w:pPr>
              <w:jc w:val="right"/>
              <w:spacing w:after="0"/>
              <w:rPr>
                <w:sz w:val="20"/>
                <w:szCs w:val="20"/>
                <w:color w:val="auto"/>
              </w:rPr>
            </w:pPr>
            <w:r>
              <w:rPr>
                <w:rFonts w:ascii="Arial" w:cs="Arial" w:eastAsia="Arial" w:hAnsi="Arial"/>
                <w:sz w:val="18"/>
                <w:szCs w:val="18"/>
                <w:color w:val="auto"/>
              </w:rPr>
              <w:t>97,500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5860" w:type="dxa"/>
            <w:vAlign w:val="bottom"/>
            <w:shd w:val="clear" w:color="auto" w:fill="CCEEFF"/>
          </w:tcPr>
          <w:p>
            <w:pPr>
              <w:ind w:left="60"/>
              <w:spacing w:after="0"/>
              <w:rPr>
                <w:sz w:val="20"/>
                <w:szCs w:val="20"/>
                <w:color w:val="auto"/>
              </w:rPr>
            </w:pPr>
            <w:r>
              <w:rPr>
                <w:rFonts w:ascii="Arial" w:cs="Arial" w:eastAsia="Arial" w:hAnsi="Arial"/>
                <w:sz w:val="18"/>
                <w:szCs w:val="18"/>
                <w:color w:val="auto"/>
              </w:rPr>
              <w:t>Samuel L. Katz</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91,250</w:t>
            </w:r>
          </w:p>
        </w:tc>
        <w:tc>
          <w:tcPr>
            <w:tcW w:w="96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None</w:t>
            </w:r>
          </w:p>
        </w:tc>
        <w:tc>
          <w:tcPr>
            <w:tcW w:w="19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91,250</w:t>
            </w:r>
          </w:p>
        </w:tc>
        <w:tc>
          <w:tcPr>
            <w:tcW w:w="0" w:type="dxa"/>
            <w:vAlign w:val="bottom"/>
          </w:tcPr>
          <w:p>
            <w:pPr>
              <w:spacing w:after="0"/>
              <w:rPr>
                <w:sz w:val="1"/>
                <w:szCs w:val="1"/>
                <w:color w:val="auto"/>
              </w:rPr>
            </w:pPr>
          </w:p>
        </w:tc>
      </w:tr>
      <w:tr>
        <w:trPr>
          <w:trHeight w:val="322"/>
        </w:trPr>
        <w:tc>
          <w:tcPr>
            <w:tcW w:w="6240" w:type="dxa"/>
            <w:vAlign w:val="bottom"/>
            <w:gridSpan w:val="3"/>
          </w:tcPr>
          <w:p>
            <w:pPr>
              <w:spacing w:after="0"/>
              <w:rPr>
                <w:sz w:val="20"/>
                <w:szCs w:val="20"/>
                <w:color w:val="auto"/>
              </w:rPr>
            </w:pPr>
            <w:r>
              <w:rPr>
                <w:rFonts w:ascii="Arial" w:cs="Arial" w:eastAsia="Arial" w:hAnsi="Arial"/>
                <w:sz w:val="18"/>
                <w:szCs w:val="18"/>
                <w:b w:val="1"/>
                <w:bCs w:val="1"/>
                <w:color w:val="auto"/>
              </w:rPr>
              <w:t>Interested Director</w:t>
            </w:r>
          </w:p>
        </w:tc>
        <w:tc>
          <w:tcPr>
            <w:tcW w:w="10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5860" w:type="dxa"/>
            <w:vAlign w:val="bottom"/>
            <w:shd w:val="clear" w:color="auto" w:fill="CCEEFF"/>
          </w:tcPr>
          <w:p>
            <w:pPr>
              <w:ind w:left="60"/>
              <w:spacing w:after="0"/>
              <w:rPr>
                <w:sz w:val="20"/>
                <w:szCs w:val="20"/>
                <w:color w:val="auto"/>
              </w:rPr>
            </w:pPr>
            <w:r>
              <w:rPr>
                <w:rFonts w:ascii="Arial" w:cs="Arial" w:eastAsia="Arial" w:hAnsi="Arial"/>
                <w:sz w:val="18"/>
                <w:szCs w:val="18"/>
                <w:color w:val="auto"/>
              </w:rPr>
              <w:t>Arthur H. Penn</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None</w:t>
            </w:r>
          </w:p>
        </w:tc>
        <w:tc>
          <w:tcPr>
            <w:tcW w:w="96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None</w:t>
            </w:r>
          </w:p>
        </w:tc>
        <w:tc>
          <w:tcPr>
            <w:tcW w:w="96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None</w:t>
            </w:r>
          </w:p>
        </w:tc>
        <w:tc>
          <w:tcPr>
            <w:tcW w:w="0" w:type="dxa"/>
            <w:vAlign w:val="bottom"/>
          </w:tcPr>
          <w:p>
            <w:pPr>
              <w:spacing w:after="0"/>
              <w:rPr>
                <w:sz w:val="1"/>
                <w:szCs w:val="1"/>
                <w:color w:val="auto"/>
              </w:rPr>
            </w:pPr>
          </w:p>
        </w:tc>
      </w:tr>
      <w:tr>
        <w:trPr>
          <w:trHeight w:val="322"/>
        </w:trPr>
        <w:tc>
          <w:tcPr>
            <w:tcW w:w="6240" w:type="dxa"/>
            <w:vAlign w:val="bottom"/>
            <w:gridSpan w:val="3"/>
          </w:tcPr>
          <w:p>
            <w:pPr>
              <w:spacing w:after="0"/>
              <w:rPr>
                <w:sz w:val="20"/>
                <w:szCs w:val="20"/>
                <w:color w:val="auto"/>
              </w:rPr>
            </w:pPr>
            <w:r>
              <w:rPr>
                <w:rFonts w:ascii="Arial" w:cs="Arial" w:eastAsia="Arial" w:hAnsi="Arial"/>
                <w:sz w:val="18"/>
                <w:szCs w:val="18"/>
                <w:b w:val="1"/>
                <w:bCs w:val="1"/>
                <w:color w:val="auto"/>
              </w:rPr>
              <w:t>Executive Officer</w:t>
            </w:r>
          </w:p>
        </w:tc>
        <w:tc>
          <w:tcPr>
            <w:tcW w:w="10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5860" w:type="dxa"/>
            <w:vAlign w:val="bottom"/>
            <w:shd w:val="clear" w:color="auto" w:fill="CCEEFF"/>
          </w:tcPr>
          <w:p>
            <w:pPr>
              <w:ind w:left="60"/>
              <w:spacing w:after="0"/>
              <w:rPr>
                <w:sz w:val="20"/>
                <w:szCs w:val="20"/>
                <w:color w:val="auto"/>
              </w:rPr>
            </w:pPr>
            <w:r>
              <w:rPr>
                <w:rFonts w:ascii="Arial" w:cs="Arial" w:eastAsia="Arial" w:hAnsi="Arial"/>
                <w:sz w:val="18"/>
                <w:szCs w:val="18"/>
                <w:color w:val="auto"/>
              </w:rPr>
              <w:t>Aviv Efrat</w:t>
            </w:r>
            <w:r>
              <w:rPr>
                <w:rFonts w:ascii="Arial" w:cs="Arial" w:eastAsia="Arial" w:hAnsi="Arial"/>
                <w:sz w:val="11"/>
                <w:szCs w:val="11"/>
                <w:color w:val="auto"/>
              </w:rPr>
              <w:t>(2)</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None</w:t>
            </w:r>
          </w:p>
        </w:tc>
        <w:tc>
          <w:tcPr>
            <w:tcW w:w="96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None</w:t>
            </w:r>
          </w:p>
        </w:tc>
        <w:tc>
          <w:tcPr>
            <w:tcW w:w="96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None</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68580</wp:posOffset>
            </wp:positionV>
            <wp:extent cx="728980" cy="88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20" w:lineRule="exact"/>
        <w:rPr>
          <w:sz w:val="20"/>
          <w:szCs w:val="20"/>
          <w:color w:val="auto"/>
        </w:rPr>
      </w:pPr>
    </w:p>
    <w:p>
      <w:pPr>
        <w:ind w:left="460" w:hanging="452"/>
        <w:spacing w:after="0"/>
        <w:tabs>
          <w:tab w:leader="none" w:pos="4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We do not have a profit sharing or retirement plan, and directors do not receive any pension or retirement benefits from us.</w:t>
      </w:r>
    </w:p>
    <w:p>
      <w:pPr>
        <w:spacing w:after="0" w:line="15" w:lineRule="exact"/>
        <w:rPr>
          <w:rFonts w:ascii="Arial" w:cs="Arial" w:eastAsia="Arial" w:hAnsi="Arial"/>
          <w:sz w:val="18"/>
          <w:szCs w:val="18"/>
          <w:color w:val="auto"/>
        </w:rPr>
      </w:pPr>
    </w:p>
    <w:p>
      <w:pPr>
        <w:ind w:left="460" w:hanging="452"/>
        <w:spacing w:after="0"/>
        <w:tabs>
          <w:tab w:leader="none" w:pos="4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Mr. Efrat is an employee of PennantPark Investment Administration, LLC.</w:t>
      </w:r>
    </w:p>
    <w:p>
      <w:pPr>
        <w:spacing w:after="0" w:line="3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i w:val="1"/>
          <w:iCs w:val="1"/>
          <w:color w:val="auto"/>
        </w:rPr>
        <w:t>Compensation of Directors</w:t>
      </w:r>
    </w:p>
    <w:p>
      <w:pPr>
        <w:spacing w:after="0" w:line="171" w:lineRule="exact"/>
        <w:rPr>
          <w:sz w:val="20"/>
          <w:szCs w:val="20"/>
          <w:color w:val="auto"/>
        </w:rPr>
      </w:pPr>
    </w:p>
    <w:p>
      <w:pPr>
        <w:ind w:right="80" w:firstLine="456"/>
        <w:spacing w:after="0" w:line="312" w:lineRule="auto"/>
        <w:rPr>
          <w:sz w:val="20"/>
          <w:szCs w:val="20"/>
          <w:color w:val="auto"/>
        </w:rPr>
      </w:pPr>
      <w:r>
        <w:rPr>
          <w:rFonts w:ascii="Arial" w:cs="Arial" w:eastAsia="Arial" w:hAnsi="Arial"/>
          <w:sz w:val="15"/>
          <w:szCs w:val="15"/>
          <w:color w:val="auto"/>
        </w:rPr>
        <w:t>Each Independent Director receives an annual payment of $75,000 for services performed on behalf of the Company as a director. The Independent Directors also receive $2,500 plus reimbursement of reasonable out-of-pocket expenses incurred in connection with attending each board meeting and receive $1,000 plus reimbursement of reasonable out-of-pocket expenses incurred in connection with attending each committee meeting (unless combined with a board meeting). In addition, the Chairman of the Audit Committee receives an annual fee of $7,500 and each chairman/co-chairman of any other committee receives an annual fee of $2,500 for his additional services in these capacities. Also, we have purchased directors’ and officers’ liability insurance on behalf of our directors and officers. Independent directors have the option to receive their directors’ fees paid in shares of our Common Stock issued at a price per share equal to the greater of net asset value or the market price at the time of payment. No compensation is expected to be paid to directors who are “interested persons.”</w:t>
      </w:r>
    </w:p>
    <w:p>
      <w:pPr>
        <w:spacing w:after="0" w:line="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420"/>
          </w:cols>
          <w:pgMar w:left="240" w:top="280" w:right="239" w:bottom="1440" w:gutter="0" w:footer="0" w:header="0"/>
        </w:sectPr>
      </w:pPr>
    </w:p>
    <w:bookmarkStart w:id="16" w:name="page17"/>
    <w:bookmarkEnd w:id="16"/>
    <w:p>
      <w:pPr>
        <w:jc w:val="center"/>
        <w:ind w:right="-19"/>
        <w:spacing w:after="0"/>
        <w:rPr>
          <w:sz w:val="20"/>
          <w:szCs w:val="20"/>
          <w:color w:val="auto"/>
        </w:rPr>
      </w:pPr>
      <w:r>
        <w:rPr>
          <w:rFonts w:ascii="Arial" w:cs="Arial" w:eastAsia="Arial" w:hAnsi="Arial"/>
          <w:sz w:val="18"/>
          <w:szCs w:val="18"/>
          <w:b w:val="1"/>
          <w:bCs w:val="1"/>
          <w:i w:val="1"/>
          <w:i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89165" cy="38735"/>
                    </a:xfrm>
                    <a:prstGeom prst="rect">
                      <a:avLst/>
                    </a:prstGeom>
                    <a:noFill/>
                  </pic:spPr>
                </pic:pic>
              </a:graphicData>
            </a:graphic>
          </wp:anchor>
        </w:drawing>
        <w:t>Audit Committee Report</w:t>
      </w:r>
      <w:r>
        <w:rPr>
          <w:rFonts w:ascii="Arial" w:cs="Arial" w:eastAsia="Arial" w:hAnsi="Arial"/>
          <w:sz w:val="11"/>
          <w:szCs w:val="11"/>
          <w:b w:val="1"/>
          <w:bCs w:val="1"/>
          <w:i w:val="1"/>
          <w:iCs w:val="1"/>
          <w:color w:val="auto"/>
        </w:rPr>
        <w:t>(1)</w:t>
      </w:r>
    </w:p>
    <w:p>
      <w:pPr>
        <w:spacing w:after="0" w:line="171" w:lineRule="exact"/>
        <w:rPr>
          <w:sz w:val="20"/>
          <w:szCs w:val="20"/>
          <w:color w:val="auto"/>
        </w:rPr>
      </w:pPr>
    </w:p>
    <w:p>
      <w:pPr>
        <w:jc w:val="center"/>
        <w:ind w:right="-99"/>
        <w:spacing w:after="0"/>
        <w:rPr>
          <w:sz w:val="20"/>
          <w:szCs w:val="20"/>
          <w:color w:val="auto"/>
        </w:rPr>
      </w:pPr>
      <w:r>
        <w:rPr>
          <w:rFonts w:ascii="Arial" w:cs="Arial" w:eastAsia="Arial" w:hAnsi="Arial"/>
          <w:sz w:val="16"/>
          <w:szCs w:val="16"/>
          <w:color w:val="auto"/>
        </w:rPr>
        <w:t>The following is the report of the Audit Committee with respect to the Company’s audited financial statements for the fiscal year ended September 30,</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2009.</w:t>
      </w:r>
    </w:p>
    <w:p>
      <w:pPr>
        <w:spacing w:after="0" w:line="165"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The Audit Committee has reviewed and discussed the Company’s audited financial statements with management and KPMG LLP (KPMG), the Company’s independent registered public accounting firm, with and without management present. The Audit Committee included in its review results of KPMG’s examinations, the Company’s internal controls, and the quality of the Company’s financial reporting. The Audit Committee also reviewed the Company’s procedures and internal control processes designed to ensure full, fair and adequate financial reporting and disclosures, including procedures for certifications by the Company’s chief executive officer and chief financial officer that are required in periodic reports filed by the Company with the SEC. The Audit Committee is satisfied that the Company’s internal control system is adequate and that the Company employs appropriate accounting and auditing procedures.</w:t>
      </w:r>
    </w:p>
    <w:p>
      <w:pPr>
        <w:spacing w:after="0" w:line="120" w:lineRule="exact"/>
        <w:rPr>
          <w:sz w:val="20"/>
          <w:szCs w:val="20"/>
          <w:color w:val="auto"/>
        </w:rPr>
      </w:pPr>
    </w:p>
    <w:p>
      <w:pPr>
        <w:ind w:right="80" w:firstLine="456"/>
        <w:spacing w:after="0" w:line="287" w:lineRule="auto"/>
        <w:rPr>
          <w:sz w:val="20"/>
          <w:szCs w:val="20"/>
          <w:color w:val="auto"/>
        </w:rPr>
      </w:pPr>
      <w:r>
        <w:rPr>
          <w:rFonts w:ascii="Arial" w:cs="Arial" w:eastAsia="Arial" w:hAnsi="Arial"/>
          <w:sz w:val="16"/>
          <w:szCs w:val="16"/>
          <w:color w:val="auto"/>
        </w:rPr>
        <w:t>The Audit Committee also has discussed with KPMG matters relating to KPMG’s judgments about the quality, as well as the acceptability, of the Company’s accounting principles as applied in its financial reporting as required by Statement of Auditing Standards No. 114 (Auditor’s Communication With Those Charged With Governance). In addition, the Audit Committee has discussed with KPMG their independence from management and the Company, as well as the matters in the written disclosures received from KPMG and required by Independence Standards Board Standard No. 1 (Independence Discussions with Audit Committees). The Audit Committee received a letter from KPMG confirming their independence and discussed it with them. The Audit Committee discussed and reviewed with KPMG the Company’s critical accounting policies and practices, internal controls, other material written communications to management, and the scope of KPMG’s audits and all fees paid to KPMG during the fiscal year. The Audit Committee adopted guidelines requiring review and pre-approval by the Audit Committee of audit and non-audit services performed by KPMG for the Company. The Audit Committee has reviewed and considered the compatibility of KPMG’s performance of non-audit services with the maintenance of KPMG’s independence as the Company’s independent registered public accounting firm.</w:t>
      </w:r>
    </w:p>
    <w:p>
      <w:pPr>
        <w:spacing w:after="0" w:line="123" w:lineRule="exact"/>
        <w:rPr>
          <w:sz w:val="20"/>
          <w:szCs w:val="20"/>
          <w:color w:val="auto"/>
        </w:rPr>
      </w:pPr>
    </w:p>
    <w:p>
      <w:pPr>
        <w:ind w:right="140" w:firstLine="456"/>
        <w:spacing w:after="0" w:line="255" w:lineRule="auto"/>
        <w:rPr>
          <w:sz w:val="20"/>
          <w:szCs w:val="20"/>
          <w:color w:val="auto"/>
        </w:rPr>
      </w:pPr>
      <w:r>
        <w:rPr>
          <w:rFonts w:ascii="Arial" w:cs="Arial" w:eastAsia="Arial" w:hAnsi="Arial"/>
          <w:sz w:val="18"/>
          <w:szCs w:val="18"/>
          <w:color w:val="auto"/>
        </w:rPr>
        <w:t>Based on the Audit Committee’s review and discussions referred to above, the Audit Committee recommended to the Board of Directors (and the Board has approved) that the Company’s audited financial statements be included in the Company’s Annual Report on Form 10-K for the fiscal year ended September 30, 2009 for filing with the SEC. In addition, the Audit Committee has engaged KPMG to serve as the Company’s independent registered public accounting firm for the fiscal year ending September 30, 2010, and has directed that the selection of KPMG should be submitted to the Company’s Stockholders for ratification.</w:t>
      </w:r>
    </w:p>
    <w:p>
      <w:pPr>
        <w:spacing w:after="0" w:line="14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November 18, 2009</w:t>
      </w:r>
    </w:p>
    <w:p>
      <w:pPr>
        <w:spacing w:after="0" w:line="165" w:lineRule="exact"/>
        <w:rPr>
          <w:sz w:val="20"/>
          <w:szCs w:val="20"/>
          <w:color w:val="auto"/>
        </w:rPr>
      </w:pPr>
    </w:p>
    <w:p>
      <w:pPr>
        <w:ind w:left="6060"/>
        <w:spacing w:after="0"/>
        <w:rPr>
          <w:sz w:val="20"/>
          <w:szCs w:val="20"/>
          <w:color w:val="auto"/>
        </w:rPr>
      </w:pPr>
      <w:r>
        <w:rPr>
          <w:rFonts w:ascii="Arial" w:cs="Arial" w:eastAsia="Arial" w:hAnsi="Arial"/>
          <w:sz w:val="18"/>
          <w:szCs w:val="18"/>
          <w:b w:val="1"/>
          <w:bCs w:val="1"/>
          <w:color w:val="auto"/>
        </w:rPr>
        <w:t>The Audit Committee</w:t>
      </w:r>
    </w:p>
    <w:p>
      <w:pPr>
        <w:spacing w:after="0" w:line="21"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 xml:space="preserve">Jeffrey Flug, </w:t>
      </w:r>
      <w:r>
        <w:rPr>
          <w:rFonts w:ascii="Arial" w:cs="Arial" w:eastAsia="Arial" w:hAnsi="Arial"/>
          <w:sz w:val="18"/>
          <w:szCs w:val="18"/>
          <w:i w:val="1"/>
          <w:iCs w:val="1"/>
          <w:color w:val="auto"/>
        </w:rPr>
        <w:t>Chair</w:t>
      </w:r>
    </w:p>
    <w:p>
      <w:pPr>
        <w:spacing w:after="0" w:line="9"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Adam K. Bernstein</w:t>
      </w:r>
    </w:p>
    <w:p>
      <w:pPr>
        <w:spacing w:after="0" w:line="9"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Marshall Brozost</w:t>
      </w:r>
    </w:p>
    <w:p>
      <w:pPr>
        <w:spacing w:after="0" w:line="9"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Samuel L. Katz</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75565</wp:posOffset>
            </wp:positionV>
            <wp:extent cx="728980" cy="88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31" w:lineRule="exact"/>
        <w:rPr>
          <w:sz w:val="20"/>
          <w:szCs w:val="20"/>
          <w:color w:val="auto"/>
        </w:rPr>
      </w:pPr>
    </w:p>
    <w:p>
      <w:pPr>
        <w:ind w:left="460" w:right="180" w:hanging="452"/>
        <w:spacing w:after="0" w:line="259" w:lineRule="auto"/>
        <w:tabs>
          <w:tab w:leader="none" w:pos="4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material in this report is not “soliciting material,” is not deemed “filed” with the SEC, and is not to be incorporated by reference into any filing of the Company under the Securities Act of 1933 or the Securities Exchange Act of 1934, whether made before or after the date hereof and irrespective of any general incorporation language in any such filing.</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420"/>
          </w:cols>
          <w:pgMar w:left="240" w:top="280" w:right="239" w:bottom="1440" w:gutter="0" w:footer="0" w:header="0"/>
        </w:sectPr>
      </w:pPr>
    </w:p>
    <w:bookmarkStart w:id="17" w:name="page18"/>
    <w:bookmarkEnd w:id="17"/>
    <w:p>
      <w:pPr>
        <w:jc w:val="center"/>
        <w:ind w:right="-99"/>
        <w:spacing w:after="0"/>
        <w:rPr>
          <w:sz w:val="20"/>
          <w:szCs w:val="20"/>
          <w:color w:val="auto"/>
        </w:rPr>
      </w:pPr>
      <w:r>
        <w:rPr>
          <w:rFonts w:ascii="Arial" w:cs="Arial" w:eastAsia="Arial" w:hAnsi="Arial"/>
          <w:sz w:val="18"/>
          <w:szCs w:val="18"/>
          <w:b w:val="1"/>
          <w:bCs w:val="1"/>
          <w:i w:val="1"/>
          <w:i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Certain Relationships and Related Party Transactions</w:t>
      </w:r>
    </w:p>
    <w:p>
      <w:pPr>
        <w:spacing w:after="0" w:line="90" w:lineRule="exact"/>
        <w:rPr>
          <w:sz w:val="20"/>
          <w:szCs w:val="20"/>
          <w:color w:val="auto"/>
        </w:rPr>
      </w:pPr>
    </w:p>
    <w:p>
      <w:pPr>
        <w:ind w:right="40" w:firstLine="456"/>
        <w:spacing w:after="0" w:line="294" w:lineRule="auto"/>
        <w:rPr>
          <w:sz w:val="20"/>
          <w:szCs w:val="20"/>
          <w:color w:val="auto"/>
        </w:rPr>
      </w:pPr>
      <w:r>
        <w:rPr>
          <w:rFonts w:ascii="Arial" w:cs="Arial" w:eastAsia="Arial" w:hAnsi="Arial"/>
          <w:sz w:val="16"/>
          <w:szCs w:val="16"/>
          <w:color w:val="auto"/>
        </w:rPr>
        <w:t>Our investment activities are managed by PennantPark Investment Advisers, LLC (the “Investment Adviser” or “PennantPark Investment Advisers”) and supervised by our Board, a majority of whose directors are independent of our Investment Adviser and us. We have entered into an investment advisory and management agreement (the “Investment Management Agreement”) with PennantPark Investment Advisers. Under our Investment Management Agreement, we have agreed to pay our Investment Adviser an annual management fee based on our adjusted gross assets as well as an incentive fee based on our investment performance. Arthur H. Penn, our Chief Executive Officer, is the Managing Member of PennantPark Investment Advisers.</w:t>
      </w:r>
    </w:p>
    <w:p>
      <w:pPr>
        <w:spacing w:after="0" w:line="116"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color w:val="auto"/>
        </w:rPr>
        <w:t>We have also entered into an administration agreement (the “Administration Agreement”) with PennantPark Investment Administration, LLC (the “Administrator” or “PennantPark Investment Administration”). Under the Administration Agreement, we have agreed to reimburse the Administrator for our allocable portion of overhead and other expenses incurred by the Administrator in performing its obligations under the Administration Agreement, including rent and our allocable portion of the costs of compensation and related expenses of our Chief Compliance Officer, Chief Financial Officer and their respective staffs. Aviv Efrat, our Chief Financial Officer, is the Managing Director of PennantPark Investment Administration.</w:t>
      </w:r>
    </w:p>
    <w:p>
      <w:pPr>
        <w:spacing w:after="0" w:line="11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PennantPark Investment Advisers has agreed to grant us a non-exclusive, royalty-free license to use the name “PennantPark.”</w:t>
      </w:r>
    </w:p>
    <w:p>
      <w:pPr>
        <w:spacing w:after="0" w:line="171" w:lineRule="exact"/>
        <w:rPr>
          <w:sz w:val="20"/>
          <w:szCs w:val="20"/>
          <w:color w:val="auto"/>
        </w:rPr>
      </w:pPr>
    </w:p>
    <w:p>
      <w:pPr>
        <w:jc w:val="both"/>
        <w:ind w:right="400" w:firstLine="456"/>
        <w:spacing w:after="0" w:line="259" w:lineRule="auto"/>
        <w:rPr>
          <w:sz w:val="20"/>
          <w:szCs w:val="20"/>
          <w:color w:val="auto"/>
        </w:rPr>
      </w:pPr>
      <w:r>
        <w:rPr>
          <w:rFonts w:ascii="Arial" w:cs="Arial" w:eastAsia="Arial" w:hAnsi="Arial"/>
          <w:sz w:val="18"/>
          <w:szCs w:val="18"/>
          <w:color w:val="auto"/>
        </w:rPr>
        <w:t>In addition, pursuant to the terms of the Administration Agreement, PennantPark Investment Administration provides us with the office facilities and administrative services necessary to conduct our day-to-day operations. PennantPark Investment Advisers is the sole member of and controls PennantPark Investment Administration.</w:t>
      </w:r>
    </w:p>
    <w:p>
      <w:pPr>
        <w:spacing w:after="0" w:line="140" w:lineRule="exact"/>
        <w:rPr>
          <w:sz w:val="20"/>
          <w:szCs w:val="20"/>
          <w:color w:val="auto"/>
        </w:rPr>
      </w:pPr>
    </w:p>
    <w:p>
      <w:pPr>
        <w:ind w:firstLine="456"/>
        <w:spacing w:after="0" w:line="306" w:lineRule="auto"/>
        <w:rPr>
          <w:sz w:val="20"/>
          <w:szCs w:val="20"/>
          <w:color w:val="auto"/>
        </w:rPr>
      </w:pPr>
      <w:r>
        <w:rPr>
          <w:rFonts w:ascii="Arial" w:cs="Arial" w:eastAsia="Arial" w:hAnsi="Arial"/>
          <w:sz w:val="16"/>
          <w:szCs w:val="16"/>
          <w:color w:val="auto"/>
        </w:rPr>
        <w:t>The Audit Committee, in consultation with the Company’s Chief Executive Officer, Chief Compliance Officer, and legal counsel, has established a written policy to govern the review of potential related party transactions. The Audit Committee conducts quarterly reviews of any potential related party transactions and, during these reviews, it also considers any conflicts of interest brought to its attention pursuant to the Company’s Code of Conduct or Joint Code of Ethics.</w:t>
      </w:r>
    </w:p>
    <w:p>
      <w:pPr>
        <w:spacing w:after="0" w:line="93"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340"/>
          </w:cols>
          <w:pgMar w:left="240" w:top="280" w:right="319" w:bottom="1440" w:gutter="0" w:footer="0" w:header="0"/>
        </w:sectPr>
      </w:pPr>
    </w:p>
    <w:bookmarkStart w:id="18" w:name="page19"/>
    <w:bookmarkEnd w:id="18"/>
    <w:p>
      <w:pPr>
        <w:jc w:val="center"/>
        <w:ind w:right="-19"/>
        <w:spacing w:after="0"/>
        <w:rPr>
          <w:sz w:val="20"/>
          <w:szCs w:val="20"/>
          <w:color w:val="auto"/>
        </w:rPr>
      </w:pPr>
      <w:r>
        <w:rPr>
          <w:rFonts w:ascii="Arial" w:cs="Arial" w:eastAsia="Arial" w:hAnsi="Arial"/>
          <w:sz w:val="18"/>
          <w:szCs w:val="18"/>
          <w:b w:val="1"/>
          <w:bCs w:val="1"/>
          <w:i w:val="1"/>
          <w:i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PROPOSAL 2: RATIFICATION OF</w:t>
      </w:r>
    </w:p>
    <w:p>
      <w:pPr>
        <w:spacing w:after="0" w:line="1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i w:val="1"/>
          <w:iCs w:val="1"/>
          <w:color w:val="auto"/>
        </w:rPr>
        <w:t>SELECTION OF INDEPENDENT REGISTERED PUBLIC ACCOUNTING FIRM</w:t>
      </w:r>
    </w:p>
    <w:p>
      <w:pPr>
        <w:spacing w:after="0" w:line="165" w:lineRule="exact"/>
        <w:rPr>
          <w:sz w:val="20"/>
          <w:szCs w:val="20"/>
          <w:color w:val="auto"/>
        </w:rPr>
      </w:pPr>
    </w:p>
    <w:p>
      <w:pPr>
        <w:ind w:right="160" w:firstLine="456"/>
        <w:spacing w:after="0" w:line="255" w:lineRule="auto"/>
        <w:rPr>
          <w:sz w:val="20"/>
          <w:szCs w:val="20"/>
          <w:color w:val="auto"/>
        </w:rPr>
      </w:pPr>
      <w:r>
        <w:rPr>
          <w:rFonts w:ascii="Arial" w:cs="Arial" w:eastAsia="Arial" w:hAnsi="Arial"/>
          <w:sz w:val="18"/>
          <w:szCs w:val="18"/>
          <w:color w:val="auto"/>
        </w:rPr>
        <w:t>KPMG LLP (“KPMG”) has been selected as the independent registered public accounting firm to audit the financial statements of the Company at and during the Company’s fiscal year ending September 30, 2010. KPMG was selected by the Audit Committee of the Company and that selection was ratified by a majority of the Company’s Board, including all of the independent directors, by a vote cast in person. The Company does not know of any direct or indirect financial interest of KPMG in the Company. Representative(s) of KPMG will attend the Annual Meeting and will have the opportunity to make a statement if they desire to do so and will be available to answer questions.</w:t>
      </w:r>
    </w:p>
    <w:p>
      <w:pPr>
        <w:spacing w:after="0" w:line="143" w:lineRule="exact"/>
        <w:rPr>
          <w:sz w:val="20"/>
          <w:szCs w:val="20"/>
          <w:color w:val="auto"/>
        </w:rPr>
      </w:pPr>
    </w:p>
    <w:p>
      <w:pPr>
        <w:ind w:right="100" w:firstLine="456"/>
        <w:spacing w:after="0" w:line="259" w:lineRule="auto"/>
        <w:rPr>
          <w:sz w:val="20"/>
          <w:szCs w:val="20"/>
          <w:color w:val="auto"/>
        </w:rPr>
      </w:pPr>
      <w:r>
        <w:rPr>
          <w:rFonts w:ascii="Arial" w:cs="Arial" w:eastAsia="Arial" w:hAnsi="Arial"/>
          <w:sz w:val="18"/>
          <w:szCs w:val="18"/>
          <w:i w:val="1"/>
          <w:iCs w:val="1"/>
          <w:color w:val="auto"/>
        </w:rPr>
        <w:t xml:space="preserve">Audit Fees: </w:t>
      </w:r>
      <w:r>
        <w:rPr>
          <w:rFonts w:ascii="Arial" w:cs="Arial" w:eastAsia="Arial" w:hAnsi="Arial"/>
          <w:sz w:val="18"/>
          <w:szCs w:val="18"/>
          <w:color w:val="auto"/>
        </w:rPr>
        <w:t>Audit fees consist of fees billed for professional services rendered for the audit of our year-end financial statements and services that are</w:t>
      </w:r>
      <w:r>
        <w:rPr>
          <w:rFonts w:ascii="Arial" w:cs="Arial" w:eastAsia="Arial" w:hAnsi="Arial"/>
          <w:sz w:val="18"/>
          <w:szCs w:val="18"/>
          <w:i w:val="1"/>
          <w:iCs w:val="1"/>
          <w:color w:val="auto"/>
        </w:rPr>
        <w:t xml:space="preserve"> </w:t>
      </w:r>
      <w:r>
        <w:rPr>
          <w:rFonts w:ascii="Arial" w:cs="Arial" w:eastAsia="Arial" w:hAnsi="Arial"/>
          <w:sz w:val="18"/>
          <w:szCs w:val="18"/>
          <w:color w:val="auto"/>
        </w:rPr>
        <w:t>normally provided by KPMG in connection with statutory and regulatory filings. Audit fees billed during the fiscal years ended September 30, 2009 and 2008 to the Company were $180,050 and $357,269, respectively.</w:t>
      </w:r>
    </w:p>
    <w:p>
      <w:pPr>
        <w:spacing w:after="0" w:line="140" w:lineRule="exact"/>
        <w:rPr>
          <w:sz w:val="20"/>
          <w:szCs w:val="20"/>
          <w:color w:val="auto"/>
        </w:rPr>
      </w:pPr>
    </w:p>
    <w:p>
      <w:pPr>
        <w:ind w:right="340" w:firstLine="456"/>
        <w:spacing w:after="0" w:line="256" w:lineRule="auto"/>
        <w:rPr>
          <w:sz w:val="20"/>
          <w:szCs w:val="20"/>
          <w:color w:val="auto"/>
        </w:rPr>
      </w:pPr>
      <w:r>
        <w:rPr>
          <w:rFonts w:ascii="Arial" w:cs="Arial" w:eastAsia="Arial" w:hAnsi="Arial"/>
          <w:sz w:val="18"/>
          <w:szCs w:val="18"/>
          <w:i w:val="1"/>
          <w:iCs w:val="1"/>
          <w:color w:val="auto"/>
        </w:rPr>
        <w:t xml:space="preserve">Audit-Related Fees: </w:t>
      </w:r>
      <w:r>
        <w:rPr>
          <w:rFonts w:ascii="Arial" w:cs="Arial" w:eastAsia="Arial" w:hAnsi="Arial"/>
          <w:sz w:val="18"/>
          <w:szCs w:val="18"/>
          <w:color w:val="auto"/>
        </w:rPr>
        <w:t>Audit-related services consist of fees billed for assurance and related services that are reasonably related to the performance of the</w:t>
      </w:r>
      <w:r>
        <w:rPr>
          <w:rFonts w:ascii="Arial" w:cs="Arial" w:eastAsia="Arial" w:hAnsi="Arial"/>
          <w:sz w:val="18"/>
          <w:szCs w:val="18"/>
          <w:i w:val="1"/>
          <w:iCs w:val="1"/>
          <w:color w:val="auto"/>
        </w:rPr>
        <w:t xml:space="preserve"> </w:t>
      </w:r>
      <w:r>
        <w:rPr>
          <w:rFonts w:ascii="Arial" w:cs="Arial" w:eastAsia="Arial" w:hAnsi="Arial"/>
          <w:sz w:val="18"/>
          <w:szCs w:val="18"/>
          <w:color w:val="auto"/>
        </w:rPr>
        <w:t>audit or review of our financial statements and are not reported under “Audit Fees.” These services include attest services that are not required by statute or regulation and consultations concerning financial accounting and reporting standards. There were no audit related fees billed during the fiscal years ended September 30, 2009 and 2008.</w:t>
      </w:r>
    </w:p>
    <w:p>
      <w:pPr>
        <w:spacing w:after="0" w:line="143" w:lineRule="exact"/>
        <w:rPr>
          <w:sz w:val="20"/>
          <w:szCs w:val="20"/>
          <w:color w:val="auto"/>
        </w:rPr>
      </w:pPr>
    </w:p>
    <w:p>
      <w:pPr>
        <w:ind w:right="200" w:firstLine="456"/>
        <w:spacing w:after="0" w:line="332" w:lineRule="auto"/>
        <w:rPr>
          <w:sz w:val="20"/>
          <w:szCs w:val="20"/>
          <w:color w:val="auto"/>
        </w:rPr>
      </w:pPr>
      <w:r>
        <w:rPr>
          <w:rFonts w:ascii="Arial" w:cs="Arial" w:eastAsia="Arial" w:hAnsi="Arial"/>
          <w:sz w:val="16"/>
          <w:szCs w:val="16"/>
          <w:i w:val="1"/>
          <w:iCs w:val="1"/>
          <w:color w:val="auto"/>
        </w:rPr>
        <w:t xml:space="preserve">Tax Fees: </w:t>
      </w:r>
      <w:r>
        <w:rPr>
          <w:rFonts w:ascii="Arial" w:cs="Arial" w:eastAsia="Arial" w:hAnsi="Arial"/>
          <w:sz w:val="16"/>
          <w:szCs w:val="16"/>
          <w:color w:val="auto"/>
        </w:rPr>
        <w:t>Tax fees consist of fees billed for professional services for tax compliance. These services include assistance regarding federal, state, and local</w:t>
      </w:r>
      <w:r>
        <w:rPr>
          <w:rFonts w:ascii="Arial" w:cs="Arial" w:eastAsia="Arial" w:hAnsi="Arial"/>
          <w:sz w:val="16"/>
          <w:szCs w:val="16"/>
          <w:i w:val="1"/>
          <w:iCs w:val="1"/>
          <w:color w:val="auto"/>
        </w:rPr>
        <w:t xml:space="preserve"> </w:t>
      </w:r>
      <w:r>
        <w:rPr>
          <w:rFonts w:ascii="Arial" w:cs="Arial" w:eastAsia="Arial" w:hAnsi="Arial"/>
          <w:sz w:val="16"/>
          <w:szCs w:val="16"/>
          <w:color w:val="auto"/>
        </w:rPr>
        <w:t>tax compliance. Tax fees billed to the Company during the fiscal years ended September 30, 2009 and 2008 were $19,250 and $111,000, respectively.</w:t>
      </w:r>
    </w:p>
    <w:p>
      <w:pPr>
        <w:spacing w:after="0" w:line="85" w:lineRule="exact"/>
        <w:rPr>
          <w:sz w:val="20"/>
          <w:szCs w:val="20"/>
          <w:color w:val="auto"/>
        </w:rPr>
      </w:pPr>
    </w:p>
    <w:p>
      <w:pPr>
        <w:ind w:right="140" w:firstLine="456"/>
        <w:spacing w:after="0" w:line="268" w:lineRule="auto"/>
        <w:rPr>
          <w:sz w:val="20"/>
          <w:szCs w:val="20"/>
          <w:color w:val="auto"/>
        </w:rPr>
      </w:pPr>
      <w:r>
        <w:rPr>
          <w:rFonts w:ascii="Arial" w:cs="Arial" w:eastAsia="Arial" w:hAnsi="Arial"/>
          <w:sz w:val="18"/>
          <w:szCs w:val="18"/>
          <w:i w:val="1"/>
          <w:iCs w:val="1"/>
          <w:color w:val="auto"/>
        </w:rPr>
        <w:t xml:space="preserve">All Other Fees: </w:t>
      </w:r>
      <w:r>
        <w:rPr>
          <w:rFonts w:ascii="Arial" w:cs="Arial" w:eastAsia="Arial" w:hAnsi="Arial"/>
          <w:sz w:val="18"/>
          <w:szCs w:val="18"/>
          <w:color w:val="auto"/>
        </w:rPr>
        <w:t>Other fees would include fees billed for products and services other than the services reported above. Other fees billed during fiscal years</w:t>
      </w:r>
      <w:r>
        <w:rPr>
          <w:rFonts w:ascii="Arial" w:cs="Arial" w:eastAsia="Arial" w:hAnsi="Arial"/>
          <w:sz w:val="18"/>
          <w:szCs w:val="18"/>
          <w:i w:val="1"/>
          <w:iCs w:val="1"/>
          <w:color w:val="auto"/>
        </w:rPr>
        <w:t xml:space="preserve"> </w:t>
      </w:r>
      <w:r>
        <w:rPr>
          <w:rFonts w:ascii="Arial" w:cs="Arial" w:eastAsia="Arial" w:hAnsi="Arial"/>
          <w:sz w:val="18"/>
          <w:szCs w:val="18"/>
          <w:color w:val="auto"/>
        </w:rPr>
        <w:t>ended September 30, 2009 and 2008 were $86,154 and $41,338, respectively.</w:t>
      </w:r>
    </w:p>
    <w:p>
      <w:pPr>
        <w:spacing w:after="0" w:line="132" w:lineRule="exact"/>
        <w:rPr>
          <w:sz w:val="20"/>
          <w:szCs w:val="20"/>
          <w:color w:val="auto"/>
        </w:rPr>
      </w:pPr>
    </w:p>
    <w:p>
      <w:pPr>
        <w:ind w:firstLine="456"/>
        <w:spacing w:after="0" w:line="306" w:lineRule="auto"/>
        <w:rPr>
          <w:sz w:val="20"/>
          <w:szCs w:val="20"/>
          <w:color w:val="auto"/>
        </w:rPr>
      </w:pPr>
      <w:r>
        <w:rPr>
          <w:rFonts w:ascii="Arial" w:cs="Arial" w:eastAsia="Arial" w:hAnsi="Arial"/>
          <w:sz w:val="16"/>
          <w:szCs w:val="16"/>
          <w:color w:val="auto"/>
        </w:rPr>
        <w:t>The Audit Committee has established a pre-approval policy that describes the permitted audit, audit-related, tax and other services to be provided by KPMG, the Company’s independent auditor. The policy requires that the Audit Committee pre-approve the audit and permissible non-audit services performed by the independent auditor in order to assure that the provision of such service does not impair the auditor’s independence.</w:t>
      </w:r>
    </w:p>
    <w:p>
      <w:pPr>
        <w:spacing w:after="0" w:line="107" w:lineRule="exact"/>
        <w:rPr>
          <w:sz w:val="20"/>
          <w:szCs w:val="20"/>
          <w:color w:val="auto"/>
        </w:rPr>
      </w:pPr>
    </w:p>
    <w:p>
      <w:pPr>
        <w:ind w:right="220" w:firstLine="456"/>
        <w:spacing w:after="0" w:line="294" w:lineRule="auto"/>
        <w:rPr>
          <w:sz w:val="20"/>
          <w:szCs w:val="20"/>
          <w:color w:val="auto"/>
        </w:rPr>
      </w:pPr>
      <w:r>
        <w:rPr>
          <w:rFonts w:ascii="Arial" w:cs="Arial" w:eastAsia="Arial" w:hAnsi="Arial"/>
          <w:sz w:val="16"/>
          <w:szCs w:val="16"/>
          <w:color w:val="auto"/>
        </w:rPr>
        <w:t>Any requests for audit, audit-related, tax and other services that have not received general pre-approval must be submitted to the Audit Committee for specific pre-approval, and cannot commence until such approval has been granted. Normally, pre-approval is provided at regularly scheduled meetings of the Audit Committee. However, the Audit Committee may delegate pre-approval authority to one or more of its members. The member or members to whom such authority is delegated shall report any pre-approval decisions to the Audit Committee at its next scheduled meeting. The Audit Committee does not delegate its responsibilities to pre-approve services performed by the independent auditor to management.</w:t>
      </w:r>
    </w:p>
    <w:p>
      <w:pPr>
        <w:spacing w:after="0" w:line="110" w:lineRule="exact"/>
        <w:rPr>
          <w:sz w:val="20"/>
          <w:szCs w:val="20"/>
          <w:color w:val="auto"/>
        </w:rPr>
      </w:pPr>
    </w:p>
    <w:p>
      <w:pPr>
        <w:ind w:right="140" w:firstLine="456"/>
        <w:spacing w:after="0" w:line="339" w:lineRule="auto"/>
        <w:rPr>
          <w:sz w:val="20"/>
          <w:szCs w:val="20"/>
          <w:color w:val="auto"/>
        </w:rPr>
      </w:pPr>
      <w:r>
        <w:rPr>
          <w:rFonts w:ascii="Arial" w:cs="Arial" w:eastAsia="Arial" w:hAnsi="Arial"/>
          <w:sz w:val="16"/>
          <w:szCs w:val="16"/>
          <w:b w:val="1"/>
          <w:bCs w:val="1"/>
          <w:color w:val="auto"/>
        </w:rPr>
        <w:t>THE BOARD OF DIRECTORS UNANIMOUSLY RECOMMENDS THAT YOU VOTE FOR RATIFICATION OF KPMG LLP AS INDEPENDENT REGISTERED PUBLIC ACCOUNTING FIRM TO THE COMPANY FOR THE FISCAL YEAR ENDING SEPTEMBER 30, 2010.</w:t>
      </w:r>
    </w:p>
    <w:p>
      <w:pPr>
        <w:spacing w:after="0" w:line="6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400"/>
          </w:cols>
          <w:pgMar w:left="240" w:top="280" w:right="259" w:bottom="1440" w:gutter="0" w:footer="0" w:header="0"/>
        </w:sectPr>
      </w:pPr>
    </w:p>
    <w:bookmarkStart w:id="19" w:name="page20"/>
    <w:bookmarkEnd w:id="19"/>
    <w:p>
      <w:pPr>
        <w:jc w:val="center"/>
        <w:ind w:right="-19"/>
        <w:spacing w:after="0"/>
        <w:rPr>
          <w:sz w:val="20"/>
          <w:szCs w:val="20"/>
          <w:color w:val="auto"/>
        </w:rPr>
      </w:pPr>
      <w:r>
        <w:rPr>
          <w:rFonts w:ascii="Arial" w:cs="Arial" w:eastAsia="Arial" w:hAnsi="Arial"/>
          <w:sz w:val="18"/>
          <w:szCs w:val="18"/>
          <w:b w:val="1"/>
          <w:bCs w:val="1"/>
          <w:i w:val="1"/>
          <w:i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89165" cy="38100"/>
                    </a:xfrm>
                    <a:prstGeom prst="rect">
                      <a:avLst/>
                    </a:prstGeom>
                    <a:noFill/>
                  </pic:spPr>
                </pic:pic>
              </a:graphicData>
            </a:graphic>
          </wp:anchor>
        </w:drawing>
        <w:t>PROPOSAL 3: AUTHORIZATION TO OFFER AND SELL SHARES OF</w:t>
      </w:r>
    </w:p>
    <w:p>
      <w:pPr>
        <w:spacing w:after="0" w:line="1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i w:val="1"/>
          <w:iCs w:val="1"/>
          <w:color w:val="auto"/>
        </w:rPr>
        <w:t>COMMON STOCK BELOW NET ASSET VALUE</w:t>
      </w:r>
    </w:p>
    <w:p>
      <w:pPr>
        <w:spacing w:after="0" w:line="16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i w:val="1"/>
          <w:iCs w:val="1"/>
          <w:color w:val="auto"/>
        </w:rPr>
        <w:t>Stockholder Authorization</w:t>
      </w:r>
    </w:p>
    <w:p>
      <w:pPr>
        <w:spacing w:after="0" w:line="90" w:lineRule="exact"/>
        <w:rPr>
          <w:sz w:val="20"/>
          <w:szCs w:val="20"/>
          <w:color w:val="auto"/>
        </w:rPr>
      </w:pPr>
    </w:p>
    <w:p>
      <w:pPr>
        <w:ind w:right="100" w:firstLine="456"/>
        <w:spacing w:after="0" w:line="256" w:lineRule="auto"/>
        <w:rPr>
          <w:sz w:val="20"/>
          <w:szCs w:val="20"/>
          <w:color w:val="auto"/>
        </w:rPr>
      </w:pPr>
      <w:r>
        <w:rPr>
          <w:rFonts w:ascii="Arial" w:cs="Arial" w:eastAsia="Arial" w:hAnsi="Arial"/>
          <w:sz w:val="18"/>
          <w:szCs w:val="18"/>
          <w:color w:val="auto"/>
        </w:rPr>
        <w:t>The 1940 Act generally prohibits us, as a Business Development Company (“BDC”), from offering and selling shares of our Common Stock at a price below the then current net asset value per share, or NAV, unless the policy and practice of doing so is approved by the Stockholders within one year immediately prior to any such sales. Shares of our Common Stock have traded at a price both above and below their NAV since they have begun trading on the NASDAQ Global Select Market.</w:t>
      </w:r>
    </w:p>
    <w:p>
      <w:pPr>
        <w:spacing w:after="0" w:line="143" w:lineRule="exact"/>
        <w:rPr>
          <w:sz w:val="20"/>
          <w:szCs w:val="20"/>
          <w:color w:val="auto"/>
        </w:rPr>
      </w:pPr>
    </w:p>
    <w:p>
      <w:pPr>
        <w:ind w:firstLine="456"/>
        <w:spacing w:after="0" w:line="288" w:lineRule="auto"/>
        <w:rPr>
          <w:sz w:val="20"/>
          <w:szCs w:val="20"/>
          <w:color w:val="auto"/>
        </w:rPr>
      </w:pPr>
      <w:r>
        <w:rPr>
          <w:rFonts w:ascii="Arial" w:cs="Arial" w:eastAsia="Arial" w:hAnsi="Arial"/>
          <w:sz w:val="16"/>
          <w:szCs w:val="16"/>
          <w:color w:val="auto"/>
        </w:rPr>
        <w:t>We are seeking Stockholder approval now to sell our shares below NAV in order to provide flexibility for future sales, which typically are undertaken quickly in response to market conditions. The final terms of any such sale will be determined by the Board at the time of sale. Also, because we have no immediate plans to sell any shares of our Common Stock below NAV, it is impracticable to describe the transaction or transactions in which such shares would be sold. Instead, any transaction where we sell such shares of our Common Stock, including the nature and amount of consideration that would be received by us at the time of sale and the use of any such consideration, will be reviewed and approved by the Board at the time of sale. If this proposal is approved, we will not solicit further authorization from the Stockholders prior to any such sale, and the authorization would be effective for shares sold during a period beginning on the date of Stockholder approval and expiring one year from such approval. In connection with the August 25, 2009 Special Meeting of Stockholders, we sought, and received, Stockholder approval of a substantially similar proposal. Such Stockholder approval will expire on August 25, 2010. With this proposal, we are seeking to bring the timing to conform to our annual meeting cycle so that special meetings are not required going forward.</w:t>
      </w:r>
    </w:p>
    <w:p>
      <w:pPr>
        <w:spacing w:after="0" w:line="120" w:lineRule="exact"/>
        <w:rPr>
          <w:sz w:val="20"/>
          <w:szCs w:val="20"/>
          <w:color w:val="auto"/>
        </w:rPr>
      </w:pPr>
    </w:p>
    <w:p>
      <w:pPr>
        <w:ind w:right="400" w:firstLine="456"/>
        <w:spacing w:after="0" w:line="332" w:lineRule="auto"/>
        <w:rPr>
          <w:sz w:val="20"/>
          <w:szCs w:val="20"/>
          <w:color w:val="auto"/>
        </w:rPr>
      </w:pPr>
      <w:r>
        <w:rPr>
          <w:rFonts w:ascii="Arial" w:cs="Arial" w:eastAsia="Arial" w:hAnsi="Arial"/>
          <w:sz w:val="16"/>
          <w:szCs w:val="16"/>
          <w:color w:val="auto"/>
        </w:rPr>
        <w:t>In a common stock offering, investors are offered an ownership interest in a corporation. Stockholders typically are entitled to vote on the selection of corporate directors and other important matters as well as to receive distributions on their holdings to the extent such distributions are declared.</w:t>
      </w:r>
    </w:p>
    <w:p>
      <w:pPr>
        <w:spacing w:after="0" w:line="85" w:lineRule="exact"/>
        <w:rPr>
          <w:sz w:val="20"/>
          <w:szCs w:val="20"/>
          <w:color w:val="auto"/>
        </w:rPr>
      </w:pPr>
    </w:p>
    <w:p>
      <w:pPr>
        <w:ind w:right="220" w:firstLine="456"/>
        <w:spacing w:after="0" w:line="255" w:lineRule="auto"/>
        <w:rPr>
          <w:sz w:val="20"/>
          <w:szCs w:val="20"/>
          <w:color w:val="auto"/>
        </w:rPr>
      </w:pPr>
      <w:r>
        <w:rPr>
          <w:rFonts w:ascii="Arial" w:cs="Arial" w:eastAsia="Arial" w:hAnsi="Arial"/>
          <w:sz w:val="18"/>
          <w:szCs w:val="18"/>
          <w:color w:val="auto"/>
        </w:rPr>
        <w:t>Generally, common stock offerings for BDCs are priced based on the market price of the currently outstanding shares of common stock, less a small discount of approximately 5%. Since shares of our Common Stock currently trade at a market price below NAV, Stockholder approval would permit us to offer and sell shares of our Common Stock in accordance with pricing standards that market conditions generally require. This proxy statement is not an offer of securities. Securities may not be offered or sold in the United States absent registration with the SEC or an applicable exemption from the registration requirements.</w:t>
      </w:r>
    </w:p>
    <w:p>
      <w:pPr>
        <w:spacing w:after="0" w:line="224"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i w:val="1"/>
          <w:iCs w:val="1"/>
          <w:color w:val="auto"/>
        </w:rPr>
        <w:t>1940 Act Conditions for Sales below NAV</w:t>
      </w:r>
    </w:p>
    <w:p>
      <w:pPr>
        <w:spacing w:after="0" w:line="90" w:lineRule="exact"/>
        <w:rPr>
          <w:sz w:val="20"/>
          <w:szCs w:val="20"/>
          <w:color w:val="auto"/>
        </w:rPr>
      </w:pPr>
    </w:p>
    <w:p>
      <w:pPr>
        <w:ind w:right="160" w:firstLine="456"/>
        <w:spacing w:after="0" w:line="332" w:lineRule="auto"/>
        <w:rPr>
          <w:sz w:val="20"/>
          <w:szCs w:val="20"/>
          <w:color w:val="auto"/>
        </w:rPr>
      </w:pPr>
      <w:r>
        <w:rPr>
          <w:rFonts w:ascii="Arial" w:cs="Arial" w:eastAsia="Arial" w:hAnsi="Arial"/>
          <w:sz w:val="16"/>
          <w:szCs w:val="16"/>
          <w:color w:val="auto"/>
        </w:rPr>
        <w:t>Our ability to issue shares of our Common Stock at a price below NAV is governed by the 1940 Act. Specifically, Section 63(2) of the 1940 Act provides that we may offer and sell shares of our Common Stock at prices below the then current NAV with Stockholder approval, provided that:</w:t>
      </w:r>
    </w:p>
    <w:p>
      <w:pPr>
        <w:spacing w:after="0" w:line="4" w:lineRule="exact"/>
        <w:rPr>
          <w:sz w:val="20"/>
          <w:szCs w:val="20"/>
          <w:color w:val="auto"/>
        </w:rPr>
      </w:pPr>
    </w:p>
    <w:p>
      <w:pPr>
        <w:ind w:left="900" w:right="200" w:hanging="325"/>
        <w:spacing w:after="0" w:line="268" w:lineRule="auto"/>
        <w:tabs>
          <w:tab w:leader="none" w:pos="9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any such sales are approved by (1) a majority of our Independent Directors and (2) a majority of our directors who have no financial interest in the proposal as being in the best interests of us and our Stockholders; and</w:t>
      </w:r>
    </w:p>
    <w:p>
      <w:pPr>
        <w:spacing w:after="0" w:line="50" w:lineRule="exact"/>
        <w:rPr>
          <w:rFonts w:ascii="Arial" w:cs="Arial" w:eastAsia="Arial" w:hAnsi="Arial"/>
          <w:sz w:val="18"/>
          <w:szCs w:val="18"/>
          <w:color w:val="auto"/>
        </w:rPr>
      </w:pPr>
    </w:p>
    <w:p>
      <w:pPr>
        <w:ind w:left="900" w:right="120" w:hanging="325"/>
        <w:spacing w:after="0" w:line="256" w:lineRule="auto"/>
        <w:tabs>
          <w:tab w:leader="none" w:pos="9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such a required majority of directors, in consultation with the underwriter of the offering, if it is underwritten, have determined in good faith, and as of a time immediately prior to the first solicitation by or on behalf of us of any firm commitment to purchase such securities or immediately prior to the issuance of such securities, that the price at which such securities are to be sold is not less than a price which closely approximates the market value for those securities, less any distributing commission or discount.</w:t>
      </w:r>
    </w:p>
    <w:p>
      <w:pPr>
        <w:spacing w:after="0" w:line="13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400"/>
          </w:cols>
          <w:pgMar w:left="240" w:top="280" w:right="259" w:bottom="1440" w:gutter="0" w:footer="0" w:header="0"/>
        </w:sectPr>
      </w:pPr>
    </w:p>
    <w:bookmarkStart w:id="20" w:name="page21"/>
    <w:bookmarkEnd w:id="20"/>
    <w:p>
      <w:pPr>
        <w:jc w:val="both"/>
        <w:ind w:right="60" w:firstLine="456"/>
        <w:spacing w:after="0" w:line="332"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Without the approval of Stockholders to offer and sell shares of our Common Stock at prices below NAV, we would be prohibited from selling such shares to raise capital when the market price for our Common Stock is below NAV. Our shares have for the most part recently traded at a discount to NAV.</w:t>
      </w:r>
    </w:p>
    <w:p>
      <w:pPr>
        <w:spacing w:after="0" w:line="166"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i w:val="1"/>
          <w:iCs w:val="1"/>
          <w:color w:val="auto"/>
        </w:rPr>
        <w:t>Board Approval</w:t>
      </w:r>
    </w:p>
    <w:p>
      <w:pPr>
        <w:spacing w:after="0" w:line="90" w:lineRule="exact"/>
        <w:rPr>
          <w:sz w:val="20"/>
          <w:szCs w:val="20"/>
          <w:color w:val="auto"/>
        </w:rPr>
      </w:pPr>
    </w:p>
    <w:p>
      <w:pPr>
        <w:jc w:val="both"/>
        <w:ind w:right="60" w:firstLine="456"/>
        <w:spacing w:after="0" w:line="306" w:lineRule="auto"/>
        <w:rPr>
          <w:sz w:val="20"/>
          <w:szCs w:val="20"/>
          <w:color w:val="auto"/>
        </w:rPr>
      </w:pPr>
      <w:r>
        <w:rPr>
          <w:rFonts w:ascii="Arial" w:cs="Arial" w:eastAsia="Arial" w:hAnsi="Arial"/>
          <w:sz w:val="16"/>
          <w:szCs w:val="16"/>
          <w:color w:val="auto"/>
        </w:rPr>
        <w:t>On November 18, 2009, the Board unanimously approved, and is recommending that the Stockholders vote in favor of, Proposal 3 to offer and sell shares of our Common Stock at prices that may be less than NAV. The Board concluded that the proposal is in the best interests of us and our Stockholders. In doing so, the Board, including the Independent Directors, considered and evaluated factors including the following, as discussed more fully below:</w:t>
      </w:r>
    </w:p>
    <w:p>
      <w:pPr>
        <w:spacing w:after="0" w:line="26" w:lineRule="exact"/>
        <w:rPr>
          <w:sz w:val="20"/>
          <w:szCs w:val="20"/>
          <w:color w:val="auto"/>
        </w:rPr>
      </w:pPr>
    </w:p>
    <w:p>
      <w:pPr>
        <w:ind w:left="900" w:hanging="325"/>
        <w:spacing w:after="0"/>
        <w:tabs>
          <w:tab w:leader="none" w:pos="9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possible long-term benefits to the Stockholders; and</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possible dilution to our NAV</w:t>
      </w:r>
    </w:p>
    <w:p>
      <w:pPr>
        <w:spacing w:after="0" w:line="90" w:lineRule="exact"/>
        <w:rPr>
          <w:sz w:val="20"/>
          <w:szCs w:val="20"/>
          <w:color w:val="auto"/>
        </w:rPr>
      </w:pPr>
    </w:p>
    <w:p>
      <w:pPr>
        <w:ind w:right="20" w:firstLine="456"/>
        <w:spacing w:after="0" w:line="255" w:lineRule="auto"/>
        <w:rPr>
          <w:sz w:val="20"/>
          <w:szCs w:val="20"/>
          <w:color w:val="auto"/>
        </w:rPr>
      </w:pPr>
      <w:r>
        <w:rPr>
          <w:rFonts w:ascii="Arial" w:cs="Arial" w:eastAsia="Arial" w:hAnsi="Arial"/>
          <w:sz w:val="18"/>
          <w:szCs w:val="18"/>
          <w:color w:val="auto"/>
        </w:rPr>
        <w:t>Prior to approving Proposal 3, the Board met to consider and evaluate material that our management provided on the merits of our possibly raising additional capital and the merits of publicly offering shares of our Common Stock at a price below NAV. The Board considered the objectives of a possible offering, the mechanics of an offering, establishing size parameters for an offering, the possible effects of dilution, Common Stock trading volume, and other matters. The Independent Directors also consulted with their independent counsel to consider and evaluate the issues presented and voted separately on the issues presented.</w:t>
      </w:r>
    </w:p>
    <w:p>
      <w:pPr>
        <w:spacing w:after="0" w:line="143" w:lineRule="exact"/>
        <w:rPr>
          <w:sz w:val="20"/>
          <w:szCs w:val="20"/>
          <w:color w:val="auto"/>
        </w:rPr>
      </w:pPr>
    </w:p>
    <w:p>
      <w:pPr>
        <w:ind w:right="140" w:firstLine="456"/>
        <w:spacing w:after="0" w:line="306" w:lineRule="auto"/>
        <w:rPr>
          <w:sz w:val="20"/>
          <w:szCs w:val="20"/>
          <w:color w:val="auto"/>
        </w:rPr>
      </w:pPr>
      <w:r>
        <w:rPr>
          <w:rFonts w:ascii="Arial" w:cs="Arial" w:eastAsia="Arial" w:hAnsi="Arial"/>
          <w:sz w:val="16"/>
          <w:szCs w:val="16"/>
          <w:color w:val="auto"/>
        </w:rPr>
        <w:t>The Board evaluated a full range of offering sizes. However, the Board has not yet drawn any definite conclusions regarding the size of a contemplated capital raise at this time. The Board expects that any increase in capital would be from a public offering of our Common Stock, or the possibility of one or more private placements. Additionally, our Common Stock could be issued as part of a purchase of assets, portfolios or other companies.</w:t>
      </w:r>
    </w:p>
    <w:p>
      <w:pPr>
        <w:spacing w:after="0" w:line="107"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In determining whether or not to offer and sell Common Stock, the Board has a duty to act in our best interests and that of our Stockholders and must comply with the other requirements of Section 63(2) of the 1940 Act. If Stockholders do not approve Proposal 3, the Board will consider and evaluate our options to determine what alternatives are in our best interests and that of our Stockholders.</w:t>
      </w:r>
    </w:p>
    <w:p>
      <w:pPr>
        <w:spacing w:after="0" w:line="221"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i w:val="1"/>
          <w:iCs w:val="1"/>
          <w:color w:val="auto"/>
        </w:rPr>
        <w:t>Possible Benefits to Stockholders</w:t>
      </w:r>
    </w:p>
    <w:p>
      <w:pPr>
        <w:spacing w:after="0" w:line="90" w:lineRule="exact"/>
        <w:rPr>
          <w:sz w:val="20"/>
          <w:szCs w:val="20"/>
          <w:color w:val="auto"/>
        </w:rPr>
      </w:pPr>
    </w:p>
    <w:p>
      <w:pPr>
        <w:ind w:right="280" w:firstLine="456"/>
        <w:spacing w:after="0" w:line="256" w:lineRule="auto"/>
        <w:rPr>
          <w:sz w:val="20"/>
          <w:szCs w:val="20"/>
          <w:color w:val="auto"/>
        </w:rPr>
      </w:pPr>
      <w:r>
        <w:rPr>
          <w:rFonts w:ascii="Arial" w:cs="Arial" w:eastAsia="Arial" w:hAnsi="Arial"/>
          <w:sz w:val="18"/>
          <w:szCs w:val="18"/>
          <w:color w:val="auto"/>
        </w:rPr>
        <w:t>The Board believes that having the flexibility for the Company to sell its Common Stock below NAV in certain instances is in our best interests and the best interests of Stockholders. If the Company were unable to access the capital markets as attractive investment opportunities arise, the Company’s ability to grow over time and continue to pay dividends to Stockholders could be adversely affected. In reaching that conclusion, the Board considered the following possible benefits to our Stockholders.</w:t>
      </w:r>
    </w:p>
    <w:p>
      <w:pPr>
        <w:spacing w:after="0" w:line="224" w:lineRule="exact"/>
        <w:rPr>
          <w:sz w:val="20"/>
          <w:szCs w:val="20"/>
          <w:color w:val="auto"/>
        </w:rPr>
      </w:pPr>
    </w:p>
    <w:p>
      <w:pPr>
        <w:jc w:val="center"/>
        <w:ind w:right="-39"/>
        <w:spacing w:after="0"/>
        <w:rPr>
          <w:sz w:val="20"/>
          <w:szCs w:val="20"/>
          <w:color w:val="auto"/>
        </w:rPr>
      </w:pPr>
      <w:r>
        <w:rPr>
          <w:rFonts w:ascii="Arial" w:cs="Arial" w:eastAsia="Arial" w:hAnsi="Arial"/>
          <w:sz w:val="18"/>
          <w:szCs w:val="18"/>
          <w:i w:val="1"/>
          <w:iCs w:val="1"/>
          <w:color w:val="auto"/>
        </w:rPr>
        <w:t>Current Market Conditions Have Created Attractive Opportunities</w:t>
      </w:r>
    </w:p>
    <w:p>
      <w:pPr>
        <w:spacing w:after="0" w:line="90" w:lineRule="exact"/>
        <w:rPr>
          <w:sz w:val="20"/>
          <w:szCs w:val="20"/>
          <w:color w:val="auto"/>
        </w:rPr>
      </w:pPr>
    </w:p>
    <w:p>
      <w:pPr>
        <w:ind w:right="40" w:firstLine="456"/>
        <w:spacing w:after="0" w:line="256" w:lineRule="auto"/>
        <w:rPr>
          <w:sz w:val="20"/>
          <w:szCs w:val="20"/>
          <w:color w:val="auto"/>
        </w:rPr>
      </w:pPr>
      <w:r>
        <w:rPr>
          <w:rFonts w:ascii="Arial" w:cs="Arial" w:eastAsia="Arial" w:hAnsi="Arial"/>
          <w:sz w:val="18"/>
          <w:szCs w:val="18"/>
          <w:color w:val="auto"/>
        </w:rPr>
        <w:t>Current market dislocation has created, and we believe will continue to create, favorable opportunities to invest, including opportunities that, all else being equal, may increase NAV over the longer-term, even if financed with the issuance of Common Stock below NAV. Stockholder approval of the proposal to sell shares below NAV, subject to the conditions detailed below, is expected to provide the Company with the flexibility to invest in such opportunities. We believe that current market conditions provide attractive opportunities to use capital.</w:t>
      </w:r>
    </w:p>
    <w:p>
      <w:pPr>
        <w:spacing w:after="0" w:line="143" w:lineRule="exact"/>
        <w:rPr>
          <w:sz w:val="20"/>
          <w:szCs w:val="20"/>
          <w:color w:val="auto"/>
        </w:rPr>
      </w:pPr>
    </w:p>
    <w:p>
      <w:pPr>
        <w:jc w:val="both"/>
        <w:ind w:right="420" w:firstLine="456"/>
        <w:spacing w:after="0" w:line="259" w:lineRule="auto"/>
        <w:rPr>
          <w:sz w:val="20"/>
          <w:szCs w:val="20"/>
          <w:color w:val="auto"/>
        </w:rPr>
      </w:pPr>
      <w:r>
        <w:rPr>
          <w:rFonts w:ascii="Arial" w:cs="Arial" w:eastAsia="Arial" w:hAnsi="Arial"/>
          <w:sz w:val="18"/>
          <w:szCs w:val="18"/>
          <w:color w:val="auto"/>
        </w:rPr>
        <w:t>In mid-2007, the debt and equity capital markets in the United States began to experience disturbance caused by significant write-offs in the financial services sector relating to subprime mortgages, the failure of certain major financial institutions and the re-pricing of credit risk, among other things. These events, along with</w:t>
      </w:r>
    </w:p>
    <w:p>
      <w:pPr>
        <w:spacing w:after="0" w:line="12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380"/>
          </w:cols>
          <w:pgMar w:left="240" w:top="280" w:right="279" w:bottom="1440" w:gutter="0" w:footer="0" w:header="0"/>
        </w:sectPr>
      </w:pPr>
    </w:p>
    <w:bookmarkStart w:id="21" w:name="page22"/>
    <w:bookmarkEnd w:id="21"/>
    <w:p>
      <w:pPr>
        <w:ind w:right="80"/>
        <w:spacing w:after="0" w:line="298"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a general deterioration of the housing market, led to worsening general economic conditions, which have adversely impacted the broader financial and credit markets and have reduced the availability of debt and equity capital for the market as a whole and financial firms in particular. These factors accelerated during second half of 2008 and continued into early 2009, as many investors sold assets to repay debt, meet equity redemption requirements or satisfy other obligations. This created forced selling that negatively impacted valuations of debt securities in most markets.</w:t>
      </w:r>
    </w:p>
    <w:p>
      <w:pPr>
        <w:spacing w:after="0" w:line="113" w:lineRule="exact"/>
        <w:rPr>
          <w:sz w:val="20"/>
          <w:szCs w:val="20"/>
          <w:color w:val="auto"/>
        </w:rPr>
      </w:pPr>
    </w:p>
    <w:p>
      <w:pPr>
        <w:jc w:val="both"/>
        <w:ind w:firstLine="456"/>
        <w:spacing w:after="0" w:line="256" w:lineRule="auto"/>
        <w:rPr>
          <w:sz w:val="20"/>
          <w:szCs w:val="20"/>
          <w:color w:val="auto"/>
        </w:rPr>
      </w:pPr>
      <w:r>
        <w:rPr>
          <w:rFonts w:ascii="Arial" w:cs="Arial" w:eastAsia="Arial" w:hAnsi="Arial"/>
          <w:sz w:val="18"/>
          <w:szCs w:val="18"/>
          <w:color w:val="auto"/>
        </w:rPr>
        <w:t>However, the change in market conditions also had beneficial effects for capital providers, including reduced competition, more favorable pricing of credit risk, more conservative capital structures, and more creditor-friendly contractual terms. Accordingly, we believe that we will benefit from access to capital in this constrained credit market and that the current environment should provide attractive investment opportunities. Our ability to take advantage of these opportunities will depend upon our access to capital.</w:t>
      </w:r>
    </w:p>
    <w:p>
      <w:pPr>
        <w:spacing w:after="0" w:line="224" w:lineRule="exact"/>
        <w:rPr>
          <w:sz w:val="20"/>
          <w:szCs w:val="20"/>
          <w:color w:val="auto"/>
        </w:rPr>
      </w:pPr>
    </w:p>
    <w:p>
      <w:pPr>
        <w:jc w:val="center"/>
        <w:ind w:right="-39"/>
        <w:spacing w:after="0"/>
        <w:rPr>
          <w:sz w:val="20"/>
          <w:szCs w:val="20"/>
          <w:color w:val="auto"/>
        </w:rPr>
      </w:pPr>
      <w:r>
        <w:rPr>
          <w:rFonts w:ascii="Arial" w:cs="Arial" w:eastAsia="Arial" w:hAnsi="Arial"/>
          <w:sz w:val="18"/>
          <w:szCs w:val="18"/>
          <w:i w:val="1"/>
          <w:iCs w:val="1"/>
          <w:color w:val="auto"/>
        </w:rPr>
        <w:t>Greater Investment Opportunities Due to Larger Capital Resources</w:t>
      </w:r>
    </w:p>
    <w:p>
      <w:pPr>
        <w:spacing w:after="0" w:line="90" w:lineRule="exact"/>
        <w:rPr>
          <w:sz w:val="20"/>
          <w:szCs w:val="20"/>
          <w:color w:val="auto"/>
        </w:rPr>
      </w:pPr>
    </w:p>
    <w:p>
      <w:pPr>
        <w:jc w:val="both"/>
        <w:ind w:right="40" w:firstLine="456"/>
        <w:spacing w:after="0" w:line="290" w:lineRule="auto"/>
        <w:rPr>
          <w:sz w:val="20"/>
          <w:szCs w:val="20"/>
          <w:color w:val="auto"/>
        </w:rPr>
      </w:pPr>
      <w:r>
        <w:rPr>
          <w:rFonts w:ascii="Arial" w:cs="Arial" w:eastAsia="Arial" w:hAnsi="Arial"/>
          <w:sz w:val="16"/>
          <w:szCs w:val="16"/>
          <w:color w:val="auto"/>
        </w:rPr>
        <w:t>The Board believes that additional capital raised through an offering of shares of our Common Stock may help us generate additional deal flow. Based on discussions with our management, the Board believes that greater deal flow, which may be achieved with more capital, would enable us to be a more significant participant in the private debt and equity markets and to compete more effectively for attractive investment opportunities. With more capital to invest in portfolio opportunities, we intend to be a more meaningful capital provider to companies and to compete for high quality investment opportunities with other funds having greater resources than we do. Management has represented to the Board that such investment opportunities may be funded with proceeds of an offering of shares of our Common Stock. However, management has not identified specific companies in which to invest the proceeds of an offering given that specific investment opportunities will change depending on the timing of an offering, if any.</w:t>
      </w:r>
    </w:p>
    <w:p>
      <w:pPr>
        <w:spacing w:after="0" w:line="199" w:lineRule="exact"/>
        <w:rPr>
          <w:sz w:val="20"/>
          <w:szCs w:val="20"/>
          <w:color w:val="auto"/>
        </w:rPr>
      </w:pPr>
    </w:p>
    <w:p>
      <w:pPr>
        <w:jc w:val="center"/>
        <w:ind w:right="-39"/>
        <w:spacing w:after="0"/>
        <w:rPr>
          <w:sz w:val="20"/>
          <w:szCs w:val="20"/>
          <w:color w:val="auto"/>
        </w:rPr>
      </w:pPr>
      <w:r>
        <w:rPr>
          <w:rFonts w:ascii="Arial" w:cs="Arial" w:eastAsia="Arial" w:hAnsi="Arial"/>
          <w:sz w:val="18"/>
          <w:szCs w:val="18"/>
          <w:i w:val="1"/>
          <w:iCs w:val="1"/>
          <w:color w:val="auto"/>
        </w:rPr>
        <w:t>Higher Market Capitalization and Liquidity May Make Our Common Stock More Attractive to Investors</w:t>
      </w:r>
    </w:p>
    <w:p>
      <w:pPr>
        <w:spacing w:after="0" w:line="90" w:lineRule="exact"/>
        <w:rPr>
          <w:sz w:val="20"/>
          <w:szCs w:val="20"/>
          <w:color w:val="auto"/>
        </w:rPr>
      </w:pPr>
    </w:p>
    <w:p>
      <w:pPr>
        <w:ind w:right="20" w:firstLine="456"/>
        <w:spacing w:after="0" w:line="256" w:lineRule="auto"/>
        <w:rPr>
          <w:sz w:val="20"/>
          <w:szCs w:val="20"/>
          <w:color w:val="auto"/>
        </w:rPr>
      </w:pPr>
      <w:r>
        <w:rPr>
          <w:rFonts w:ascii="Arial" w:cs="Arial" w:eastAsia="Arial" w:hAnsi="Arial"/>
          <w:sz w:val="18"/>
          <w:szCs w:val="18"/>
          <w:color w:val="auto"/>
        </w:rPr>
        <w:t>If we issue additional shares, our market capitalization and the amount of our publicly tradable Common Stock will increase, which may afford all holders of our Common Stock greater liquidity. A larger market capitalization may make our stock more attractive to a larger number of investors who have limitations of the size of companies in which they invest. Furthermore, a larger number of shares outstanding may increase trading volume, which could decrease the volatility in the secondary market in the price of our Common Stock.</w:t>
      </w:r>
    </w:p>
    <w:p>
      <w:pPr>
        <w:spacing w:after="0" w:line="224" w:lineRule="exact"/>
        <w:rPr>
          <w:sz w:val="20"/>
          <w:szCs w:val="20"/>
          <w:color w:val="auto"/>
        </w:rPr>
      </w:pPr>
    </w:p>
    <w:p>
      <w:pPr>
        <w:jc w:val="center"/>
        <w:ind w:right="-39"/>
        <w:spacing w:after="0"/>
        <w:rPr>
          <w:sz w:val="20"/>
          <w:szCs w:val="20"/>
          <w:color w:val="auto"/>
        </w:rPr>
      </w:pPr>
      <w:r>
        <w:rPr>
          <w:rFonts w:ascii="Arial" w:cs="Arial" w:eastAsia="Arial" w:hAnsi="Arial"/>
          <w:sz w:val="18"/>
          <w:szCs w:val="18"/>
          <w:i w:val="1"/>
          <w:iCs w:val="1"/>
          <w:color w:val="auto"/>
        </w:rPr>
        <w:t>Maintenance or Possible Increase of Dividends</w:t>
      </w:r>
    </w:p>
    <w:p>
      <w:pPr>
        <w:spacing w:after="0" w:line="90" w:lineRule="exact"/>
        <w:rPr>
          <w:sz w:val="20"/>
          <w:szCs w:val="20"/>
          <w:color w:val="auto"/>
        </w:rPr>
      </w:pPr>
    </w:p>
    <w:p>
      <w:pPr>
        <w:ind w:right="140" w:firstLine="456"/>
        <w:spacing w:after="0" w:line="298" w:lineRule="auto"/>
        <w:rPr>
          <w:sz w:val="20"/>
          <w:szCs w:val="20"/>
          <w:color w:val="auto"/>
        </w:rPr>
      </w:pPr>
      <w:r>
        <w:rPr>
          <w:rFonts w:ascii="Arial" w:cs="Arial" w:eastAsia="Arial" w:hAnsi="Arial"/>
          <w:sz w:val="16"/>
          <w:szCs w:val="16"/>
          <w:color w:val="auto"/>
        </w:rPr>
        <w:t>A larger and more diversified portfolio could provide us with more consistent cash flow, which may support the maintenance and growth of our dividend. We generally distribute dividends to our Stockholders and last declared a quarterly dividend of $0.24 per share of our Common Stock, paid on October 1, 2009. Although management will continue to seek to generate income sufficient to pay our dividends in the future, the proceeds, and the investments thereof, could enable us to maintain and possibly grow our dividends, which may include a return of capital, in the future.</w:t>
      </w:r>
    </w:p>
    <w:p>
      <w:pPr>
        <w:spacing w:after="0" w:line="194" w:lineRule="exact"/>
        <w:rPr>
          <w:sz w:val="20"/>
          <w:szCs w:val="20"/>
          <w:color w:val="auto"/>
        </w:rPr>
      </w:pPr>
    </w:p>
    <w:p>
      <w:pPr>
        <w:jc w:val="center"/>
        <w:ind w:right="-39"/>
        <w:spacing w:after="0"/>
        <w:rPr>
          <w:sz w:val="20"/>
          <w:szCs w:val="20"/>
          <w:color w:val="auto"/>
        </w:rPr>
      </w:pPr>
      <w:r>
        <w:rPr>
          <w:rFonts w:ascii="Arial" w:cs="Arial" w:eastAsia="Arial" w:hAnsi="Arial"/>
          <w:sz w:val="18"/>
          <w:szCs w:val="18"/>
          <w:i w:val="1"/>
          <w:iCs w:val="1"/>
          <w:color w:val="auto"/>
        </w:rPr>
        <w:t>Reduced Expenses Per Share</w:t>
      </w:r>
    </w:p>
    <w:p>
      <w:pPr>
        <w:spacing w:after="0" w:line="90" w:lineRule="exact"/>
        <w:rPr>
          <w:sz w:val="20"/>
          <w:szCs w:val="20"/>
          <w:color w:val="auto"/>
        </w:rPr>
      </w:pPr>
    </w:p>
    <w:p>
      <w:pPr>
        <w:jc w:val="both"/>
        <w:ind w:right="80" w:firstLine="456"/>
        <w:spacing w:after="0" w:line="259" w:lineRule="auto"/>
        <w:rPr>
          <w:sz w:val="20"/>
          <w:szCs w:val="20"/>
          <w:color w:val="auto"/>
        </w:rPr>
      </w:pPr>
      <w:r>
        <w:rPr>
          <w:rFonts w:ascii="Arial" w:cs="Arial" w:eastAsia="Arial" w:hAnsi="Arial"/>
          <w:sz w:val="18"/>
          <w:szCs w:val="18"/>
          <w:color w:val="auto"/>
        </w:rPr>
        <w:t>An offering that increases our total assets may reduce our expenses per share due to the spreading of fixed expenses over a larger asset base. We must bear certain fixed expenses, such as certain administrative, governance and compliance costs that do not generally vary based on our size. On a per share basis, these fixed expenses will be reduced when supported by a larger asset base.</w:t>
      </w:r>
    </w:p>
    <w:p>
      <w:pPr>
        <w:spacing w:after="0" w:line="12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400"/>
          </w:cols>
          <w:pgMar w:left="240" w:top="280" w:right="259" w:bottom="1440" w:gutter="0" w:footer="0" w:header="0"/>
        </w:sectPr>
      </w:pPr>
    </w:p>
    <w:bookmarkStart w:id="22" w:name="page23"/>
    <w:bookmarkEnd w:id="22"/>
    <w:p>
      <w:pPr>
        <w:jc w:val="center"/>
        <w:ind w:right="-39"/>
        <w:spacing w:after="0"/>
        <w:rPr>
          <w:sz w:val="20"/>
          <w:szCs w:val="20"/>
          <w:color w:val="auto"/>
        </w:rPr>
      </w:pPr>
      <w:r>
        <w:rPr>
          <w:rFonts w:ascii="Arial" w:cs="Arial" w:eastAsia="Arial" w:hAnsi="Arial"/>
          <w:sz w:val="18"/>
          <w:szCs w:val="18"/>
          <w:i w:val="1"/>
          <w:i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89165" cy="38100"/>
                    </a:xfrm>
                    <a:prstGeom prst="rect">
                      <a:avLst/>
                    </a:prstGeom>
                    <a:noFill/>
                  </pic:spPr>
                </pic:pic>
              </a:graphicData>
            </a:graphic>
          </wp:anchor>
        </w:drawing>
        <w:t>Status as a BDC and RIC and Maintaining a Favorable Debt-to-Equity Ratio</w:t>
      </w:r>
    </w:p>
    <w:p>
      <w:pPr>
        <w:spacing w:after="0" w:line="90" w:lineRule="exact"/>
        <w:rPr>
          <w:sz w:val="20"/>
          <w:szCs w:val="20"/>
          <w:color w:val="auto"/>
        </w:rPr>
      </w:pPr>
    </w:p>
    <w:p>
      <w:pPr>
        <w:ind w:firstLine="456"/>
        <w:spacing w:after="0" w:line="253" w:lineRule="auto"/>
        <w:rPr>
          <w:sz w:val="20"/>
          <w:szCs w:val="20"/>
          <w:color w:val="auto"/>
        </w:rPr>
      </w:pPr>
      <w:r>
        <w:rPr>
          <w:rFonts w:ascii="Arial" w:cs="Arial" w:eastAsia="Arial" w:hAnsi="Arial"/>
          <w:sz w:val="18"/>
          <w:szCs w:val="18"/>
          <w:color w:val="auto"/>
        </w:rPr>
        <w:t>As a BDC and a regulated investment company (a “RIC”) for tax purposes we must abide by certain requirements. RICs generally must distribute substantially all of their earnings from dividends, interest and short- term gains to stockholders as dividends in order to maintain pass-through tax treatment. This requirement prevents us from using retained earnings to finance new investments. Further, in order to borrow money or issue preferred stock, BDCs must maintain a debt-to-equity ratio of not more than 1:1, which requires us to finance our investments with at least as much common equity as our combined outstanding debt and preferred stock. While we believe that we can continue to meet our obligations to pay dividends and maintain the requisite debt-to-equity ratio without raising capital, raising such capital could assist us in taking advantage of new investment opportunities and building our investment portfolio, which could help us meet such regulatory obligations.</w:t>
      </w:r>
    </w:p>
    <w:p>
      <w:pPr>
        <w:spacing w:after="0" w:line="147" w:lineRule="exact"/>
        <w:rPr>
          <w:sz w:val="20"/>
          <w:szCs w:val="20"/>
          <w:color w:val="auto"/>
        </w:rPr>
      </w:pPr>
    </w:p>
    <w:p>
      <w:pPr>
        <w:ind w:firstLine="456"/>
        <w:spacing w:after="0" w:line="289" w:lineRule="auto"/>
        <w:rPr>
          <w:sz w:val="20"/>
          <w:szCs w:val="20"/>
          <w:color w:val="auto"/>
        </w:rPr>
      </w:pPr>
      <w:r>
        <w:rPr>
          <w:rFonts w:ascii="Arial" w:cs="Arial" w:eastAsia="Arial" w:hAnsi="Arial"/>
          <w:sz w:val="16"/>
          <w:szCs w:val="16"/>
          <w:color w:val="auto"/>
        </w:rPr>
        <w:t>Exceeding the required 1:1 debt-to-equity ratio would have severe negative consequences for a BDC, including an inability to pay dividends, possible breaches of debt covenants and failure to qualify for tax treatment as a RIC. Although we do not currently expect that we will exceed the required 1:1 debt-to-equity ratio, the markets we operate in and the general economy remain volatile and uncertain. Even though the underlying performance of a particular portfolio company may not indicate impairment or an inability to repay indebtedness in full, the volatility in the debt capital markets may continue to impact the valuations of debt investments negatively and result in further unrealized write-downs of debt investments. Any such asset write-downs, as well as unrealized write-downs based on the underlying performance of our portfolio companies, if any, will negatively impact our Stockholders’ equity and the resulting debt-to-equity ratio required for BDCs. Continued volatility in the capital markets and the resulting negative pressure on debt investment valuations could negatively impact our asset valuations, Stockholders’ equity and our debt-to-equity ratio. Issuing new equity will improve our debt-to-equity ratio.</w:t>
      </w:r>
    </w:p>
    <w:p>
      <w:pPr>
        <w:spacing w:after="0" w:line="118" w:lineRule="exact"/>
        <w:rPr>
          <w:sz w:val="20"/>
          <w:szCs w:val="20"/>
          <w:color w:val="auto"/>
        </w:rPr>
      </w:pPr>
    </w:p>
    <w:p>
      <w:pPr>
        <w:ind w:right="20" w:firstLine="456"/>
        <w:spacing w:after="0" w:line="268" w:lineRule="auto"/>
        <w:rPr>
          <w:sz w:val="20"/>
          <w:szCs w:val="20"/>
          <w:color w:val="auto"/>
        </w:rPr>
      </w:pPr>
      <w:r>
        <w:rPr>
          <w:rFonts w:ascii="Arial" w:cs="Arial" w:eastAsia="Arial" w:hAnsi="Arial"/>
          <w:sz w:val="18"/>
          <w:szCs w:val="18"/>
          <w:color w:val="auto"/>
        </w:rPr>
        <w:t>In addition to meeting legal requirements applicable to BDCs, having a more favorable debt-to-equity ratio will also generally strengthen our balance sheet and give us more flexibility in our operations.</w:t>
      </w:r>
    </w:p>
    <w:p>
      <w:pPr>
        <w:spacing w:after="0" w:line="11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380"/>
          </w:cols>
          <w:pgMar w:left="240" w:top="280" w:right="279" w:bottom="1440" w:gutter="0" w:footer="0" w:header="0"/>
        </w:sectPr>
      </w:pPr>
    </w:p>
    <w:bookmarkStart w:id="23" w:name="page24"/>
    <w:bookmarkEnd w:id="23"/>
    <w:p>
      <w:pPr>
        <w:jc w:val="center"/>
        <w:spacing w:after="0"/>
        <w:rPr>
          <w:sz w:val="20"/>
          <w:szCs w:val="20"/>
          <w:color w:val="auto"/>
        </w:rPr>
      </w:pPr>
      <w:r>
        <w:rPr>
          <w:rFonts w:ascii="Arial" w:cs="Arial" w:eastAsia="Arial" w:hAnsi="Arial"/>
          <w:sz w:val="18"/>
          <w:szCs w:val="18"/>
          <w:b w:val="1"/>
          <w:bCs w:val="1"/>
          <w:i w:val="1"/>
          <w:i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Trading History</w:t>
      </w:r>
    </w:p>
    <w:p>
      <w:pPr>
        <w:spacing w:after="0" w:line="90" w:lineRule="exact"/>
        <w:rPr>
          <w:sz w:val="20"/>
          <w:szCs w:val="20"/>
          <w:color w:val="auto"/>
        </w:rPr>
      </w:pPr>
    </w:p>
    <w:p>
      <w:pPr>
        <w:ind w:right="180" w:firstLine="456"/>
        <w:spacing w:after="0" w:line="256" w:lineRule="auto"/>
        <w:rPr>
          <w:sz w:val="20"/>
          <w:szCs w:val="20"/>
          <w:color w:val="auto"/>
        </w:rPr>
      </w:pPr>
      <w:r>
        <w:rPr>
          <w:rFonts w:ascii="Arial" w:cs="Arial" w:eastAsia="Arial" w:hAnsi="Arial"/>
          <w:sz w:val="18"/>
          <w:szCs w:val="18"/>
          <w:color w:val="auto"/>
        </w:rPr>
        <w:t>The Company’s Common Stock has been quoted on The NASDAQ Global Select Market under the symbol “PNNT” since April 24, 2007. The following table lists the high and low closing sales price for the Company’s Common Stock, the closing sales price as a percentage of NAV, and quarterly dividends per share since shares of the Company’s Common Stock began being regularly quoted on The NASDAQ Global Select Market. On December 11, 2009, the last reported closing sale price of our Common Stock was $8.97 per share.</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546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400" w:type="dxa"/>
            <w:vAlign w:val="bottom"/>
            <w:gridSpan w:val="3"/>
            <w:vMerge w:val="restart"/>
          </w:tcPr>
          <w:p>
            <w:pPr>
              <w:jc w:val="right"/>
              <w:ind w:right="94"/>
              <w:spacing w:after="0"/>
              <w:rPr>
                <w:sz w:val="20"/>
                <w:szCs w:val="20"/>
                <w:color w:val="auto"/>
              </w:rPr>
            </w:pPr>
            <w:r>
              <w:rPr>
                <w:rFonts w:ascii="Arial" w:cs="Arial" w:eastAsia="Arial" w:hAnsi="Arial"/>
                <w:sz w:val="14"/>
                <w:szCs w:val="14"/>
                <w:b w:val="1"/>
                <w:bCs w:val="1"/>
                <w:color w:val="auto"/>
                <w:w w:val="98"/>
              </w:rPr>
              <w:t>Closing Sale Price</w:t>
            </w:r>
          </w:p>
        </w:tc>
        <w:tc>
          <w:tcPr>
            <w:tcW w:w="380" w:type="dxa"/>
            <w:vAlign w:val="bottom"/>
          </w:tcPr>
          <w:p>
            <w:pPr>
              <w:spacing w:after="0"/>
              <w:rPr>
                <w:sz w:val="14"/>
                <w:szCs w:val="14"/>
                <w:color w:val="auto"/>
              </w:rPr>
            </w:pPr>
          </w:p>
        </w:tc>
        <w:tc>
          <w:tcPr>
            <w:tcW w:w="1160" w:type="dxa"/>
            <w:vAlign w:val="bottom"/>
            <w:gridSpan w:val="2"/>
          </w:tcPr>
          <w:p>
            <w:pPr>
              <w:jc w:val="center"/>
              <w:ind w:right="540"/>
              <w:spacing w:after="0"/>
              <w:rPr>
                <w:sz w:val="20"/>
                <w:szCs w:val="20"/>
                <w:color w:val="auto"/>
              </w:rPr>
            </w:pPr>
            <w:r>
              <w:rPr>
                <w:rFonts w:ascii="Arial" w:cs="Arial" w:eastAsia="Arial" w:hAnsi="Arial"/>
                <w:sz w:val="14"/>
                <w:szCs w:val="14"/>
                <w:b w:val="1"/>
                <w:bCs w:val="1"/>
                <w:color w:val="auto"/>
                <w:w w:val="86"/>
              </w:rPr>
              <w:t>High Sales</w:t>
            </w:r>
          </w:p>
        </w:tc>
        <w:tc>
          <w:tcPr>
            <w:tcW w:w="94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84"/>
              </w:rPr>
              <w:t>Low Sales</w:t>
            </w:r>
          </w:p>
        </w:tc>
        <w:tc>
          <w:tcPr>
            <w:tcW w:w="2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5460" w:type="dxa"/>
            <w:vAlign w:val="bottom"/>
          </w:tcPr>
          <w:p>
            <w:pPr>
              <w:spacing w:after="0"/>
              <w:rPr>
                <w:sz w:val="10"/>
                <w:szCs w:val="10"/>
                <w:color w:val="auto"/>
              </w:rPr>
            </w:pPr>
          </w:p>
        </w:tc>
        <w:tc>
          <w:tcPr>
            <w:tcW w:w="500" w:type="dxa"/>
            <w:vAlign w:val="bottom"/>
            <w:vMerge w:val="restart"/>
          </w:tcPr>
          <w:p>
            <w:pPr>
              <w:jc w:val="right"/>
              <w:spacing w:after="0"/>
              <w:rPr>
                <w:sz w:val="20"/>
                <w:szCs w:val="20"/>
                <w:color w:val="auto"/>
              </w:rPr>
            </w:pPr>
            <w:r>
              <w:rPr>
                <w:rFonts w:ascii="Arial" w:cs="Arial" w:eastAsia="Arial" w:hAnsi="Arial"/>
                <w:sz w:val="14"/>
                <w:szCs w:val="14"/>
                <w:b w:val="1"/>
                <w:bCs w:val="1"/>
                <w:color w:val="auto"/>
                <w:w w:val="92"/>
              </w:rPr>
              <w:t>NAV</w:t>
            </w:r>
            <w:r>
              <w:rPr>
                <w:rFonts w:ascii="Arial" w:cs="Arial" w:eastAsia="Arial" w:hAnsi="Arial"/>
                <w:sz w:val="22"/>
                <w:szCs w:val="22"/>
                <w:b w:val="1"/>
                <w:bCs w:val="1"/>
                <w:color w:val="auto"/>
                <w:w w:val="92"/>
                <w:vertAlign w:val="superscript"/>
              </w:rPr>
              <w:t>(1)</w:t>
            </w:r>
          </w:p>
        </w:tc>
        <w:tc>
          <w:tcPr>
            <w:tcW w:w="400" w:type="dxa"/>
            <w:vAlign w:val="bottom"/>
          </w:tcPr>
          <w:p>
            <w:pPr>
              <w:spacing w:after="0"/>
              <w:rPr>
                <w:sz w:val="10"/>
                <w:szCs w:val="10"/>
                <w:color w:val="auto"/>
              </w:rPr>
            </w:pPr>
          </w:p>
        </w:tc>
        <w:tc>
          <w:tcPr>
            <w:tcW w:w="1400" w:type="dxa"/>
            <w:vAlign w:val="bottom"/>
            <w:tcBorders>
              <w:bottom w:val="single" w:sz="8" w:color="auto"/>
            </w:tcBorders>
            <w:gridSpan w:val="3"/>
            <w:vMerge w:val="continue"/>
          </w:tcPr>
          <w:p>
            <w:pPr>
              <w:spacing w:after="0"/>
              <w:rPr>
                <w:sz w:val="10"/>
                <w:szCs w:val="10"/>
                <w:color w:val="auto"/>
              </w:rPr>
            </w:pPr>
          </w:p>
        </w:tc>
        <w:tc>
          <w:tcPr>
            <w:tcW w:w="380" w:type="dxa"/>
            <w:vAlign w:val="bottom"/>
          </w:tcPr>
          <w:p>
            <w:pPr>
              <w:spacing w:after="0"/>
              <w:rPr>
                <w:sz w:val="10"/>
                <w:szCs w:val="10"/>
                <w:color w:val="auto"/>
              </w:rPr>
            </w:pPr>
          </w:p>
        </w:tc>
        <w:tc>
          <w:tcPr>
            <w:tcW w:w="1160" w:type="dxa"/>
            <w:vAlign w:val="bottom"/>
            <w:gridSpan w:val="2"/>
          </w:tcPr>
          <w:p>
            <w:pPr>
              <w:jc w:val="center"/>
              <w:ind w:right="520"/>
              <w:spacing w:after="0" w:line="114" w:lineRule="exact"/>
              <w:rPr>
                <w:sz w:val="20"/>
                <w:szCs w:val="20"/>
                <w:color w:val="auto"/>
              </w:rPr>
            </w:pPr>
            <w:r>
              <w:rPr>
                <w:rFonts w:ascii="Arial" w:cs="Arial" w:eastAsia="Arial" w:hAnsi="Arial"/>
                <w:sz w:val="12"/>
                <w:szCs w:val="12"/>
                <w:b w:val="1"/>
                <w:bCs w:val="1"/>
                <w:color w:val="auto"/>
                <w:w w:val="99"/>
              </w:rPr>
              <w:t>Price to</w:t>
            </w:r>
          </w:p>
        </w:tc>
        <w:tc>
          <w:tcPr>
            <w:tcW w:w="940" w:type="dxa"/>
            <w:vAlign w:val="bottom"/>
            <w:gridSpan w:val="2"/>
          </w:tcPr>
          <w:p>
            <w:pPr>
              <w:jc w:val="center"/>
              <w:ind w:right="340"/>
              <w:spacing w:after="0" w:line="114" w:lineRule="exact"/>
              <w:rPr>
                <w:sz w:val="20"/>
                <w:szCs w:val="20"/>
                <w:color w:val="auto"/>
              </w:rPr>
            </w:pPr>
            <w:r>
              <w:rPr>
                <w:rFonts w:ascii="Arial" w:cs="Arial" w:eastAsia="Arial" w:hAnsi="Arial"/>
                <w:sz w:val="12"/>
                <w:szCs w:val="12"/>
                <w:b w:val="1"/>
                <w:bCs w:val="1"/>
                <w:color w:val="auto"/>
                <w:w w:val="99"/>
              </w:rPr>
              <w:t>Price to</w:t>
            </w:r>
          </w:p>
        </w:tc>
        <w:tc>
          <w:tcPr>
            <w:tcW w:w="200" w:type="dxa"/>
            <w:vAlign w:val="bottom"/>
          </w:tcPr>
          <w:p>
            <w:pPr>
              <w:spacing w:after="0"/>
              <w:rPr>
                <w:sz w:val="10"/>
                <w:szCs w:val="10"/>
                <w:color w:val="auto"/>
              </w:rPr>
            </w:pPr>
          </w:p>
        </w:tc>
        <w:tc>
          <w:tcPr>
            <w:tcW w:w="580" w:type="dxa"/>
            <w:vAlign w:val="bottom"/>
          </w:tcPr>
          <w:p>
            <w:pPr>
              <w:jc w:val="right"/>
              <w:spacing w:after="0" w:line="114" w:lineRule="exact"/>
              <w:rPr>
                <w:sz w:val="20"/>
                <w:szCs w:val="20"/>
                <w:color w:val="auto"/>
              </w:rPr>
            </w:pPr>
            <w:r>
              <w:rPr>
                <w:rFonts w:ascii="Arial" w:cs="Arial" w:eastAsia="Arial" w:hAnsi="Arial"/>
                <w:sz w:val="12"/>
                <w:szCs w:val="12"/>
                <w:b w:val="1"/>
                <w:bCs w:val="1"/>
                <w:color w:val="auto"/>
                <w:w w:val="97"/>
              </w:rPr>
              <w:t>Dividends</w:t>
            </w:r>
          </w:p>
        </w:tc>
        <w:tc>
          <w:tcPr>
            <w:tcW w:w="0" w:type="dxa"/>
            <w:vAlign w:val="bottom"/>
          </w:tcPr>
          <w:p>
            <w:pPr>
              <w:spacing w:after="0"/>
              <w:rPr>
                <w:sz w:val="1"/>
                <w:szCs w:val="1"/>
                <w:color w:val="auto"/>
              </w:rPr>
            </w:pPr>
          </w:p>
        </w:tc>
      </w:tr>
      <w:tr>
        <w:trPr>
          <w:trHeight w:val="169"/>
        </w:trPr>
        <w:tc>
          <w:tcPr>
            <w:tcW w:w="5860" w:type="dxa"/>
            <w:vAlign w:val="bottom"/>
            <w:gridSpan w:val="3"/>
          </w:tcPr>
          <w:p>
            <w:pPr>
              <w:spacing w:after="0"/>
              <w:rPr>
                <w:sz w:val="20"/>
                <w:szCs w:val="20"/>
                <w:color w:val="auto"/>
              </w:rPr>
            </w:pPr>
            <w:r>
              <w:rPr>
                <w:rFonts w:ascii="Arial" w:cs="Arial" w:eastAsia="Arial" w:hAnsi="Arial"/>
                <w:sz w:val="14"/>
                <w:szCs w:val="14"/>
                <w:b w:val="1"/>
                <w:bCs w:val="1"/>
                <w:color w:val="auto"/>
              </w:rPr>
              <w:t>Period</w:t>
            </w:r>
          </w:p>
        </w:tc>
        <w:tc>
          <w:tcPr>
            <w:tcW w:w="500" w:type="dxa"/>
            <w:vAlign w:val="bottom"/>
            <w:vMerge w:val="continue"/>
          </w:tcPr>
          <w:p>
            <w:pPr>
              <w:spacing w:after="0"/>
              <w:rPr>
                <w:sz w:val="14"/>
                <w:szCs w:val="14"/>
                <w:color w:val="auto"/>
              </w:rPr>
            </w:pPr>
          </w:p>
        </w:tc>
        <w:tc>
          <w:tcPr>
            <w:tcW w:w="400" w:type="dxa"/>
            <w:vAlign w:val="bottom"/>
          </w:tcPr>
          <w:p>
            <w:pPr>
              <w:spacing w:after="0"/>
              <w:rPr>
                <w:sz w:val="14"/>
                <w:szCs w:val="14"/>
                <w:color w:val="auto"/>
              </w:rPr>
            </w:pPr>
          </w:p>
        </w:tc>
        <w:tc>
          <w:tcPr>
            <w:tcW w:w="900" w:type="dxa"/>
            <w:vAlign w:val="bottom"/>
            <w:gridSpan w:val="2"/>
          </w:tcPr>
          <w:p>
            <w:pPr>
              <w:jc w:val="right"/>
              <w:ind w:right="500"/>
              <w:spacing w:after="0"/>
              <w:rPr>
                <w:sz w:val="20"/>
                <w:szCs w:val="20"/>
                <w:color w:val="auto"/>
              </w:rPr>
            </w:pPr>
            <w:r>
              <w:rPr>
                <w:rFonts w:ascii="Arial" w:cs="Arial" w:eastAsia="Arial" w:hAnsi="Arial"/>
                <w:sz w:val="14"/>
                <w:szCs w:val="14"/>
                <w:b w:val="1"/>
                <w:bCs w:val="1"/>
                <w:color w:val="auto"/>
              </w:rPr>
              <w:t>High</w:t>
            </w:r>
          </w:p>
        </w:tc>
        <w:tc>
          <w:tcPr>
            <w:tcW w:w="500" w:type="dxa"/>
            <w:vAlign w:val="bottom"/>
          </w:tcPr>
          <w:p>
            <w:pPr>
              <w:jc w:val="right"/>
              <w:ind w:right="54"/>
              <w:spacing w:after="0"/>
              <w:rPr>
                <w:sz w:val="20"/>
                <w:szCs w:val="20"/>
                <w:color w:val="auto"/>
              </w:rPr>
            </w:pPr>
            <w:r>
              <w:rPr>
                <w:rFonts w:ascii="Arial" w:cs="Arial" w:eastAsia="Arial" w:hAnsi="Arial"/>
                <w:sz w:val="14"/>
                <w:szCs w:val="14"/>
                <w:b w:val="1"/>
                <w:bCs w:val="1"/>
                <w:color w:val="auto"/>
              </w:rPr>
              <w:t>Low</w:t>
            </w:r>
          </w:p>
        </w:tc>
        <w:tc>
          <w:tcPr>
            <w:tcW w:w="380" w:type="dxa"/>
            <w:vAlign w:val="bottom"/>
          </w:tcPr>
          <w:p>
            <w:pPr>
              <w:spacing w:after="0"/>
              <w:rPr>
                <w:sz w:val="14"/>
                <w:szCs w:val="14"/>
                <w:color w:val="auto"/>
              </w:rPr>
            </w:pPr>
          </w:p>
        </w:tc>
        <w:tc>
          <w:tcPr>
            <w:tcW w:w="1160" w:type="dxa"/>
            <w:vAlign w:val="bottom"/>
            <w:gridSpan w:val="2"/>
          </w:tcPr>
          <w:p>
            <w:pPr>
              <w:jc w:val="center"/>
              <w:ind w:right="520"/>
              <w:spacing w:after="0" w:line="169" w:lineRule="exact"/>
              <w:rPr>
                <w:sz w:val="20"/>
                <w:szCs w:val="20"/>
                <w:color w:val="auto"/>
              </w:rPr>
            </w:pPr>
            <w:r>
              <w:rPr>
                <w:rFonts w:ascii="Arial" w:cs="Arial" w:eastAsia="Arial" w:hAnsi="Arial"/>
                <w:sz w:val="12"/>
                <w:szCs w:val="12"/>
                <w:b w:val="1"/>
                <w:bCs w:val="1"/>
                <w:color w:val="auto"/>
                <w:w w:val="97"/>
              </w:rPr>
              <w:t>NAV</w:t>
            </w:r>
            <w:r>
              <w:rPr>
                <w:rFonts w:ascii="Arial" w:cs="Arial" w:eastAsia="Arial" w:hAnsi="Arial"/>
                <w:sz w:val="19"/>
                <w:szCs w:val="19"/>
                <w:b w:val="1"/>
                <w:bCs w:val="1"/>
                <w:color w:val="auto"/>
                <w:w w:val="97"/>
                <w:vertAlign w:val="superscript"/>
              </w:rPr>
              <w:t>(2)</w:t>
            </w:r>
          </w:p>
        </w:tc>
        <w:tc>
          <w:tcPr>
            <w:tcW w:w="940" w:type="dxa"/>
            <w:vAlign w:val="bottom"/>
            <w:gridSpan w:val="2"/>
          </w:tcPr>
          <w:p>
            <w:pPr>
              <w:jc w:val="center"/>
              <w:ind w:right="340"/>
              <w:spacing w:after="0" w:line="169" w:lineRule="exact"/>
              <w:rPr>
                <w:sz w:val="20"/>
                <w:szCs w:val="20"/>
                <w:color w:val="auto"/>
              </w:rPr>
            </w:pPr>
            <w:r>
              <w:rPr>
                <w:rFonts w:ascii="Arial" w:cs="Arial" w:eastAsia="Arial" w:hAnsi="Arial"/>
                <w:sz w:val="12"/>
                <w:szCs w:val="12"/>
                <w:b w:val="1"/>
                <w:bCs w:val="1"/>
                <w:color w:val="auto"/>
                <w:w w:val="97"/>
              </w:rPr>
              <w:t>NAV</w:t>
            </w:r>
            <w:r>
              <w:rPr>
                <w:rFonts w:ascii="Arial" w:cs="Arial" w:eastAsia="Arial" w:hAnsi="Arial"/>
                <w:sz w:val="19"/>
                <w:szCs w:val="19"/>
                <w:b w:val="1"/>
                <w:bCs w:val="1"/>
                <w:color w:val="auto"/>
                <w:w w:val="97"/>
                <w:vertAlign w:val="superscript"/>
              </w:rPr>
              <w:t>(2)</w:t>
            </w:r>
          </w:p>
        </w:tc>
        <w:tc>
          <w:tcPr>
            <w:tcW w:w="200" w:type="dxa"/>
            <w:vAlign w:val="bottom"/>
          </w:tcPr>
          <w:p>
            <w:pPr>
              <w:spacing w:after="0"/>
              <w:rPr>
                <w:sz w:val="14"/>
                <w:szCs w:val="14"/>
                <w:color w:val="auto"/>
              </w:rPr>
            </w:pPr>
          </w:p>
        </w:tc>
        <w:tc>
          <w:tcPr>
            <w:tcW w:w="580" w:type="dxa"/>
            <w:vAlign w:val="bottom"/>
          </w:tcPr>
          <w:p>
            <w:pPr>
              <w:jc w:val="right"/>
              <w:spacing w:after="0"/>
              <w:rPr>
                <w:sz w:val="20"/>
                <w:szCs w:val="20"/>
                <w:color w:val="auto"/>
              </w:rPr>
            </w:pPr>
            <w:r>
              <w:rPr>
                <w:rFonts w:ascii="Arial" w:cs="Arial" w:eastAsia="Arial" w:hAnsi="Arial"/>
                <w:sz w:val="14"/>
                <w:szCs w:val="14"/>
                <w:b w:val="1"/>
                <w:bCs w:val="1"/>
                <w:color w:val="auto"/>
                <w:w w:val="87"/>
              </w:rPr>
              <w:t>Declared</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546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584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Fiscal year ended September 30, 2009</w:t>
            </w:r>
          </w:p>
        </w:tc>
        <w:tc>
          <w:tcPr>
            <w:tcW w:w="5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40" w:type="dxa"/>
            <w:vAlign w:val="bottom"/>
            <w:gridSpan w:val="2"/>
          </w:tcPr>
          <w:p>
            <w:pPr>
              <w:spacing w:after="0"/>
              <w:rPr>
                <w:sz w:val="20"/>
                <w:szCs w:val="20"/>
                <w:color w:val="auto"/>
              </w:rPr>
            </w:pPr>
            <w:r>
              <w:rPr>
                <w:rFonts w:ascii="Arial" w:cs="Arial" w:eastAsia="Arial" w:hAnsi="Arial"/>
                <w:sz w:val="18"/>
                <w:szCs w:val="18"/>
                <w:color w:val="auto"/>
              </w:rPr>
              <w:t>Fourth quarter</w:t>
            </w:r>
          </w:p>
        </w:tc>
        <w:tc>
          <w:tcPr>
            <w:tcW w:w="500" w:type="dxa"/>
            <w:vAlign w:val="bottom"/>
          </w:tcPr>
          <w:p>
            <w:pPr>
              <w:jc w:val="right"/>
              <w:spacing w:after="0"/>
              <w:rPr>
                <w:sz w:val="20"/>
                <w:szCs w:val="20"/>
                <w:color w:val="auto"/>
              </w:rPr>
            </w:pPr>
            <w:r>
              <w:rPr>
                <w:rFonts w:ascii="Arial" w:cs="Arial" w:eastAsia="Arial" w:hAnsi="Arial"/>
                <w:sz w:val="18"/>
                <w:szCs w:val="18"/>
                <w:color w:val="auto"/>
                <w:w w:val="79"/>
              </w:rPr>
              <w:t>$ 11.85</w:t>
            </w:r>
          </w:p>
        </w:tc>
        <w:tc>
          <w:tcPr>
            <w:tcW w:w="1300" w:type="dxa"/>
            <w:vAlign w:val="bottom"/>
            <w:gridSpan w:val="3"/>
          </w:tcPr>
          <w:p>
            <w:pPr>
              <w:jc w:val="right"/>
              <w:ind w:right="400"/>
              <w:spacing w:after="0"/>
              <w:rPr>
                <w:sz w:val="20"/>
                <w:szCs w:val="20"/>
                <w:color w:val="auto"/>
              </w:rPr>
            </w:pPr>
            <w:r>
              <w:rPr>
                <w:rFonts w:ascii="Arial" w:cs="Arial" w:eastAsia="Arial" w:hAnsi="Arial"/>
                <w:sz w:val="18"/>
                <w:szCs w:val="18"/>
                <w:color w:val="auto"/>
              </w:rPr>
              <w:t>$ 9.06</w:t>
            </w:r>
          </w:p>
        </w:tc>
        <w:tc>
          <w:tcPr>
            <w:tcW w:w="500" w:type="dxa"/>
            <w:vAlign w:val="bottom"/>
          </w:tcPr>
          <w:p>
            <w:pPr>
              <w:jc w:val="right"/>
              <w:spacing w:after="0"/>
              <w:rPr>
                <w:sz w:val="20"/>
                <w:szCs w:val="20"/>
                <w:color w:val="auto"/>
              </w:rPr>
            </w:pPr>
            <w:r>
              <w:rPr>
                <w:rFonts w:ascii="Arial" w:cs="Arial" w:eastAsia="Arial" w:hAnsi="Arial"/>
                <w:sz w:val="18"/>
                <w:szCs w:val="18"/>
                <w:color w:val="auto"/>
                <w:w w:val="95"/>
              </w:rPr>
              <w:t>$ 6.28</w:t>
            </w:r>
          </w:p>
        </w:tc>
        <w:tc>
          <w:tcPr>
            <w:tcW w:w="1540" w:type="dxa"/>
            <w:vAlign w:val="bottom"/>
            <w:gridSpan w:val="3"/>
          </w:tcPr>
          <w:p>
            <w:pPr>
              <w:jc w:val="right"/>
              <w:ind w:right="380"/>
              <w:spacing w:after="0"/>
              <w:rPr>
                <w:sz w:val="20"/>
                <w:szCs w:val="20"/>
                <w:color w:val="auto"/>
              </w:rPr>
            </w:pPr>
            <w:r>
              <w:rPr>
                <w:rFonts w:ascii="Arial" w:cs="Arial" w:eastAsia="Arial" w:hAnsi="Arial"/>
                <w:sz w:val="18"/>
                <w:szCs w:val="18"/>
                <w:color w:val="auto"/>
              </w:rPr>
              <w:t>76%</w:t>
            </w:r>
          </w:p>
        </w:tc>
        <w:tc>
          <w:tcPr>
            <w:tcW w:w="940" w:type="dxa"/>
            <w:vAlign w:val="bottom"/>
            <w:gridSpan w:val="2"/>
          </w:tcPr>
          <w:p>
            <w:pPr>
              <w:jc w:val="right"/>
              <w:ind w:right="200"/>
              <w:spacing w:after="0"/>
              <w:rPr>
                <w:sz w:val="20"/>
                <w:szCs w:val="20"/>
                <w:color w:val="auto"/>
              </w:rPr>
            </w:pPr>
            <w:r>
              <w:rPr>
                <w:rFonts w:ascii="Arial" w:cs="Arial" w:eastAsia="Arial" w:hAnsi="Arial"/>
                <w:sz w:val="18"/>
                <w:szCs w:val="18"/>
                <w:color w:val="auto"/>
              </w:rPr>
              <w:t>53%</w:t>
            </w:r>
          </w:p>
        </w:tc>
        <w:tc>
          <w:tcPr>
            <w:tcW w:w="780" w:type="dxa"/>
            <w:vAlign w:val="bottom"/>
            <w:gridSpan w:val="2"/>
          </w:tcPr>
          <w:p>
            <w:pPr>
              <w:jc w:val="right"/>
              <w:spacing w:after="0"/>
              <w:rPr>
                <w:sz w:val="20"/>
                <w:szCs w:val="20"/>
                <w:color w:val="auto"/>
              </w:rPr>
            </w:pPr>
            <w:r>
              <w:rPr>
                <w:rFonts w:ascii="Arial" w:cs="Arial" w:eastAsia="Arial" w:hAnsi="Arial"/>
                <w:sz w:val="18"/>
                <w:szCs w:val="18"/>
                <w:color w:val="auto"/>
              </w:rPr>
              <w:t>$  0.24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Third quarter</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11.72</w:t>
            </w:r>
          </w:p>
        </w:tc>
        <w:tc>
          <w:tcPr>
            <w:tcW w:w="1300" w:type="dxa"/>
            <w:vAlign w:val="bottom"/>
            <w:gridSpan w:val="3"/>
            <w:shd w:val="clear" w:color="auto" w:fill="CCEEFF"/>
          </w:tcPr>
          <w:p>
            <w:pPr>
              <w:jc w:val="right"/>
              <w:ind w:right="400"/>
              <w:spacing w:after="0"/>
              <w:rPr>
                <w:sz w:val="20"/>
                <w:szCs w:val="20"/>
                <w:color w:val="auto"/>
              </w:rPr>
            </w:pPr>
            <w:r>
              <w:rPr>
                <w:rFonts w:ascii="Arial" w:cs="Arial" w:eastAsia="Arial" w:hAnsi="Arial"/>
                <w:sz w:val="18"/>
                <w:szCs w:val="18"/>
                <w:color w:val="auto"/>
              </w:rPr>
              <w:t>7.65</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3.85</w:t>
            </w:r>
          </w:p>
        </w:tc>
        <w:tc>
          <w:tcPr>
            <w:tcW w:w="1540" w:type="dxa"/>
            <w:vAlign w:val="bottom"/>
            <w:gridSpan w:val="3"/>
            <w:shd w:val="clear" w:color="auto" w:fill="CCEEFF"/>
          </w:tcPr>
          <w:p>
            <w:pPr>
              <w:jc w:val="right"/>
              <w:ind w:right="540"/>
              <w:spacing w:after="0"/>
              <w:rPr>
                <w:sz w:val="20"/>
                <w:szCs w:val="20"/>
                <w:color w:val="auto"/>
              </w:rPr>
            </w:pPr>
            <w:r>
              <w:rPr>
                <w:rFonts w:ascii="Arial" w:cs="Arial" w:eastAsia="Arial" w:hAnsi="Arial"/>
                <w:sz w:val="18"/>
                <w:szCs w:val="18"/>
                <w:color w:val="auto"/>
              </w:rPr>
              <w:t>65</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w:t>
            </w:r>
          </w:p>
        </w:tc>
        <w:tc>
          <w:tcPr>
            <w:tcW w:w="34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0.24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40" w:type="dxa"/>
            <w:vAlign w:val="bottom"/>
            <w:gridSpan w:val="2"/>
          </w:tcPr>
          <w:p>
            <w:pPr>
              <w:spacing w:after="0"/>
              <w:rPr>
                <w:sz w:val="20"/>
                <w:szCs w:val="20"/>
                <w:color w:val="auto"/>
              </w:rPr>
            </w:pPr>
            <w:r>
              <w:rPr>
                <w:rFonts w:ascii="Arial" w:cs="Arial" w:eastAsia="Arial" w:hAnsi="Arial"/>
                <w:sz w:val="18"/>
                <w:szCs w:val="18"/>
                <w:color w:val="auto"/>
              </w:rPr>
              <w:t>Second quarter</w:t>
            </w:r>
          </w:p>
        </w:tc>
        <w:tc>
          <w:tcPr>
            <w:tcW w:w="500" w:type="dxa"/>
            <w:vAlign w:val="bottom"/>
          </w:tcPr>
          <w:p>
            <w:pPr>
              <w:jc w:val="right"/>
              <w:spacing w:after="0"/>
              <w:rPr>
                <w:sz w:val="20"/>
                <w:szCs w:val="20"/>
                <w:color w:val="auto"/>
              </w:rPr>
            </w:pPr>
            <w:r>
              <w:rPr>
                <w:rFonts w:ascii="Arial" w:cs="Arial" w:eastAsia="Arial" w:hAnsi="Arial"/>
                <w:sz w:val="18"/>
                <w:szCs w:val="18"/>
                <w:color w:val="auto"/>
              </w:rPr>
              <w:t>12.00</w:t>
            </w:r>
          </w:p>
        </w:tc>
        <w:tc>
          <w:tcPr>
            <w:tcW w:w="1300" w:type="dxa"/>
            <w:vAlign w:val="bottom"/>
            <w:gridSpan w:val="3"/>
          </w:tcPr>
          <w:p>
            <w:pPr>
              <w:jc w:val="right"/>
              <w:ind w:right="400"/>
              <w:spacing w:after="0"/>
              <w:rPr>
                <w:sz w:val="20"/>
                <w:szCs w:val="20"/>
                <w:color w:val="auto"/>
              </w:rPr>
            </w:pPr>
            <w:r>
              <w:rPr>
                <w:rFonts w:ascii="Arial" w:cs="Arial" w:eastAsia="Arial" w:hAnsi="Arial"/>
                <w:sz w:val="18"/>
                <w:szCs w:val="18"/>
                <w:color w:val="auto"/>
              </w:rPr>
              <w:t>4.05</w:t>
            </w:r>
          </w:p>
        </w:tc>
        <w:tc>
          <w:tcPr>
            <w:tcW w:w="500" w:type="dxa"/>
            <w:vAlign w:val="bottom"/>
          </w:tcPr>
          <w:p>
            <w:pPr>
              <w:jc w:val="right"/>
              <w:spacing w:after="0"/>
              <w:rPr>
                <w:sz w:val="20"/>
                <w:szCs w:val="20"/>
                <w:color w:val="auto"/>
              </w:rPr>
            </w:pPr>
            <w:r>
              <w:rPr>
                <w:rFonts w:ascii="Arial" w:cs="Arial" w:eastAsia="Arial" w:hAnsi="Arial"/>
                <w:sz w:val="18"/>
                <w:szCs w:val="18"/>
                <w:color w:val="auto"/>
              </w:rPr>
              <w:t>2.64</w:t>
            </w:r>
          </w:p>
        </w:tc>
        <w:tc>
          <w:tcPr>
            <w:tcW w:w="1540" w:type="dxa"/>
            <w:vAlign w:val="bottom"/>
            <w:gridSpan w:val="3"/>
          </w:tcPr>
          <w:p>
            <w:pPr>
              <w:jc w:val="right"/>
              <w:ind w:right="540"/>
              <w:spacing w:after="0"/>
              <w:rPr>
                <w:sz w:val="20"/>
                <w:szCs w:val="20"/>
                <w:color w:val="auto"/>
              </w:rPr>
            </w:pPr>
            <w:r>
              <w:rPr>
                <w:rFonts w:ascii="Arial" w:cs="Arial" w:eastAsia="Arial" w:hAnsi="Arial"/>
                <w:sz w:val="18"/>
                <w:szCs w:val="18"/>
                <w:color w:val="auto"/>
              </w:rPr>
              <w:t>34</w:t>
            </w:r>
          </w:p>
        </w:tc>
        <w:tc>
          <w:tcPr>
            <w:tcW w:w="600" w:type="dxa"/>
            <w:vAlign w:val="bottom"/>
          </w:tcPr>
          <w:p>
            <w:pPr>
              <w:jc w:val="right"/>
              <w:spacing w:after="0"/>
              <w:rPr>
                <w:sz w:val="20"/>
                <w:szCs w:val="20"/>
                <w:color w:val="auto"/>
              </w:rPr>
            </w:pPr>
            <w:r>
              <w:rPr>
                <w:rFonts w:ascii="Arial" w:cs="Arial" w:eastAsia="Arial" w:hAnsi="Arial"/>
                <w:sz w:val="18"/>
                <w:szCs w:val="18"/>
                <w:color w:val="auto"/>
              </w:rPr>
              <w:t>22</w:t>
            </w:r>
          </w:p>
        </w:tc>
        <w:tc>
          <w:tcPr>
            <w:tcW w:w="340" w:type="dxa"/>
            <w:vAlign w:val="bottom"/>
          </w:tcPr>
          <w:p>
            <w:pPr>
              <w:spacing w:after="0"/>
              <w:rPr>
                <w:sz w:val="18"/>
                <w:szCs w:val="18"/>
                <w:color w:val="auto"/>
              </w:rPr>
            </w:pPr>
          </w:p>
        </w:tc>
        <w:tc>
          <w:tcPr>
            <w:tcW w:w="780" w:type="dxa"/>
            <w:vAlign w:val="bottom"/>
            <w:gridSpan w:val="2"/>
          </w:tcPr>
          <w:p>
            <w:pPr>
              <w:jc w:val="right"/>
              <w:spacing w:after="0"/>
              <w:rPr>
                <w:sz w:val="20"/>
                <w:szCs w:val="20"/>
                <w:color w:val="auto"/>
              </w:rPr>
            </w:pPr>
            <w:r>
              <w:rPr>
                <w:rFonts w:ascii="Arial" w:cs="Arial" w:eastAsia="Arial" w:hAnsi="Arial"/>
                <w:sz w:val="18"/>
                <w:szCs w:val="18"/>
                <w:color w:val="auto"/>
              </w:rPr>
              <w:t>0.24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First quarter</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10.24</w:t>
            </w:r>
          </w:p>
        </w:tc>
        <w:tc>
          <w:tcPr>
            <w:tcW w:w="1300" w:type="dxa"/>
            <w:vAlign w:val="bottom"/>
            <w:gridSpan w:val="3"/>
            <w:shd w:val="clear" w:color="auto" w:fill="CCEEFF"/>
          </w:tcPr>
          <w:p>
            <w:pPr>
              <w:jc w:val="right"/>
              <w:ind w:right="400"/>
              <w:spacing w:after="0"/>
              <w:rPr>
                <w:sz w:val="20"/>
                <w:szCs w:val="20"/>
                <w:color w:val="auto"/>
              </w:rPr>
            </w:pPr>
            <w:r>
              <w:rPr>
                <w:rFonts w:ascii="Arial" w:cs="Arial" w:eastAsia="Arial" w:hAnsi="Arial"/>
                <w:sz w:val="18"/>
                <w:szCs w:val="18"/>
                <w:color w:val="auto"/>
              </w:rPr>
              <w:t>7.81</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2.35</w:t>
            </w:r>
          </w:p>
        </w:tc>
        <w:tc>
          <w:tcPr>
            <w:tcW w:w="1540" w:type="dxa"/>
            <w:vAlign w:val="bottom"/>
            <w:gridSpan w:val="3"/>
            <w:shd w:val="clear" w:color="auto" w:fill="CCEEFF"/>
          </w:tcPr>
          <w:p>
            <w:pPr>
              <w:jc w:val="right"/>
              <w:ind w:right="540"/>
              <w:spacing w:after="0"/>
              <w:rPr>
                <w:sz w:val="20"/>
                <w:szCs w:val="20"/>
                <w:color w:val="auto"/>
              </w:rPr>
            </w:pPr>
            <w:r>
              <w:rPr>
                <w:rFonts w:ascii="Arial" w:cs="Arial" w:eastAsia="Arial" w:hAnsi="Arial"/>
                <w:sz w:val="18"/>
                <w:szCs w:val="18"/>
                <w:color w:val="auto"/>
              </w:rPr>
              <w:t>76</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w:t>
            </w:r>
          </w:p>
        </w:tc>
        <w:tc>
          <w:tcPr>
            <w:tcW w:w="34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0.24</w:t>
            </w:r>
          </w:p>
        </w:tc>
        <w:tc>
          <w:tcPr>
            <w:tcW w:w="0" w:type="dxa"/>
            <w:vAlign w:val="bottom"/>
          </w:tcPr>
          <w:p>
            <w:pPr>
              <w:spacing w:after="0"/>
              <w:rPr>
                <w:sz w:val="1"/>
                <w:szCs w:val="1"/>
                <w:color w:val="auto"/>
              </w:rPr>
            </w:pPr>
          </w:p>
        </w:tc>
      </w:tr>
      <w:tr>
        <w:trPr>
          <w:trHeight w:val="322"/>
        </w:trPr>
        <w:tc>
          <w:tcPr>
            <w:tcW w:w="5860" w:type="dxa"/>
            <w:vAlign w:val="bottom"/>
            <w:gridSpan w:val="3"/>
          </w:tcPr>
          <w:p>
            <w:pPr>
              <w:spacing w:after="0"/>
              <w:rPr>
                <w:sz w:val="20"/>
                <w:szCs w:val="20"/>
                <w:color w:val="auto"/>
              </w:rPr>
            </w:pPr>
            <w:r>
              <w:rPr>
                <w:rFonts w:ascii="Arial" w:cs="Arial" w:eastAsia="Arial" w:hAnsi="Arial"/>
                <w:sz w:val="18"/>
                <w:szCs w:val="18"/>
                <w:b w:val="1"/>
                <w:bCs w:val="1"/>
                <w:color w:val="auto"/>
              </w:rPr>
              <w:t>Fiscal year ended September 30, 2008</w:t>
            </w:r>
          </w:p>
        </w:tc>
        <w:tc>
          <w:tcPr>
            <w:tcW w:w="5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58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Fourth quarter</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10.00</w:t>
            </w:r>
          </w:p>
        </w:tc>
        <w:tc>
          <w:tcPr>
            <w:tcW w:w="1300" w:type="dxa"/>
            <w:vAlign w:val="bottom"/>
            <w:gridSpan w:val="3"/>
            <w:shd w:val="clear" w:color="auto" w:fill="CCEEFF"/>
          </w:tcPr>
          <w:p>
            <w:pPr>
              <w:jc w:val="right"/>
              <w:ind w:right="400"/>
              <w:spacing w:after="0"/>
              <w:rPr>
                <w:sz w:val="20"/>
                <w:szCs w:val="20"/>
                <w:color w:val="auto"/>
              </w:rPr>
            </w:pPr>
            <w:r>
              <w:rPr>
                <w:rFonts w:ascii="Arial" w:cs="Arial" w:eastAsia="Arial" w:hAnsi="Arial"/>
                <w:sz w:val="18"/>
                <w:szCs w:val="18"/>
                <w:color w:val="auto"/>
              </w:rPr>
              <w:t>8.50</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5.92</w:t>
            </w:r>
          </w:p>
        </w:tc>
        <w:tc>
          <w:tcPr>
            <w:tcW w:w="1540" w:type="dxa"/>
            <w:vAlign w:val="bottom"/>
            <w:gridSpan w:val="3"/>
            <w:shd w:val="clear" w:color="auto" w:fill="CCEEFF"/>
          </w:tcPr>
          <w:p>
            <w:pPr>
              <w:jc w:val="right"/>
              <w:ind w:right="540"/>
              <w:spacing w:after="0"/>
              <w:rPr>
                <w:sz w:val="20"/>
                <w:szCs w:val="20"/>
                <w:color w:val="auto"/>
              </w:rPr>
            </w:pPr>
            <w:r>
              <w:rPr>
                <w:rFonts w:ascii="Arial" w:cs="Arial" w:eastAsia="Arial" w:hAnsi="Arial"/>
                <w:sz w:val="18"/>
                <w:szCs w:val="18"/>
                <w:color w:val="auto"/>
              </w:rPr>
              <w:t>85</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w:t>
            </w:r>
          </w:p>
        </w:tc>
        <w:tc>
          <w:tcPr>
            <w:tcW w:w="34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0.24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40" w:type="dxa"/>
            <w:vAlign w:val="bottom"/>
            <w:gridSpan w:val="2"/>
          </w:tcPr>
          <w:p>
            <w:pPr>
              <w:spacing w:after="0"/>
              <w:rPr>
                <w:sz w:val="20"/>
                <w:szCs w:val="20"/>
                <w:color w:val="auto"/>
              </w:rPr>
            </w:pPr>
            <w:r>
              <w:rPr>
                <w:rFonts w:ascii="Arial" w:cs="Arial" w:eastAsia="Arial" w:hAnsi="Arial"/>
                <w:sz w:val="18"/>
                <w:szCs w:val="18"/>
                <w:color w:val="auto"/>
              </w:rPr>
              <w:t>Third quarter</w:t>
            </w:r>
          </w:p>
        </w:tc>
        <w:tc>
          <w:tcPr>
            <w:tcW w:w="500" w:type="dxa"/>
            <w:vAlign w:val="bottom"/>
          </w:tcPr>
          <w:p>
            <w:pPr>
              <w:jc w:val="right"/>
              <w:spacing w:after="0"/>
              <w:rPr>
                <w:sz w:val="20"/>
                <w:szCs w:val="20"/>
                <w:color w:val="auto"/>
              </w:rPr>
            </w:pPr>
            <w:r>
              <w:rPr>
                <w:rFonts w:ascii="Arial" w:cs="Arial" w:eastAsia="Arial" w:hAnsi="Arial"/>
                <w:sz w:val="18"/>
                <w:szCs w:val="18"/>
                <w:color w:val="auto"/>
              </w:rPr>
              <w:t>10.77</w:t>
            </w:r>
          </w:p>
        </w:tc>
        <w:tc>
          <w:tcPr>
            <w:tcW w:w="1300" w:type="dxa"/>
            <w:vAlign w:val="bottom"/>
            <w:gridSpan w:val="3"/>
          </w:tcPr>
          <w:p>
            <w:pPr>
              <w:jc w:val="right"/>
              <w:ind w:right="400"/>
              <w:spacing w:after="0"/>
              <w:rPr>
                <w:sz w:val="20"/>
                <w:szCs w:val="20"/>
                <w:color w:val="auto"/>
              </w:rPr>
            </w:pPr>
            <w:r>
              <w:rPr>
                <w:rFonts w:ascii="Arial" w:cs="Arial" w:eastAsia="Arial" w:hAnsi="Arial"/>
                <w:sz w:val="18"/>
                <w:szCs w:val="18"/>
                <w:color w:val="auto"/>
              </w:rPr>
              <w:t>8.60</w:t>
            </w:r>
          </w:p>
        </w:tc>
        <w:tc>
          <w:tcPr>
            <w:tcW w:w="500" w:type="dxa"/>
            <w:vAlign w:val="bottom"/>
          </w:tcPr>
          <w:p>
            <w:pPr>
              <w:jc w:val="right"/>
              <w:spacing w:after="0"/>
              <w:rPr>
                <w:sz w:val="20"/>
                <w:szCs w:val="20"/>
                <w:color w:val="auto"/>
              </w:rPr>
            </w:pPr>
            <w:r>
              <w:rPr>
                <w:rFonts w:ascii="Arial" w:cs="Arial" w:eastAsia="Arial" w:hAnsi="Arial"/>
                <w:sz w:val="18"/>
                <w:szCs w:val="18"/>
                <w:color w:val="auto"/>
              </w:rPr>
              <w:t>7.05</w:t>
            </w:r>
          </w:p>
        </w:tc>
        <w:tc>
          <w:tcPr>
            <w:tcW w:w="1540" w:type="dxa"/>
            <w:vAlign w:val="bottom"/>
            <w:gridSpan w:val="3"/>
          </w:tcPr>
          <w:p>
            <w:pPr>
              <w:jc w:val="right"/>
              <w:ind w:right="540"/>
              <w:spacing w:after="0"/>
              <w:rPr>
                <w:sz w:val="20"/>
                <w:szCs w:val="20"/>
                <w:color w:val="auto"/>
              </w:rPr>
            </w:pPr>
            <w:r>
              <w:rPr>
                <w:rFonts w:ascii="Arial" w:cs="Arial" w:eastAsia="Arial" w:hAnsi="Arial"/>
                <w:sz w:val="18"/>
                <w:szCs w:val="18"/>
                <w:color w:val="auto"/>
              </w:rPr>
              <w:t>80</w:t>
            </w:r>
          </w:p>
        </w:tc>
        <w:tc>
          <w:tcPr>
            <w:tcW w:w="600" w:type="dxa"/>
            <w:vAlign w:val="bottom"/>
          </w:tcPr>
          <w:p>
            <w:pPr>
              <w:jc w:val="right"/>
              <w:spacing w:after="0"/>
              <w:rPr>
                <w:sz w:val="20"/>
                <w:szCs w:val="20"/>
                <w:color w:val="auto"/>
              </w:rPr>
            </w:pPr>
            <w:r>
              <w:rPr>
                <w:rFonts w:ascii="Arial" w:cs="Arial" w:eastAsia="Arial" w:hAnsi="Arial"/>
                <w:sz w:val="18"/>
                <w:szCs w:val="18"/>
                <w:color w:val="auto"/>
              </w:rPr>
              <w:t>65</w:t>
            </w:r>
          </w:p>
        </w:tc>
        <w:tc>
          <w:tcPr>
            <w:tcW w:w="340" w:type="dxa"/>
            <w:vAlign w:val="bottom"/>
          </w:tcPr>
          <w:p>
            <w:pPr>
              <w:spacing w:after="0"/>
              <w:rPr>
                <w:sz w:val="18"/>
                <w:szCs w:val="18"/>
                <w:color w:val="auto"/>
              </w:rPr>
            </w:pPr>
          </w:p>
        </w:tc>
        <w:tc>
          <w:tcPr>
            <w:tcW w:w="780" w:type="dxa"/>
            <w:vAlign w:val="bottom"/>
            <w:gridSpan w:val="2"/>
          </w:tcPr>
          <w:p>
            <w:pPr>
              <w:jc w:val="right"/>
              <w:spacing w:after="0"/>
              <w:rPr>
                <w:sz w:val="20"/>
                <w:szCs w:val="20"/>
                <w:color w:val="auto"/>
              </w:rPr>
            </w:pPr>
            <w:r>
              <w:rPr>
                <w:rFonts w:ascii="Arial" w:cs="Arial" w:eastAsia="Arial" w:hAnsi="Arial"/>
                <w:sz w:val="18"/>
                <w:szCs w:val="18"/>
                <w:color w:val="auto"/>
              </w:rPr>
              <w:t>0.22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Second quarter</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10.26</w:t>
            </w:r>
          </w:p>
        </w:tc>
        <w:tc>
          <w:tcPr>
            <w:tcW w:w="1300" w:type="dxa"/>
            <w:vAlign w:val="bottom"/>
            <w:gridSpan w:val="3"/>
            <w:shd w:val="clear" w:color="auto" w:fill="CCEEFF"/>
          </w:tcPr>
          <w:p>
            <w:pPr>
              <w:jc w:val="right"/>
              <w:ind w:right="400"/>
              <w:spacing w:after="0"/>
              <w:rPr>
                <w:sz w:val="20"/>
                <w:szCs w:val="20"/>
                <w:color w:val="auto"/>
              </w:rPr>
            </w:pPr>
            <w:r>
              <w:rPr>
                <w:rFonts w:ascii="Arial" w:cs="Arial" w:eastAsia="Arial" w:hAnsi="Arial"/>
                <w:sz w:val="18"/>
                <w:szCs w:val="18"/>
                <w:color w:val="auto"/>
              </w:rPr>
              <w:t>11.31</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8.38</w:t>
            </w:r>
          </w:p>
        </w:tc>
        <w:tc>
          <w:tcPr>
            <w:tcW w:w="1540" w:type="dxa"/>
            <w:vAlign w:val="bottom"/>
            <w:gridSpan w:val="3"/>
            <w:shd w:val="clear" w:color="auto" w:fill="CCEEFF"/>
          </w:tcPr>
          <w:p>
            <w:pPr>
              <w:jc w:val="right"/>
              <w:ind w:right="540"/>
              <w:spacing w:after="0"/>
              <w:rPr>
                <w:sz w:val="20"/>
                <w:szCs w:val="20"/>
                <w:color w:val="auto"/>
              </w:rPr>
            </w:pPr>
            <w:r>
              <w:rPr>
                <w:rFonts w:ascii="Arial" w:cs="Arial" w:eastAsia="Arial" w:hAnsi="Arial"/>
                <w:sz w:val="18"/>
                <w:szCs w:val="18"/>
                <w:color w:val="auto"/>
              </w:rPr>
              <w:t>110</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82</w:t>
            </w:r>
          </w:p>
        </w:tc>
        <w:tc>
          <w:tcPr>
            <w:tcW w:w="34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0.22</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5840" w:type="dxa"/>
            <w:vAlign w:val="bottom"/>
            <w:gridSpan w:val="2"/>
          </w:tcPr>
          <w:p>
            <w:pPr>
              <w:spacing w:after="0"/>
              <w:rPr>
                <w:sz w:val="20"/>
                <w:szCs w:val="20"/>
                <w:color w:val="auto"/>
              </w:rPr>
            </w:pPr>
            <w:r>
              <w:rPr>
                <w:rFonts w:ascii="Arial" w:cs="Arial" w:eastAsia="Arial" w:hAnsi="Arial"/>
                <w:sz w:val="18"/>
                <w:szCs w:val="18"/>
                <w:color w:val="auto"/>
              </w:rPr>
              <w:t>First quarter</w:t>
            </w:r>
          </w:p>
        </w:tc>
        <w:tc>
          <w:tcPr>
            <w:tcW w:w="500" w:type="dxa"/>
            <w:vAlign w:val="bottom"/>
          </w:tcPr>
          <w:p>
            <w:pPr>
              <w:jc w:val="right"/>
              <w:spacing w:after="0"/>
              <w:rPr>
                <w:sz w:val="20"/>
                <w:szCs w:val="20"/>
                <w:color w:val="auto"/>
              </w:rPr>
            </w:pPr>
            <w:r>
              <w:rPr>
                <w:rFonts w:ascii="Arial" w:cs="Arial" w:eastAsia="Arial" w:hAnsi="Arial"/>
                <w:sz w:val="18"/>
                <w:szCs w:val="18"/>
                <w:color w:val="auto"/>
              </w:rPr>
              <w:t>12.07</w:t>
            </w:r>
          </w:p>
        </w:tc>
        <w:tc>
          <w:tcPr>
            <w:tcW w:w="1300" w:type="dxa"/>
            <w:vAlign w:val="bottom"/>
            <w:gridSpan w:val="3"/>
          </w:tcPr>
          <w:p>
            <w:pPr>
              <w:jc w:val="right"/>
              <w:ind w:right="400"/>
              <w:spacing w:after="0"/>
              <w:rPr>
                <w:sz w:val="20"/>
                <w:szCs w:val="20"/>
                <w:color w:val="auto"/>
              </w:rPr>
            </w:pPr>
            <w:r>
              <w:rPr>
                <w:rFonts w:ascii="Arial" w:cs="Arial" w:eastAsia="Arial" w:hAnsi="Arial"/>
                <w:sz w:val="18"/>
                <w:szCs w:val="18"/>
                <w:color w:val="auto"/>
              </w:rPr>
              <w:t>14.49</w:t>
            </w:r>
          </w:p>
        </w:tc>
        <w:tc>
          <w:tcPr>
            <w:tcW w:w="500" w:type="dxa"/>
            <w:vAlign w:val="bottom"/>
          </w:tcPr>
          <w:p>
            <w:pPr>
              <w:jc w:val="right"/>
              <w:spacing w:after="0"/>
              <w:rPr>
                <w:sz w:val="20"/>
                <w:szCs w:val="20"/>
                <w:color w:val="auto"/>
              </w:rPr>
            </w:pPr>
            <w:r>
              <w:rPr>
                <w:rFonts w:ascii="Arial" w:cs="Arial" w:eastAsia="Arial" w:hAnsi="Arial"/>
                <w:sz w:val="18"/>
                <w:szCs w:val="18"/>
                <w:color w:val="auto"/>
              </w:rPr>
              <w:t>9.08</w:t>
            </w:r>
          </w:p>
        </w:tc>
        <w:tc>
          <w:tcPr>
            <w:tcW w:w="1540" w:type="dxa"/>
            <w:vAlign w:val="bottom"/>
            <w:gridSpan w:val="3"/>
          </w:tcPr>
          <w:p>
            <w:pPr>
              <w:jc w:val="right"/>
              <w:ind w:right="540"/>
              <w:spacing w:after="0"/>
              <w:rPr>
                <w:sz w:val="20"/>
                <w:szCs w:val="20"/>
                <w:color w:val="auto"/>
              </w:rPr>
            </w:pPr>
            <w:r>
              <w:rPr>
                <w:rFonts w:ascii="Arial" w:cs="Arial" w:eastAsia="Arial" w:hAnsi="Arial"/>
                <w:sz w:val="18"/>
                <w:szCs w:val="18"/>
                <w:color w:val="auto"/>
              </w:rPr>
              <w:t>120</w:t>
            </w:r>
          </w:p>
        </w:tc>
        <w:tc>
          <w:tcPr>
            <w:tcW w:w="600" w:type="dxa"/>
            <w:vAlign w:val="bottom"/>
          </w:tcPr>
          <w:p>
            <w:pPr>
              <w:jc w:val="right"/>
              <w:spacing w:after="0"/>
              <w:rPr>
                <w:sz w:val="20"/>
                <w:szCs w:val="20"/>
                <w:color w:val="auto"/>
              </w:rPr>
            </w:pPr>
            <w:r>
              <w:rPr>
                <w:rFonts w:ascii="Arial" w:cs="Arial" w:eastAsia="Arial" w:hAnsi="Arial"/>
                <w:sz w:val="18"/>
                <w:szCs w:val="18"/>
                <w:color w:val="auto"/>
              </w:rPr>
              <w:t>75</w:t>
            </w:r>
          </w:p>
        </w:tc>
        <w:tc>
          <w:tcPr>
            <w:tcW w:w="340" w:type="dxa"/>
            <w:vAlign w:val="bottom"/>
          </w:tcPr>
          <w:p>
            <w:pPr>
              <w:spacing w:after="0"/>
              <w:rPr>
                <w:sz w:val="19"/>
                <w:szCs w:val="19"/>
                <w:color w:val="auto"/>
              </w:rPr>
            </w:pPr>
          </w:p>
        </w:tc>
        <w:tc>
          <w:tcPr>
            <w:tcW w:w="780" w:type="dxa"/>
            <w:vAlign w:val="bottom"/>
            <w:gridSpan w:val="2"/>
          </w:tcPr>
          <w:p>
            <w:pPr>
              <w:jc w:val="right"/>
              <w:spacing w:after="0"/>
              <w:rPr>
                <w:sz w:val="20"/>
                <w:szCs w:val="20"/>
                <w:color w:val="auto"/>
              </w:rPr>
            </w:pPr>
            <w:r>
              <w:rPr>
                <w:rFonts w:ascii="Arial" w:cs="Arial" w:eastAsia="Arial" w:hAnsi="Arial"/>
                <w:sz w:val="18"/>
                <w:szCs w:val="18"/>
                <w:color w:val="auto"/>
              </w:rPr>
              <w:t>0.22</w:t>
            </w: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380" w:type="dxa"/>
            <w:vAlign w:val="bottom"/>
          </w:tcPr>
          <w:p>
            <w:pPr>
              <w:spacing w:after="0"/>
              <w:rPr>
                <w:sz w:val="8"/>
                <w:szCs w:val="8"/>
                <w:color w:val="auto"/>
              </w:rPr>
            </w:pPr>
          </w:p>
        </w:tc>
        <w:tc>
          <w:tcPr>
            <w:tcW w:w="5460" w:type="dxa"/>
            <w:vAlign w:val="bottom"/>
          </w:tcPr>
          <w:p>
            <w:pPr>
              <w:spacing w:after="0"/>
              <w:rPr>
                <w:sz w:val="8"/>
                <w:szCs w:val="8"/>
                <w:color w:val="auto"/>
              </w:rPr>
            </w:pPr>
          </w:p>
        </w:tc>
        <w:tc>
          <w:tcPr>
            <w:tcW w:w="500" w:type="dxa"/>
            <w:vAlign w:val="bottom"/>
          </w:tcPr>
          <w:p>
            <w:pPr>
              <w:spacing w:after="0"/>
              <w:rPr>
                <w:sz w:val="8"/>
                <w:szCs w:val="8"/>
                <w:color w:val="auto"/>
              </w:rPr>
            </w:pPr>
          </w:p>
        </w:tc>
        <w:tc>
          <w:tcPr>
            <w:tcW w:w="400" w:type="dxa"/>
            <w:vAlign w:val="bottom"/>
          </w:tcPr>
          <w:p>
            <w:pPr>
              <w:spacing w:after="0"/>
              <w:rPr>
                <w:sz w:val="8"/>
                <w:szCs w:val="8"/>
                <w:color w:val="auto"/>
              </w:rPr>
            </w:pPr>
          </w:p>
        </w:tc>
        <w:tc>
          <w:tcPr>
            <w:tcW w:w="500" w:type="dxa"/>
            <w:vAlign w:val="bottom"/>
          </w:tcPr>
          <w:p>
            <w:pPr>
              <w:spacing w:after="0"/>
              <w:rPr>
                <w:sz w:val="8"/>
                <w:szCs w:val="8"/>
                <w:color w:val="auto"/>
              </w:rPr>
            </w:pPr>
          </w:p>
        </w:tc>
        <w:tc>
          <w:tcPr>
            <w:tcW w:w="400" w:type="dxa"/>
            <w:vAlign w:val="bottom"/>
          </w:tcPr>
          <w:p>
            <w:pPr>
              <w:spacing w:after="0"/>
              <w:rPr>
                <w:sz w:val="8"/>
                <w:szCs w:val="8"/>
                <w:color w:val="auto"/>
              </w:rPr>
            </w:pPr>
          </w:p>
        </w:tc>
        <w:tc>
          <w:tcPr>
            <w:tcW w:w="500" w:type="dxa"/>
            <w:vAlign w:val="bottom"/>
          </w:tcPr>
          <w:p>
            <w:pPr>
              <w:spacing w:after="0"/>
              <w:rPr>
                <w:sz w:val="8"/>
                <w:szCs w:val="8"/>
                <w:color w:val="auto"/>
              </w:rPr>
            </w:pPr>
          </w:p>
        </w:tc>
        <w:tc>
          <w:tcPr>
            <w:tcW w:w="380" w:type="dxa"/>
            <w:vAlign w:val="bottom"/>
          </w:tcPr>
          <w:p>
            <w:pPr>
              <w:spacing w:after="0"/>
              <w:rPr>
                <w:sz w:val="8"/>
                <w:szCs w:val="8"/>
                <w:color w:val="auto"/>
              </w:rPr>
            </w:pPr>
          </w:p>
        </w:tc>
        <w:tc>
          <w:tcPr>
            <w:tcW w:w="620" w:type="dxa"/>
            <w:vAlign w:val="bottom"/>
          </w:tcPr>
          <w:p>
            <w:pPr>
              <w:spacing w:after="0"/>
              <w:rPr>
                <w:sz w:val="8"/>
                <w:szCs w:val="8"/>
                <w:color w:val="auto"/>
              </w:rPr>
            </w:pPr>
          </w:p>
        </w:tc>
        <w:tc>
          <w:tcPr>
            <w:tcW w:w="540" w:type="dxa"/>
            <w:vAlign w:val="bottom"/>
          </w:tcPr>
          <w:p>
            <w:pPr>
              <w:spacing w:after="0"/>
              <w:rPr>
                <w:sz w:val="8"/>
                <w:szCs w:val="8"/>
                <w:color w:val="auto"/>
              </w:rPr>
            </w:pPr>
          </w:p>
        </w:tc>
        <w:tc>
          <w:tcPr>
            <w:tcW w:w="600" w:type="dxa"/>
            <w:vAlign w:val="bottom"/>
          </w:tcPr>
          <w:p>
            <w:pPr>
              <w:spacing w:after="0"/>
              <w:rPr>
                <w:sz w:val="8"/>
                <w:szCs w:val="8"/>
                <w:color w:val="auto"/>
              </w:rPr>
            </w:pPr>
          </w:p>
        </w:tc>
        <w:tc>
          <w:tcPr>
            <w:tcW w:w="340" w:type="dxa"/>
            <w:vAlign w:val="bottom"/>
          </w:tcPr>
          <w:p>
            <w:pPr>
              <w:spacing w:after="0"/>
              <w:rPr>
                <w:sz w:val="8"/>
                <w:szCs w:val="8"/>
                <w:color w:val="auto"/>
              </w:rPr>
            </w:pPr>
          </w:p>
        </w:tc>
        <w:tc>
          <w:tcPr>
            <w:tcW w:w="200" w:type="dxa"/>
            <w:vAlign w:val="bottom"/>
          </w:tcPr>
          <w:p>
            <w:pPr>
              <w:spacing w:after="0"/>
              <w:rPr>
                <w:sz w:val="8"/>
                <w:szCs w:val="8"/>
                <w:color w:val="auto"/>
              </w:rPr>
            </w:pPr>
          </w:p>
        </w:tc>
        <w:tc>
          <w:tcPr>
            <w:tcW w:w="5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84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Fiscal year ended September 30, 2007</w:t>
            </w:r>
          </w:p>
        </w:tc>
        <w:tc>
          <w:tcPr>
            <w:tcW w:w="5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40" w:type="dxa"/>
            <w:vAlign w:val="bottom"/>
            <w:gridSpan w:val="2"/>
          </w:tcPr>
          <w:p>
            <w:pPr>
              <w:spacing w:after="0"/>
              <w:rPr>
                <w:sz w:val="20"/>
                <w:szCs w:val="20"/>
                <w:color w:val="auto"/>
              </w:rPr>
            </w:pPr>
            <w:r>
              <w:rPr>
                <w:rFonts w:ascii="Arial" w:cs="Arial" w:eastAsia="Arial" w:hAnsi="Arial"/>
                <w:sz w:val="18"/>
                <w:szCs w:val="18"/>
                <w:color w:val="auto"/>
              </w:rPr>
              <w:t>Fourth quarter</w:t>
            </w:r>
          </w:p>
        </w:tc>
        <w:tc>
          <w:tcPr>
            <w:tcW w:w="500" w:type="dxa"/>
            <w:vAlign w:val="bottom"/>
          </w:tcPr>
          <w:p>
            <w:pPr>
              <w:jc w:val="right"/>
              <w:spacing w:after="0"/>
              <w:rPr>
                <w:sz w:val="20"/>
                <w:szCs w:val="20"/>
                <w:color w:val="auto"/>
              </w:rPr>
            </w:pPr>
            <w:r>
              <w:rPr>
                <w:rFonts w:ascii="Arial" w:cs="Arial" w:eastAsia="Arial" w:hAnsi="Arial"/>
                <w:sz w:val="18"/>
                <w:szCs w:val="18"/>
                <w:color w:val="auto"/>
              </w:rPr>
              <w:t>12.83</w:t>
            </w:r>
          </w:p>
        </w:tc>
        <w:tc>
          <w:tcPr>
            <w:tcW w:w="1300" w:type="dxa"/>
            <w:vAlign w:val="bottom"/>
            <w:gridSpan w:val="3"/>
          </w:tcPr>
          <w:p>
            <w:pPr>
              <w:jc w:val="right"/>
              <w:ind w:right="400"/>
              <w:spacing w:after="0"/>
              <w:rPr>
                <w:sz w:val="20"/>
                <w:szCs w:val="20"/>
                <w:color w:val="auto"/>
              </w:rPr>
            </w:pPr>
            <w:r>
              <w:rPr>
                <w:rFonts w:ascii="Arial" w:cs="Arial" w:eastAsia="Arial" w:hAnsi="Arial"/>
                <w:sz w:val="18"/>
                <w:szCs w:val="18"/>
                <w:color w:val="auto"/>
              </w:rPr>
              <w:t>14.76</w:t>
            </w:r>
          </w:p>
        </w:tc>
        <w:tc>
          <w:tcPr>
            <w:tcW w:w="500" w:type="dxa"/>
            <w:vAlign w:val="bottom"/>
          </w:tcPr>
          <w:p>
            <w:pPr>
              <w:jc w:val="right"/>
              <w:spacing w:after="0"/>
              <w:rPr>
                <w:sz w:val="20"/>
                <w:szCs w:val="20"/>
                <w:color w:val="auto"/>
              </w:rPr>
            </w:pPr>
            <w:r>
              <w:rPr>
                <w:rFonts w:ascii="Arial" w:cs="Arial" w:eastAsia="Arial" w:hAnsi="Arial"/>
                <w:sz w:val="18"/>
                <w:szCs w:val="18"/>
                <w:color w:val="auto"/>
              </w:rPr>
              <w:t>12.61</w:t>
            </w:r>
          </w:p>
        </w:tc>
        <w:tc>
          <w:tcPr>
            <w:tcW w:w="1540" w:type="dxa"/>
            <w:vAlign w:val="bottom"/>
            <w:gridSpan w:val="3"/>
          </w:tcPr>
          <w:p>
            <w:pPr>
              <w:jc w:val="right"/>
              <w:ind w:right="540"/>
              <w:spacing w:after="0"/>
              <w:rPr>
                <w:sz w:val="20"/>
                <w:szCs w:val="20"/>
                <w:color w:val="auto"/>
              </w:rPr>
            </w:pPr>
            <w:r>
              <w:rPr>
                <w:rFonts w:ascii="Arial" w:cs="Arial" w:eastAsia="Arial" w:hAnsi="Arial"/>
                <w:sz w:val="18"/>
                <w:szCs w:val="18"/>
                <w:color w:val="auto"/>
              </w:rPr>
              <w:t>115</w:t>
            </w:r>
          </w:p>
        </w:tc>
        <w:tc>
          <w:tcPr>
            <w:tcW w:w="600" w:type="dxa"/>
            <w:vAlign w:val="bottom"/>
          </w:tcPr>
          <w:p>
            <w:pPr>
              <w:jc w:val="right"/>
              <w:spacing w:after="0"/>
              <w:rPr>
                <w:sz w:val="20"/>
                <w:szCs w:val="20"/>
                <w:color w:val="auto"/>
              </w:rPr>
            </w:pPr>
            <w:r>
              <w:rPr>
                <w:rFonts w:ascii="Arial" w:cs="Arial" w:eastAsia="Arial" w:hAnsi="Arial"/>
                <w:sz w:val="18"/>
                <w:szCs w:val="18"/>
                <w:color w:val="auto"/>
              </w:rPr>
              <w:t>98</w:t>
            </w:r>
          </w:p>
        </w:tc>
        <w:tc>
          <w:tcPr>
            <w:tcW w:w="340" w:type="dxa"/>
            <w:vAlign w:val="bottom"/>
          </w:tcPr>
          <w:p>
            <w:pPr>
              <w:spacing w:after="0"/>
              <w:rPr>
                <w:sz w:val="18"/>
                <w:szCs w:val="18"/>
                <w:color w:val="auto"/>
              </w:rPr>
            </w:pPr>
          </w:p>
        </w:tc>
        <w:tc>
          <w:tcPr>
            <w:tcW w:w="780" w:type="dxa"/>
            <w:vAlign w:val="bottom"/>
            <w:gridSpan w:val="2"/>
          </w:tcPr>
          <w:p>
            <w:pPr>
              <w:jc w:val="right"/>
              <w:spacing w:after="0"/>
              <w:rPr>
                <w:sz w:val="20"/>
                <w:szCs w:val="20"/>
                <w:color w:val="auto"/>
              </w:rPr>
            </w:pPr>
            <w:r>
              <w:rPr>
                <w:rFonts w:ascii="Arial" w:cs="Arial" w:eastAsia="Arial" w:hAnsi="Arial"/>
                <w:sz w:val="18"/>
                <w:szCs w:val="18"/>
                <w:color w:val="auto"/>
              </w:rPr>
              <w:t>0.22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Third quarter*</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13.74</w:t>
            </w:r>
          </w:p>
        </w:tc>
        <w:tc>
          <w:tcPr>
            <w:tcW w:w="1300" w:type="dxa"/>
            <w:vAlign w:val="bottom"/>
            <w:gridSpan w:val="3"/>
            <w:shd w:val="clear" w:color="auto" w:fill="CCEEFF"/>
          </w:tcPr>
          <w:p>
            <w:pPr>
              <w:jc w:val="right"/>
              <w:ind w:right="400"/>
              <w:spacing w:after="0"/>
              <w:rPr>
                <w:sz w:val="20"/>
                <w:szCs w:val="20"/>
                <w:color w:val="auto"/>
              </w:rPr>
            </w:pPr>
            <w:r>
              <w:rPr>
                <w:rFonts w:ascii="Arial" w:cs="Arial" w:eastAsia="Arial" w:hAnsi="Arial"/>
                <w:sz w:val="18"/>
                <w:szCs w:val="18"/>
                <w:color w:val="auto"/>
              </w:rPr>
              <w:t>15.03</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14.04</w:t>
            </w:r>
          </w:p>
        </w:tc>
        <w:tc>
          <w:tcPr>
            <w:tcW w:w="1540" w:type="dxa"/>
            <w:vAlign w:val="bottom"/>
            <w:gridSpan w:val="3"/>
            <w:shd w:val="clear" w:color="auto" w:fill="CCEEFF"/>
          </w:tcPr>
          <w:p>
            <w:pPr>
              <w:jc w:val="right"/>
              <w:ind w:right="540"/>
              <w:spacing w:after="0"/>
              <w:rPr>
                <w:sz w:val="20"/>
                <w:szCs w:val="20"/>
                <w:color w:val="auto"/>
              </w:rPr>
            </w:pPr>
            <w:r>
              <w:rPr>
                <w:rFonts w:ascii="Arial" w:cs="Arial" w:eastAsia="Arial" w:hAnsi="Arial"/>
                <w:sz w:val="18"/>
                <w:szCs w:val="18"/>
                <w:color w:val="auto"/>
              </w:rPr>
              <w:t>109</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102</w:t>
            </w:r>
          </w:p>
        </w:tc>
        <w:tc>
          <w:tcPr>
            <w:tcW w:w="34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0.14</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68580</wp:posOffset>
            </wp:positionV>
            <wp:extent cx="728980" cy="889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20" w:lineRule="exact"/>
        <w:rPr>
          <w:sz w:val="20"/>
          <w:szCs w:val="20"/>
          <w:color w:val="auto"/>
        </w:rPr>
      </w:pPr>
    </w:p>
    <w:p>
      <w:pPr>
        <w:ind w:left="460" w:right="160" w:hanging="452"/>
        <w:spacing w:after="0" w:line="254" w:lineRule="auto"/>
        <w:tabs>
          <w:tab w:leader="none" w:pos="4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NAV is determined as of the last day in the relevant quarter and therefore may not reflect the NAV on the date of the high and low sales prices. The NAVs shown are based on outstanding shares at the end of each period.</w:t>
      </w:r>
    </w:p>
    <w:p>
      <w:pPr>
        <w:ind w:left="460" w:hanging="452"/>
        <w:spacing w:after="0"/>
        <w:tabs>
          <w:tab w:leader="none" w:pos="4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Calculated as the respective high or low closing sales price divided by the quarter end NAV.</w:t>
      </w:r>
    </w:p>
    <w:p>
      <w:pPr>
        <w:spacing w:after="0" w:line="9" w:lineRule="exact"/>
        <w:rPr>
          <w:sz w:val="20"/>
          <w:szCs w:val="20"/>
          <w:color w:val="auto"/>
        </w:rPr>
      </w:pPr>
    </w:p>
    <w:p>
      <w:pPr>
        <w:ind w:left="460" w:hanging="408"/>
        <w:spacing w:after="0"/>
        <w:tabs>
          <w:tab w:leader="none" w:pos="4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From April 24, 2007 (initial public offering) to June 30, 2007.</w:t>
      </w:r>
    </w:p>
    <w:p>
      <w:pPr>
        <w:spacing w:after="0" w:line="165" w:lineRule="exact"/>
        <w:rPr>
          <w:sz w:val="20"/>
          <w:szCs w:val="20"/>
          <w:color w:val="auto"/>
        </w:rPr>
      </w:pPr>
    </w:p>
    <w:p>
      <w:pPr>
        <w:ind w:right="40" w:firstLine="456"/>
        <w:spacing w:after="0" w:line="259" w:lineRule="auto"/>
        <w:rPr>
          <w:sz w:val="20"/>
          <w:szCs w:val="20"/>
          <w:color w:val="auto"/>
        </w:rPr>
      </w:pPr>
      <w:r>
        <w:rPr>
          <w:rFonts w:ascii="Arial" w:cs="Arial" w:eastAsia="Arial" w:hAnsi="Arial"/>
          <w:sz w:val="18"/>
          <w:szCs w:val="18"/>
          <w:color w:val="auto"/>
        </w:rPr>
        <w:t>Although the Company has at times experienced a share price above NAV, there can be no assurance that it will do so under current market conditions or in the future. The unprecedented nature of the current credit market dislocation and uncertainty surrounding the U.S. economy have led to significant stock market volatility, particularly with respect to the stock of financial services companies.</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i w:val="1"/>
          <w:iCs w:val="1"/>
          <w:color w:val="auto"/>
        </w:rPr>
        <w:t>Conditions to Our Sale of Common Stock below NAV</w:t>
      </w:r>
    </w:p>
    <w:p>
      <w:pPr>
        <w:spacing w:after="0" w:line="90" w:lineRule="exact"/>
        <w:rPr>
          <w:sz w:val="20"/>
          <w:szCs w:val="20"/>
          <w:color w:val="auto"/>
        </w:rPr>
      </w:pPr>
    </w:p>
    <w:p>
      <w:pPr>
        <w:ind w:right="640" w:firstLine="456"/>
        <w:spacing w:after="0" w:line="268" w:lineRule="auto"/>
        <w:rPr>
          <w:sz w:val="20"/>
          <w:szCs w:val="20"/>
          <w:color w:val="auto"/>
        </w:rPr>
      </w:pPr>
      <w:r>
        <w:rPr>
          <w:rFonts w:ascii="Arial" w:cs="Arial" w:eastAsia="Arial" w:hAnsi="Arial"/>
          <w:sz w:val="18"/>
          <w:szCs w:val="18"/>
          <w:color w:val="auto"/>
        </w:rPr>
        <w:t>If Stockholders approve this proposal, we will sell shares of our Common Stock at a price below NAV, exclusive of sales compensation, only if the following conditions are met:</w:t>
      </w:r>
    </w:p>
    <w:p>
      <w:pPr>
        <w:spacing w:after="0" w:line="51" w:lineRule="exact"/>
        <w:rPr>
          <w:sz w:val="20"/>
          <w:szCs w:val="20"/>
          <w:color w:val="auto"/>
        </w:rPr>
      </w:pPr>
    </w:p>
    <w:p>
      <w:pPr>
        <w:ind w:left="900" w:hanging="325"/>
        <w:spacing w:after="0"/>
        <w:tabs>
          <w:tab w:leader="none" w:pos="9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a majority of our independent directors who have no financial interest in the sale have approved the sale; and</w:t>
      </w:r>
    </w:p>
    <w:p>
      <w:pPr>
        <w:spacing w:after="0" w:line="90" w:lineRule="exact"/>
        <w:rPr>
          <w:rFonts w:ascii="Arial" w:cs="Arial" w:eastAsia="Arial" w:hAnsi="Arial"/>
          <w:sz w:val="18"/>
          <w:szCs w:val="18"/>
          <w:color w:val="auto"/>
        </w:rPr>
      </w:pPr>
    </w:p>
    <w:p>
      <w:pPr>
        <w:ind w:left="900" w:right="120" w:hanging="325"/>
        <w:spacing w:after="0" w:line="298" w:lineRule="auto"/>
        <w:tabs>
          <w:tab w:leader="none" w:pos="900" w:val="left"/>
        </w:tabs>
        <w:numPr>
          <w:ilvl w:val="0"/>
          <w:numId w:val="20"/>
        </w:numPr>
        <w:rPr>
          <w:rFonts w:ascii="Arial" w:cs="Arial" w:eastAsia="Arial" w:hAnsi="Arial"/>
          <w:sz w:val="16"/>
          <w:szCs w:val="16"/>
          <w:color w:val="auto"/>
        </w:rPr>
      </w:pPr>
      <w:r>
        <w:rPr>
          <w:rFonts w:ascii="Arial" w:cs="Arial" w:eastAsia="Arial" w:hAnsi="Arial"/>
          <w:sz w:val="16"/>
          <w:szCs w:val="16"/>
          <w:color w:val="auto"/>
        </w:rPr>
        <w:t>a majority of such directors, who are not interested persons of us, in consultation with the underwriter or underwriters of the offering if it is to be underwritten, have determined in good faith, and as of a time immediately prior to the first solicitation by or on behalf of us of firm commitments to purchase such securities, or immediately prior to the sale of such securities, that the price at which such securities are to be sold is not less than a price which closely approximates the market value of those securities, less any underwriting commission or discount.</w:t>
      </w:r>
    </w:p>
    <w:p>
      <w:pPr>
        <w:spacing w:after="0" w:line="9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420"/>
          </w:cols>
          <w:pgMar w:left="240" w:top="280" w:right="239" w:bottom="1440" w:gutter="0" w:footer="0" w:header="0"/>
        </w:sectPr>
      </w:pPr>
    </w:p>
    <w:bookmarkStart w:id="24" w:name="page25"/>
    <w:bookmarkEnd w:id="24"/>
    <w:p>
      <w:pPr>
        <w:jc w:val="center"/>
        <w:spacing w:after="0"/>
        <w:rPr>
          <w:sz w:val="20"/>
          <w:szCs w:val="20"/>
          <w:color w:val="auto"/>
        </w:rPr>
      </w:pPr>
      <w:r>
        <w:rPr>
          <w:rFonts w:ascii="Arial" w:cs="Arial" w:eastAsia="Arial" w:hAnsi="Arial"/>
          <w:sz w:val="18"/>
          <w:szCs w:val="18"/>
          <w:b w:val="1"/>
          <w:bCs w:val="1"/>
          <w:i w:val="1"/>
          <w:i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89165" cy="38735"/>
                    </a:xfrm>
                    <a:prstGeom prst="rect">
                      <a:avLst/>
                    </a:prstGeom>
                    <a:noFill/>
                  </pic:spPr>
                </pic:pic>
              </a:graphicData>
            </a:graphic>
          </wp:anchor>
        </w:drawing>
        <w:t>Dilution</w:t>
      </w:r>
    </w:p>
    <w:p>
      <w:pPr>
        <w:spacing w:after="0" w:line="90" w:lineRule="exact"/>
        <w:rPr>
          <w:sz w:val="20"/>
          <w:szCs w:val="20"/>
          <w:color w:val="auto"/>
        </w:rPr>
      </w:pPr>
    </w:p>
    <w:p>
      <w:pPr>
        <w:ind w:right="40" w:firstLine="456"/>
        <w:spacing w:after="0" w:line="291" w:lineRule="auto"/>
        <w:rPr>
          <w:sz w:val="20"/>
          <w:szCs w:val="20"/>
          <w:color w:val="auto"/>
        </w:rPr>
      </w:pPr>
      <w:r>
        <w:rPr>
          <w:rFonts w:ascii="Arial" w:cs="Arial" w:eastAsia="Arial" w:hAnsi="Arial"/>
          <w:sz w:val="16"/>
          <w:szCs w:val="16"/>
          <w:color w:val="auto"/>
        </w:rPr>
        <w:t>Before voting on this proposal or giving proxies with regard to this matter, Stockholders should consider the potentially dilutive effect on the NAV of the issuance of shares of our Common Stock at a price less than NAV. Any sale of Common Stock at a price below NAV would result in an immediate dilution to existing Stockholders on a per share basis. This dilution would include reduction in the NAV as a result of the issuance of shares at a price below the NAV and a proportionately greater decrease in a Stockholder’s per share interest in the earnings and assets of the Company and per share voting interest in the Company. The Board has considered the potential dilutive effect of the issuance of shares at a price below the NAV and will consider again such dilutive effect when considering whether to authorize any specific issuance of shares of Common Stock below NAV.</w:t>
      </w:r>
    </w:p>
    <w:p>
      <w:pPr>
        <w:spacing w:after="0" w:line="120"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The 1940 Act establishes a connection between common share sale price and NAV because, when stock is sold at a sale price below NAV, the resulting increase in the number of outstanding shares is not accompanied by a proportionate increase in the net assets of the issuer. Stockholders should also consider that they will have no subscription, preferential or preemptive rights to additional shares of Common Stock proposed to be authorized for issuance, and thus any future issuance of Common Stock at a price below NAV would dilute a Stockholder’s holdings of Common Stock as a percentage of shares outstanding to the extent the Stockholder does not purchase sufficient shares in the offering or otherwise to maintain the Stockholder’s percentage interest. Further, if the Stockholder does not purchase, or is unable to purchase, any shares to maintain the Stockholder’s percentage interest, regardless of whether such offering is at a price above or below the then current NAV, the Stockholder’s voting power will be diluted.</w:t>
      </w:r>
    </w:p>
    <w:p>
      <w:pPr>
        <w:spacing w:after="0" w:line="118" w:lineRule="exact"/>
        <w:rPr>
          <w:sz w:val="20"/>
          <w:szCs w:val="20"/>
          <w:color w:val="auto"/>
        </w:rPr>
      </w:pPr>
    </w:p>
    <w:p>
      <w:pPr>
        <w:ind w:right="240" w:firstLine="456"/>
        <w:spacing w:after="0" w:line="298" w:lineRule="auto"/>
        <w:rPr>
          <w:sz w:val="20"/>
          <w:szCs w:val="20"/>
          <w:color w:val="auto"/>
        </w:rPr>
      </w:pPr>
      <w:r>
        <w:rPr>
          <w:rFonts w:ascii="Arial" w:cs="Arial" w:eastAsia="Arial" w:hAnsi="Arial"/>
          <w:sz w:val="16"/>
          <w:szCs w:val="16"/>
          <w:color w:val="auto"/>
        </w:rPr>
        <w:t>The precise extent of any such dilution cannot be estimated before the terms of a Common Stock offering are set. As a general proposition, however, the amount of potential dilution will increase as the size of the offering increases. Another factor that will influence the amount of dilution in an offering is the amount of net proceeds that we receive from such offering. The Board would expect that the net proceeds to us will be equal to the price that investors pay per share, less the amount of any underwriting discounts and commissions, typically 95% of the market price.</w:t>
      </w:r>
    </w:p>
    <w:p>
      <w:pPr>
        <w:spacing w:after="0" w:line="113" w:lineRule="exact"/>
        <w:rPr>
          <w:sz w:val="20"/>
          <w:szCs w:val="20"/>
          <w:color w:val="auto"/>
        </w:rPr>
      </w:pPr>
    </w:p>
    <w:p>
      <w:pPr>
        <w:ind w:right="80" w:firstLine="456"/>
        <w:spacing w:after="0" w:line="306" w:lineRule="auto"/>
        <w:rPr>
          <w:sz w:val="20"/>
          <w:szCs w:val="20"/>
          <w:color w:val="auto"/>
        </w:rPr>
      </w:pPr>
      <w:r>
        <w:rPr>
          <w:rFonts w:ascii="Arial" w:cs="Arial" w:eastAsia="Arial" w:hAnsi="Arial"/>
          <w:sz w:val="16"/>
          <w:szCs w:val="16"/>
          <w:color w:val="auto"/>
        </w:rPr>
        <w:t>As previously discussed, the Board evaluated a full range of offering sizes. The following example indicates how an offering would immediately affect the NAV of our Common Stock based on the assumptions set forth below. It does not include any effects or influence on market share price due to changes in investment performance over time, dividend policy, increased trading volume or other qualitative aspects of the shares our Common Stock.</w:t>
      </w:r>
    </w:p>
    <w:p>
      <w:pPr>
        <w:spacing w:after="0" w:line="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420"/>
          </w:cols>
          <w:pgMar w:left="240" w:top="280" w:right="239" w:bottom="1440" w:gutter="0" w:footer="0" w:header="0"/>
        </w:sectPr>
      </w:pPr>
    </w:p>
    <w:bookmarkStart w:id="25" w:name="page26"/>
    <w:bookmarkEnd w:id="25"/>
    <w:p>
      <w:pPr>
        <w:spacing w:after="0"/>
        <w:rPr>
          <w:sz w:val="20"/>
          <w:szCs w:val="20"/>
          <w:color w:val="auto"/>
        </w:rPr>
      </w:pPr>
      <w:r>
        <w:rPr>
          <w:rFonts w:ascii="Arial" w:cs="Arial" w:eastAsia="Arial" w:hAnsi="Arial"/>
          <w:sz w:val="18"/>
          <w:szCs w:val="18"/>
          <w:b w:val="1"/>
          <w:bCs w:val="1"/>
          <w:i w:val="1"/>
          <w:i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Examples of Dilutive Effect of the Issuance of Shares Below NAV</w:t>
      </w:r>
    </w:p>
    <w:p>
      <w:pPr>
        <w:spacing w:after="0" w:line="90" w:lineRule="exact"/>
        <w:rPr>
          <w:sz w:val="20"/>
          <w:szCs w:val="20"/>
          <w:color w:val="auto"/>
        </w:rPr>
      </w:pPr>
    </w:p>
    <w:p>
      <w:pPr>
        <w:ind w:right="220" w:firstLine="456"/>
        <w:spacing w:after="0" w:line="259" w:lineRule="auto"/>
        <w:rPr>
          <w:sz w:val="20"/>
          <w:szCs w:val="20"/>
          <w:color w:val="auto"/>
        </w:rPr>
      </w:pPr>
      <w:r>
        <w:rPr>
          <w:rFonts w:ascii="Arial" w:cs="Arial" w:eastAsia="Arial" w:hAnsi="Arial"/>
          <w:sz w:val="18"/>
          <w:szCs w:val="18"/>
          <w:color w:val="auto"/>
        </w:rPr>
        <w:t>The following table illustrates the level of NAV dilution that would be experienced by a nonparticipating stockholder in three different hypothetical common stock offerings of different sizes and levels of discount from NAV per share, although it is not possible to predict the level of market price decline that may occur. Actual sales prices and discounts may differ from the presentation below.</w:t>
      </w:r>
    </w:p>
    <w:p>
      <w:pPr>
        <w:spacing w:after="0" w:line="140" w:lineRule="exact"/>
        <w:rPr>
          <w:sz w:val="20"/>
          <w:szCs w:val="20"/>
          <w:color w:val="auto"/>
        </w:rPr>
      </w:pPr>
    </w:p>
    <w:p>
      <w:pPr>
        <w:ind w:right="40" w:firstLine="456"/>
        <w:spacing w:after="0" w:line="318" w:lineRule="auto"/>
        <w:rPr>
          <w:sz w:val="20"/>
          <w:szCs w:val="20"/>
          <w:color w:val="auto"/>
        </w:rPr>
      </w:pPr>
      <w:r>
        <w:rPr>
          <w:rFonts w:ascii="Arial" w:cs="Arial" w:eastAsia="Arial" w:hAnsi="Arial"/>
          <w:sz w:val="15"/>
          <w:szCs w:val="15"/>
          <w:color w:val="auto"/>
        </w:rPr>
        <w:t>The examples assume that Company XYZ has 1,000,000 shares of common stock outstanding, $15,000,000 in total assets and $5,000,000 in total liabilities. The current NAV and NAV per share are thus $10,000,000 and $10.00, respectively. The table below illustrates the dilutive effect on nonparticipating Stockholder A of (1) an offering of 50,000 shares (5% of the outstanding shares) at $9.50 per share after offering expenses and commission (a 5% discount from NAV); (2) an offering of 100,000 shares (10% of the outstanding shares) at $9.00 per share after offering expenses and commissions (a 10% discount from NAV); and (3) an offering of 200,000 shares (20% of the outstanding shares) at $8.00 per share after offering expenses and commissions (a 20% discount from NAV).</w:t>
      </w:r>
    </w:p>
    <w:p>
      <w:pPr>
        <w:spacing w:after="0" w:line="12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5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80" w:type="dxa"/>
            <w:vAlign w:val="bottom"/>
            <w:gridSpan w:val="2"/>
          </w:tcPr>
          <w:p>
            <w:pPr>
              <w:jc w:val="center"/>
              <w:ind w:left="278"/>
              <w:spacing w:after="0"/>
              <w:rPr>
                <w:sz w:val="20"/>
                <w:szCs w:val="20"/>
                <w:color w:val="auto"/>
              </w:rPr>
            </w:pPr>
            <w:r>
              <w:rPr>
                <w:rFonts w:ascii="Arial" w:cs="Arial" w:eastAsia="Arial" w:hAnsi="Arial"/>
                <w:sz w:val="14"/>
                <w:szCs w:val="14"/>
                <w:b w:val="1"/>
                <w:bCs w:val="1"/>
                <w:color w:val="auto"/>
                <w:w w:val="89"/>
              </w:rPr>
              <w:t>Example 1</w:t>
            </w:r>
          </w:p>
        </w:tc>
        <w:tc>
          <w:tcPr>
            <w:tcW w:w="4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60" w:type="dxa"/>
            <w:vAlign w:val="bottom"/>
            <w:gridSpan w:val="2"/>
          </w:tcPr>
          <w:p>
            <w:pPr>
              <w:jc w:val="center"/>
              <w:ind w:left="278"/>
              <w:spacing w:after="0"/>
              <w:rPr>
                <w:sz w:val="20"/>
                <w:szCs w:val="20"/>
                <w:color w:val="auto"/>
              </w:rPr>
            </w:pPr>
            <w:r>
              <w:rPr>
                <w:rFonts w:ascii="Arial" w:cs="Arial" w:eastAsia="Arial" w:hAnsi="Arial"/>
                <w:sz w:val="14"/>
                <w:szCs w:val="14"/>
                <w:b w:val="1"/>
                <w:bCs w:val="1"/>
                <w:color w:val="auto"/>
                <w:w w:val="86"/>
              </w:rPr>
              <w:t>Example 2</w:t>
            </w:r>
          </w:p>
        </w:tc>
        <w:tc>
          <w:tcPr>
            <w:tcW w:w="4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80" w:type="dxa"/>
            <w:vAlign w:val="bottom"/>
            <w:gridSpan w:val="2"/>
          </w:tcPr>
          <w:p>
            <w:pPr>
              <w:jc w:val="center"/>
              <w:ind w:left="298"/>
              <w:spacing w:after="0"/>
              <w:rPr>
                <w:sz w:val="20"/>
                <w:szCs w:val="20"/>
                <w:color w:val="auto"/>
              </w:rPr>
            </w:pPr>
            <w:r>
              <w:rPr>
                <w:rFonts w:ascii="Arial" w:cs="Arial" w:eastAsia="Arial" w:hAnsi="Arial"/>
                <w:sz w:val="14"/>
                <w:szCs w:val="14"/>
                <w:b w:val="1"/>
                <w:bCs w:val="1"/>
                <w:color w:val="auto"/>
                <w:w w:val="86"/>
              </w:rPr>
              <w:t>Example 3</w:t>
            </w:r>
          </w:p>
        </w:tc>
        <w:tc>
          <w:tcPr>
            <w:tcW w:w="4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5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80" w:type="dxa"/>
            <w:vAlign w:val="bottom"/>
            <w:gridSpan w:val="2"/>
          </w:tcPr>
          <w:p>
            <w:pPr>
              <w:jc w:val="center"/>
              <w:ind w:left="278"/>
              <w:spacing w:after="0" w:line="149" w:lineRule="exact"/>
              <w:rPr>
                <w:sz w:val="20"/>
                <w:szCs w:val="20"/>
                <w:color w:val="auto"/>
              </w:rPr>
            </w:pPr>
            <w:r>
              <w:rPr>
                <w:rFonts w:ascii="Arial" w:cs="Arial" w:eastAsia="Arial" w:hAnsi="Arial"/>
                <w:sz w:val="14"/>
                <w:szCs w:val="14"/>
                <w:b w:val="1"/>
                <w:bCs w:val="1"/>
                <w:color w:val="auto"/>
                <w:w w:val="94"/>
              </w:rPr>
              <w:t>5% Offering</w:t>
            </w:r>
          </w:p>
        </w:tc>
        <w:tc>
          <w:tcPr>
            <w:tcW w:w="44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60" w:type="dxa"/>
            <w:vAlign w:val="bottom"/>
            <w:gridSpan w:val="2"/>
          </w:tcPr>
          <w:p>
            <w:pPr>
              <w:jc w:val="center"/>
              <w:ind w:left="278"/>
              <w:spacing w:after="0" w:line="149" w:lineRule="exact"/>
              <w:rPr>
                <w:sz w:val="20"/>
                <w:szCs w:val="20"/>
                <w:color w:val="auto"/>
              </w:rPr>
            </w:pPr>
            <w:r>
              <w:rPr>
                <w:rFonts w:ascii="Arial" w:cs="Arial" w:eastAsia="Arial" w:hAnsi="Arial"/>
                <w:sz w:val="14"/>
                <w:szCs w:val="14"/>
                <w:b w:val="1"/>
                <w:bCs w:val="1"/>
                <w:color w:val="auto"/>
                <w:w w:val="92"/>
              </w:rPr>
              <w:t>10% Offering</w:t>
            </w:r>
          </w:p>
        </w:tc>
        <w:tc>
          <w:tcPr>
            <w:tcW w:w="44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80" w:type="dxa"/>
            <w:vAlign w:val="bottom"/>
            <w:gridSpan w:val="2"/>
          </w:tcPr>
          <w:p>
            <w:pPr>
              <w:jc w:val="center"/>
              <w:ind w:left="298"/>
              <w:spacing w:after="0" w:line="149" w:lineRule="exact"/>
              <w:rPr>
                <w:sz w:val="20"/>
                <w:szCs w:val="20"/>
                <w:color w:val="auto"/>
              </w:rPr>
            </w:pPr>
            <w:r>
              <w:rPr>
                <w:rFonts w:ascii="Arial" w:cs="Arial" w:eastAsia="Arial" w:hAnsi="Arial"/>
                <w:sz w:val="14"/>
                <w:szCs w:val="14"/>
                <w:b w:val="1"/>
                <w:bCs w:val="1"/>
                <w:color w:val="auto"/>
                <w:w w:val="92"/>
              </w:rPr>
              <w:t>20% Offering</w:t>
            </w:r>
          </w:p>
        </w:tc>
        <w:tc>
          <w:tcPr>
            <w:tcW w:w="4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35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00" w:type="dxa"/>
            <w:vAlign w:val="bottom"/>
            <w:gridSpan w:val="3"/>
            <w:vMerge w:val="restart"/>
          </w:tcPr>
          <w:p>
            <w:pPr>
              <w:jc w:val="right"/>
              <w:ind w:right="340"/>
              <w:spacing w:after="0"/>
              <w:rPr>
                <w:sz w:val="20"/>
                <w:szCs w:val="20"/>
                <w:color w:val="auto"/>
              </w:rPr>
            </w:pPr>
            <w:r>
              <w:rPr>
                <w:rFonts w:ascii="Arial" w:cs="Arial" w:eastAsia="Arial" w:hAnsi="Arial"/>
                <w:sz w:val="14"/>
                <w:szCs w:val="14"/>
                <w:b w:val="1"/>
                <w:bCs w:val="1"/>
                <w:color w:val="auto"/>
                <w:w w:val="89"/>
              </w:rPr>
              <w:t>Prior to Sale</w:t>
            </w: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980" w:type="dxa"/>
            <w:vAlign w:val="bottom"/>
            <w:gridSpan w:val="4"/>
          </w:tcPr>
          <w:p>
            <w:pPr>
              <w:jc w:val="center"/>
              <w:ind w:right="440"/>
              <w:spacing w:after="0"/>
              <w:rPr>
                <w:sz w:val="20"/>
                <w:szCs w:val="20"/>
                <w:color w:val="auto"/>
              </w:rPr>
            </w:pPr>
            <w:r>
              <w:rPr>
                <w:rFonts w:ascii="Arial" w:cs="Arial" w:eastAsia="Arial" w:hAnsi="Arial"/>
                <w:sz w:val="14"/>
                <w:szCs w:val="14"/>
                <w:b w:val="1"/>
                <w:bCs w:val="1"/>
                <w:color w:val="auto"/>
                <w:w w:val="89"/>
              </w:rPr>
              <w:t>at 5% Discount</w:t>
            </w: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980" w:type="dxa"/>
            <w:vAlign w:val="bottom"/>
            <w:gridSpan w:val="4"/>
          </w:tcPr>
          <w:p>
            <w:pPr>
              <w:jc w:val="center"/>
              <w:ind w:right="460"/>
              <w:spacing w:after="0"/>
              <w:rPr>
                <w:sz w:val="20"/>
                <w:szCs w:val="20"/>
                <w:color w:val="auto"/>
              </w:rPr>
            </w:pPr>
            <w:r>
              <w:rPr>
                <w:rFonts w:ascii="Arial" w:cs="Arial" w:eastAsia="Arial" w:hAnsi="Arial"/>
                <w:sz w:val="14"/>
                <w:szCs w:val="14"/>
                <w:b w:val="1"/>
                <w:bCs w:val="1"/>
                <w:color w:val="auto"/>
                <w:w w:val="88"/>
              </w:rPr>
              <w:t>at 10% Discount</w:t>
            </w: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60" w:type="dxa"/>
            <w:vAlign w:val="bottom"/>
            <w:gridSpan w:val="4"/>
          </w:tcPr>
          <w:p>
            <w:pPr>
              <w:jc w:val="center"/>
              <w:ind w:right="300"/>
              <w:spacing w:after="0"/>
              <w:rPr>
                <w:sz w:val="20"/>
                <w:szCs w:val="20"/>
                <w:color w:val="auto"/>
              </w:rPr>
            </w:pPr>
            <w:r>
              <w:rPr>
                <w:rFonts w:ascii="Arial" w:cs="Arial" w:eastAsia="Arial" w:hAnsi="Arial"/>
                <w:sz w:val="14"/>
                <w:szCs w:val="14"/>
                <w:b w:val="1"/>
                <w:bCs w:val="1"/>
                <w:color w:val="auto"/>
                <w:w w:val="88"/>
              </w:rPr>
              <w:t>at 20% Discount</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35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100" w:type="dxa"/>
            <w:vAlign w:val="bottom"/>
            <w:gridSpan w:val="3"/>
            <w:vMerge w:val="continue"/>
          </w:tcPr>
          <w:p>
            <w:pPr>
              <w:spacing w:after="0"/>
              <w:rPr>
                <w:sz w:val="11"/>
                <w:szCs w:val="11"/>
                <w:color w:val="auto"/>
              </w:rPr>
            </w:pPr>
          </w:p>
        </w:tc>
        <w:tc>
          <w:tcPr>
            <w:tcW w:w="160" w:type="dxa"/>
            <w:vAlign w:val="bottom"/>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1180" w:type="dxa"/>
            <w:vAlign w:val="bottom"/>
            <w:tcBorders>
              <w:top w:val="single" w:sz="8" w:color="auto"/>
            </w:tcBorders>
            <w:gridSpan w:val="2"/>
          </w:tcPr>
          <w:p>
            <w:pPr>
              <w:jc w:val="right"/>
              <w:ind w:right="580"/>
              <w:spacing w:after="0" w:line="129" w:lineRule="exact"/>
              <w:rPr>
                <w:sz w:val="20"/>
                <w:szCs w:val="20"/>
                <w:color w:val="auto"/>
              </w:rPr>
            </w:pPr>
            <w:r>
              <w:rPr>
                <w:rFonts w:ascii="Arial" w:cs="Arial" w:eastAsia="Arial" w:hAnsi="Arial"/>
                <w:sz w:val="14"/>
                <w:szCs w:val="14"/>
                <w:b w:val="1"/>
                <w:bCs w:val="1"/>
                <w:color w:val="auto"/>
                <w:w w:val="88"/>
              </w:rPr>
              <w:t>Following</w:t>
            </w:r>
          </w:p>
        </w:tc>
        <w:tc>
          <w:tcPr>
            <w:tcW w:w="440" w:type="dxa"/>
            <w:vAlign w:val="bottom"/>
            <w:tcBorders>
              <w:top w:val="single" w:sz="8" w:color="auto"/>
            </w:tcBorders>
          </w:tcPr>
          <w:p>
            <w:pPr>
              <w:jc w:val="right"/>
              <w:ind w:right="75"/>
              <w:spacing w:after="0" w:line="129" w:lineRule="exact"/>
              <w:rPr>
                <w:sz w:val="20"/>
                <w:szCs w:val="20"/>
                <w:color w:val="auto"/>
              </w:rPr>
            </w:pPr>
            <w:r>
              <w:rPr>
                <w:rFonts w:ascii="Arial" w:cs="Arial" w:eastAsia="Arial" w:hAnsi="Arial"/>
                <w:sz w:val="14"/>
                <w:szCs w:val="14"/>
                <w:b w:val="1"/>
                <w:bCs w:val="1"/>
                <w:color w:val="auto"/>
              </w:rPr>
              <w:t>%</w:t>
            </w:r>
          </w:p>
        </w:tc>
        <w:tc>
          <w:tcPr>
            <w:tcW w:w="3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1160" w:type="dxa"/>
            <w:vAlign w:val="bottom"/>
            <w:tcBorders>
              <w:top w:val="single" w:sz="8" w:color="auto"/>
            </w:tcBorders>
            <w:gridSpan w:val="2"/>
          </w:tcPr>
          <w:p>
            <w:pPr>
              <w:jc w:val="right"/>
              <w:ind w:right="560"/>
              <w:spacing w:after="0" w:line="129" w:lineRule="exact"/>
              <w:rPr>
                <w:sz w:val="20"/>
                <w:szCs w:val="20"/>
                <w:color w:val="auto"/>
              </w:rPr>
            </w:pPr>
            <w:r>
              <w:rPr>
                <w:rFonts w:ascii="Arial" w:cs="Arial" w:eastAsia="Arial" w:hAnsi="Arial"/>
                <w:sz w:val="14"/>
                <w:szCs w:val="14"/>
                <w:b w:val="1"/>
                <w:bCs w:val="1"/>
                <w:color w:val="auto"/>
                <w:w w:val="88"/>
              </w:rPr>
              <w:t>Following</w:t>
            </w:r>
          </w:p>
        </w:tc>
        <w:tc>
          <w:tcPr>
            <w:tcW w:w="440" w:type="dxa"/>
            <w:vAlign w:val="bottom"/>
            <w:tcBorders>
              <w:top w:val="single" w:sz="8" w:color="auto"/>
            </w:tcBorders>
          </w:tcPr>
          <w:p>
            <w:pPr>
              <w:jc w:val="right"/>
              <w:ind w:right="55"/>
              <w:spacing w:after="0" w:line="129" w:lineRule="exact"/>
              <w:rPr>
                <w:sz w:val="20"/>
                <w:szCs w:val="20"/>
                <w:color w:val="auto"/>
              </w:rPr>
            </w:pPr>
            <w:r>
              <w:rPr>
                <w:rFonts w:ascii="Arial" w:cs="Arial" w:eastAsia="Arial" w:hAnsi="Arial"/>
                <w:sz w:val="14"/>
                <w:szCs w:val="14"/>
                <w:b w:val="1"/>
                <w:bCs w:val="1"/>
                <w:color w:val="auto"/>
              </w:rPr>
              <w:t>%</w:t>
            </w:r>
          </w:p>
        </w:tc>
        <w:tc>
          <w:tcPr>
            <w:tcW w:w="3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1180" w:type="dxa"/>
            <w:vAlign w:val="bottom"/>
            <w:tcBorders>
              <w:top w:val="single" w:sz="8" w:color="auto"/>
            </w:tcBorders>
            <w:gridSpan w:val="2"/>
          </w:tcPr>
          <w:p>
            <w:pPr>
              <w:jc w:val="right"/>
              <w:ind w:right="580"/>
              <w:spacing w:after="0" w:line="129" w:lineRule="exact"/>
              <w:rPr>
                <w:sz w:val="20"/>
                <w:szCs w:val="20"/>
                <w:color w:val="auto"/>
              </w:rPr>
            </w:pPr>
            <w:r>
              <w:rPr>
                <w:rFonts w:ascii="Arial" w:cs="Arial" w:eastAsia="Arial" w:hAnsi="Arial"/>
                <w:sz w:val="14"/>
                <w:szCs w:val="14"/>
                <w:b w:val="1"/>
                <w:bCs w:val="1"/>
                <w:color w:val="auto"/>
                <w:w w:val="88"/>
              </w:rPr>
              <w:t>Following</w:t>
            </w:r>
          </w:p>
        </w:tc>
        <w:tc>
          <w:tcPr>
            <w:tcW w:w="460" w:type="dxa"/>
            <w:vAlign w:val="bottom"/>
            <w:tcBorders>
              <w:top w:val="single" w:sz="8" w:color="auto"/>
            </w:tcBorders>
          </w:tcPr>
          <w:p>
            <w:pPr>
              <w:jc w:val="right"/>
              <w:ind w:right="75"/>
              <w:spacing w:after="0" w:line="129" w:lineRule="exact"/>
              <w:rPr>
                <w:sz w:val="20"/>
                <w:szCs w:val="20"/>
                <w:color w:val="auto"/>
              </w:rPr>
            </w:pPr>
            <w:r>
              <w:rPr>
                <w:rFonts w:ascii="Arial" w:cs="Arial" w:eastAsia="Arial" w:hAnsi="Arial"/>
                <w:sz w:val="14"/>
                <w:szCs w:val="14"/>
                <w:b w:val="1"/>
                <w:bCs w:val="1"/>
                <w:color w:val="auto"/>
              </w:rPr>
              <w:t>%</w:t>
            </w:r>
          </w:p>
        </w:tc>
        <w:tc>
          <w:tcPr>
            <w:tcW w:w="2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35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00" w:type="dxa"/>
            <w:vAlign w:val="bottom"/>
            <w:gridSpan w:val="3"/>
          </w:tcPr>
          <w:p>
            <w:pPr>
              <w:jc w:val="right"/>
              <w:ind w:right="360"/>
              <w:spacing w:after="0"/>
              <w:rPr>
                <w:sz w:val="20"/>
                <w:szCs w:val="20"/>
                <w:color w:val="auto"/>
              </w:rPr>
            </w:pPr>
            <w:r>
              <w:rPr>
                <w:rFonts w:ascii="Arial" w:cs="Arial" w:eastAsia="Arial" w:hAnsi="Arial"/>
                <w:sz w:val="14"/>
                <w:szCs w:val="14"/>
                <w:b w:val="1"/>
                <w:bCs w:val="1"/>
                <w:color w:val="auto"/>
                <w:w w:val="96"/>
              </w:rPr>
              <w:t>Below NAV</w:t>
            </w: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80" w:type="dxa"/>
            <w:vAlign w:val="bottom"/>
            <w:gridSpan w:val="2"/>
          </w:tcPr>
          <w:p>
            <w:pPr>
              <w:jc w:val="right"/>
              <w:ind w:right="740"/>
              <w:spacing w:after="0"/>
              <w:rPr>
                <w:sz w:val="20"/>
                <w:szCs w:val="20"/>
                <w:color w:val="auto"/>
              </w:rPr>
            </w:pPr>
            <w:r>
              <w:rPr>
                <w:rFonts w:ascii="Arial" w:cs="Arial" w:eastAsia="Arial" w:hAnsi="Arial"/>
                <w:sz w:val="14"/>
                <w:szCs w:val="14"/>
                <w:b w:val="1"/>
                <w:bCs w:val="1"/>
                <w:color w:val="auto"/>
              </w:rPr>
              <w:t>Sale</w:t>
            </w:r>
          </w:p>
        </w:tc>
        <w:tc>
          <w:tcPr>
            <w:tcW w:w="800" w:type="dxa"/>
            <w:vAlign w:val="bottom"/>
            <w:gridSpan w:val="2"/>
          </w:tcPr>
          <w:p>
            <w:pPr>
              <w:jc w:val="right"/>
              <w:ind w:right="360"/>
              <w:spacing w:after="0"/>
              <w:rPr>
                <w:sz w:val="20"/>
                <w:szCs w:val="20"/>
                <w:color w:val="auto"/>
              </w:rPr>
            </w:pPr>
            <w:r>
              <w:rPr>
                <w:rFonts w:ascii="Arial" w:cs="Arial" w:eastAsia="Arial" w:hAnsi="Arial"/>
                <w:sz w:val="14"/>
                <w:szCs w:val="14"/>
                <w:b w:val="1"/>
                <w:bCs w:val="1"/>
                <w:color w:val="auto"/>
                <w:w w:val="81"/>
              </w:rPr>
              <w:t>Change</w:t>
            </w: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60" w:type="dxa"/>
            <w:vAlign w:val="bottom"/>
            <w:gridSpan w:val="2"/>
          </w:tcPr>
          <w:p>
            <w:pPr>
              <w:jc w:val="right"/>
              <w:ind w:right="740"/>
              <w:spacing w:after="0"/>
              <w:rPr>
                <w:sz w:val="20"/>
                <w:szCs w:val="20"/>
                <w:color w:val="auto"/>
              </w:rPr>
            </w:pPr>
            <w:r>
              <w:rPr>
                <w:rFonts w:ascii="Arial" w:cs="Arial" w:eastAsia="Arial" w:hAnsi="Arial"/>
                <w:sz w:val="14"/>
                <w:szCs w:val="14"/>
                <w:b w:val="1"/>
                <w:bCs w:val="1"/>
                <w:color w:val="auto"/>
              </w:rPr>
              <w:t>Sale</w:t>
            </w:r>
          </w:p>
        </w:tc>
        <w:tc>
          <w:tcPr>
            <w:tcW w:w="820" w:type="dxa"/>
            <w:vAlign w:val="bottom"/>
            <w:gridSpan w:val="2"/>
          </w:tcPr>
          <w:p>
            <w:pPr>
              <w:jc w:val="right"/>
              <w:ind w:right="380"/>
              <w:spacing w:after="0"/>
              <w:rPr>
                <w:sz w:val="20"/>
                <w:szCs w:val="20"/>
                <w:color w:val="auto"/>
              </w:rPr>
            </w:pPr>
            <w:r>
              <w:rPr>
                <w:rFonts w:ascii="Arial" w:cs="Arial" w:eastAsia="Arial" w:hAnsi="Arial"/>
                <w:sz w:val="14"/>
                <w:szCs w:val="14"/>
                <w:b w:val="1"/>
                <w:bCs w:val="1"/>
                <w:color w:val="auto"/>
                <w:w w:val="81"/>
              </w:rPr>
              <w:t>Change</w:t>
            </w: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80" w:type="dxa"/>
            <w:vAlign w:val="bottom"/>
            <w:gridSpan w:val="2"/>
          </w:tcPr>
          <w:p>
            <w:pPr>
              <w:jc w:val="right"/>
              <w:ind w:right="740"/>
              <w:spacing w:after="0"/>
              <w:rPr>
                <w:sz w:val="20"/>
                <w:szCs w:val="20"/>
                <w:color w:val="auto"/>
              </w:rPr>
            </w:pPr>
            <w:r>
              <w:rPr>
                <w:rFonts w:ascii="Arial" w:cs="Arial" w:eastAsia="Arial" w:hAnsi="Arial"/>
                <w:sz w:val="14"/>
                <w:szCs w:val="14"/>
                <w:b w:val="1"/>
                <w:bCs w:val="1"/>
                <w:color w:val="auto"/>
              </w:rPr>
              <w:t>Sale</w:t>
            </w:r>
          </w:p>
        </w:tc>
        <w:tc>
          <w:tcPr>
            <w:tcW w:w="680" w:type="dxa"/>
            <w:vAlign w:val="bottom"/>
            <w:gridSpan w:val="2"/>
          </w:tcPr>
          <w:p>
            <w:pPr>
              <w:jc w:val="right"/>
              <w:ind w:right="220"/>
              <w:spacing w:after="0"/>
              <w:rPr>
                <w:sz w:val="20"/>
                <w:szCs w:val="20"/>
                <w:color w:val="auto"/>
              </w:rPr>
            </w:pPr>
            <w:r>
              <w:rPr>
                <w:rFonts w:ascii="Arial" w:cs="Arial" w:eastAsia="Arial" w:hAnsi="Arial"/>
                <w:sz w:val="14"/>
                <w:szCs w:val="14"/>
                <w:b w:val="1"/>
                <w:bCs w:val="1"/>
                <w:color w:val="auto"/>
                <w:w w:val="85"/>
              </w:rPr>
              <w:t>Change</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580" w:type="dxa"/>
            <w:vAlign w:val="bottom"/>
            <w:shd w:val="clear" w:color="auto" w:fill="CCEEFF"/>
          </w:tcPr>
          <w:p>
            <w:pPr>
              <w:spacing w:after="0"/>
              <w:rPr>
                <w:sz w:val="20"/>
                <w:szCs w:val="20"/>
                <w:color w:val="auto"/>
              </w:rPr>
            </w:pPr>
            <w:r>
              <w:rPr>
                <w:rFonts w:ascii="Arial" w:cs="Arial" w:eastAsia="Arial" w:hAnsi="Arial"/>
                <w:sz w:val="18"/>
                <w:szCs w:val="18"/>
                <w:b w:val="1"/>
                <w:bCs w:val="1"/>
                <w:i w:val="1"/>
                <w:iCs w:val="1"/>
                <w:color w:val="auto"/>
              </w:rPr>
              <w:t>Offering Price</w:t>
            </w:r>
          </w:p>
        </w:tc>
        <w:tc>
          <w:tcPr>
            <w:tcW w:w="16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440" w:type="dxa"/>
            <w:vAlign w:val="bottom"/>
            <w:tcBorders>
              <w:top w:val="single" w:sz="8" w:color="auto"/>
            </w:tcBorders>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440" w:type="dxa"/>
            <w:vAlign w:val="bottom"/>
            <w:tcBorders>
              <w:top w:val="single" w:sz="8" w:color="auto"/>
            </w:tcBorders>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46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80" w:type="dxa"/>
            <w:vAlign w:val="bottom"/>
          </w:tcPr>
          <w:p>
            <w:pPr>
              <w:spacing w:after="0"/>
              <w:rPr>
                <w:sz w:val="20"/>
                <w:szCs w:val="20"/>
                <w:color w:val="auto"/>
              </w:rPr>
            </w:pPr>
            <w:r>
              <w:rPr>
                <w:rFonts w:ascii="Arial" w:cs="Arial" w:eastAsia="Arial" w:hAnsi="Arial"/>
                <w:sz w:val="18"/>
                <w:szCs w:val="18"/>
                <w:color w:val="auto"/>
              </w:rPr>
              <w:t>Price per Share to Public</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gridSpan w:val="2"/>
          </w:tcPr>
          <w:p>
            <w:pPr>
              <w:jc w:val="right"/>
              <w:ind w:right="380"/>
              <w:spacing w:after="0"/>
              <w:rPr>
                <w:sz w:val="20"/>
                <w:szCs w:val="20"/>
                <w:color w:val="auto"/>
              </w:rPr>
            </w:pPr>
            <w:r>
              <w:rPr>
                <w:rFonts w:ascii="Arial" w:cs="Arial" w:eastAsia="Arial" w:hAnsi="Arial"/>
                <w:sz w:val="18"/>
                <w:szCs w:val="18"/>
                <w:color w:val="auto"/>
              </w:rPr>
              <w:t>—</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10.00</w:t>
            </w:r>
          </w:p>
        </w:tc>
        <w:tc>
          <w:tcPr>
            <w:tcW w:w="460" w:type="dxa"/>
            <w:vAlign w:val="bottom"/>
          </w:tcPr>
          <w:p>
            <w:pPr>
              <w:spacing w:after="0"/>
              <w:rPr>
                <w:sz w:val="18"/>
                <w:szCs w:val="18"/>
                <w:color w:val="auto"/>
              </w:rPr>
            </w:pPr>
          </w:p>
        </w:tc>
        <w:tc>
          <w:tcPr>
            <w:tcW w:w="800" w:type="dxa"/>
            <w:vAlign w:val="bottom"/>
            <w:gridSpan w:val="2"/>
          </w:tcPr>
          <w:p>
            <w:pPr>
              <w:jc w:val="right"/>
              <w:ind w:right="440"/>
              <w:spacing w:after="0"/>
              <w:rPr>
                <w:sz w:val="20"/>
                <w:szCs w:val="20"/>
                <w:color w:val="auto"/>
              </w:rPr>
            </w:pPr>
            <w:r>
              <w:rPr>
                <w:rFonts w:ascii="Arial" w:cs="Arial" w:eastAsia="Arial" w:hAnsi="Arial"/>
                <w:sz w:val="18"/>
                <w:szCs w:val="18"/>
                <w:color w:val="auto"/>
              </w:rPr>
              <w:t>—</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9.47</w:t>
            </w:r>
          </w:p>
        </w:tc>
        <w:tc>
          <w:tcPr>
            <w:tcW w:w="460" w:type="dxa"/>
            <w:vAlign w:val="bottom"/>
          </w:tcPr>
          <w:p>
            <w:pPr>
              <w:spacing w:after="0"/>
              <w:rPr>
                <w:sz w:val="18"/>
                <w:szCs w:val="18"/>
                <w:color w:val="auto"/>
              </w:rPr>
            </w:pPr>
          </w:p>
        </w:tc>
        <w:tc>
          <w:tcPr>
            <w:tcW w:w="820" w:type="dxa"/>
            <w:vAlign w:val="bottom"/>
            <w:gridSpan w:val="2"/>
          </w:tcPr>
          <w:p>
            <w:pPr>
              <w:jc w:val="right"/>
              <w:ind w:right="460"/>
              <w:spacing w:after="0"/>
              <w:rPr>
                <w:sz w:val="20"/>
                <w:szCs w:val="20"/>
                <w:color w:val="auto"/>
              </w:rPr>
            </w:pPr>
            <w:r>
              <w:rPr>
                <w:rFonts w:ascii="Arial" w:cs="Arial" w:eastAsia="Arial" w:hAnsi="Arial"/>
                <w:sz w:val="18"/>
                <w:szCs w:val="18"/>
                <w:color w:val="auto"/>
              </w:rPr>
              <w:t>—</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8.42</w:t>
            </w:r>
          </w:p>
        </w:tc>
        <w:tc>
          <w:tcPr>
            <w:tcW w:w="460" w:type="dxa"/>
            <w:vAlign w:val="bottom"/>
          </w:tcPr>
          <w:p>
            <w:pPr>
              <w:spacing w:after="0"/>
              <w:rPr>
                <w:sz w:val="18"/>
                <w:szCs w:val="18"/>
                <w:color w:val="auto"/>
              </w:rPr>
            </w:pPr>
          </w:p>
        </w:tc>
        <w:tc>
          <w:tcPr>
            <w:tcW w:w="68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80" w:type="dxa"/>
            <w:vAlign w:val="bottom"/>
            <w:shd w:val="clear" w:color="auto" w:fill="CCEEFF"/>
          </w:tcPr>
          <w:p>
            <w:pPr>
              <w:spacing w:after="0"/>
              <w:rPr>
                <w:sz w:val="20"/>
                <w:szCs w:val="20"/>
                <w:color w:val="auto"/>
              </w:rPr>
            </w:pPr>
            <w:r>
              <w:rPr>
                <w:rFonts w:ascii="Arial" w:cs="Arial" w:eastAsia="Arial" w:hAnsi="Arial"/>
                <w:sz w:val="18"/>
                <w:szCs w:val="18"/>
                <w:color w:val="auto"/>
              </w:rPr>
              <w:t>Net Proceeds per Share to Issuer</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9.50</w:t>
            </w:r>
          </w:p>
        </w:tc>
        <w:tc>
          <w:tcPr>
            <w:tcW w:w="46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9.00</w:t>
            </w:r>
          </w:p>
        </w:tc>
        <w:tc>
          <w:tcPr>
            <w:tcW w:w="46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8.00</w:t>
            </w:r>
          </w:p>
        </w:tc>
        <w:tc>
          <w:tcPr>
            <w:tcW w:w="46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322"/>
        </w:trPr>
        <w:tc>
          <w:tcPr>
            <w:tcW w:w="3600" w:type="dxa"/>
            <w:vAlign w:val="bottom"/>
            <w:gridSpan w:val="2"/>
          </w:tcPr>
          <w:p>
            <w:pPr>
              <w:spacing w:after="0"/>
              <w:rPr>
                <w:sz w:val="20"/>
                <w:szCs w:val="20"/>
                <w:color w:val="auto"/>
              </w:rPr>
            </w:pPr>
            <w:r>
              <w:rPr>
                <w:rFonts w:ascii="Arial" w:cs="Arial" w:eastAsia="Arial" w:hAnsi="Arial"/>
                <w:sz w:val="18"/>
                <w:szCs w:val="18"/>
                <w:b w:val="1"/>
                <w:bCs w:val="1"/>
                <w:i w:val="1"/>
                <w:iCs w:val="1"/>
                <w:color w:val="auto"/>
              </w:rPr>
              <w:t>Decrease to NAV</w:t>
            </w: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3580" w:type="dxa"/>
            <w:vAlign w:val="bottom"/>
            <w:shd w:val="clear" w:color="auto" w:fill="CCEEFF"/>
          </w:tcPr>
          <w:p>
            <w:pPr>
              <w:spacing w:after="0"/>
              <w:rPr>
                <w:sz w:val="20"/>
                <w:szCs w:val="20"/>
                <w:color w:val="auto"/>
              </w:rPr>
            </w:pPr>
            <w:r>
              <w:rPr>
                <w:rFonts w:ascii="Arial" w:cs="Arial" w:eastAsia="Arial" w:hAnsi="Arial"/>
                <w:sz w:val="18"/>
                <w:szCs w:val="18"/>
                <w:color w:val="auto"/>
              </w:rPr>
              <w:t>Total Shares Outstanding</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w w:val="84"/>
              </w:rPr>
              <w:t>1,000,000</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1,050,000</w:t>
            </w:r>
          </w:p>
        </w:tc>
        <w:tc>
          <w:tcPr>
            <w:tcW w:w="46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5.00%</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1,100,000</w:t>
            </w:r>
          </w:p>
        </w:tc>
        <w:tc>
          <w:tcPr>
            <w:tcW w:w="46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94"/>
              </w:rPr>
              <w:t>10.00%</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1,200,000</w:t>
            </w:r>
          </w:p>
        </w:tc>
        <w:tc>
          <w:tcPr>
            <w:tcW w:w="46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8"/>
              </w:rPr>
              <w:t>20.00%</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3580" w:type="dxa"/>
            <w:vAlign w:val="bottom"/>
          </w:tcPr>
          <w:p>
            <w:pPr>
              <w:spacing w:after="0"/>
              <w:rPr>
                <w:sz w:val="20"/>
                <w:szCs w:val="20"/>
                <w:color w:val="auto"/>
              </w:rPr>
            </w:pPr>
            <w:r>
              <w:rPr>
                <w:rFonts w:ascii="Arial" w:cs="Arial" w:eastAsia="Arial" w:hAnsi="Arial"/>
                <w:sz w:val="18"/>
                <w:szCs w:val="18"/>
                <w:color w:val="auto"/>
              </w:rPr>
              <w:t>NAV per Share</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300"/>
              <w:spacing w:after="0"/>
              <w:rPr>
                <w:sz w:val="20"/>
                <w:szCs w:val="20"/>
                <w:color w:val="auto"/>
              </w:rPr>
            </w:pPr>
            <w:r>
              <w:rPr>
                <w:rFonts w:ascii="Arial" w:cs="Arial" w:eastAsia="Arial" w:hAnsi="Arial"/>
                <w:sz w:val="18"/>
                <w:szCs w:val="18"/>
                <w:color w:val="auto"/>
              </w:rPr>
              <w:t>10.00</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9.98</w:t>
            </w:r>
          </w:p>
        </w:tc>
        <w:tc>
          <w:tcPr>
            <w:tcW w:w="460" w:type="dxa"/>
            <w:vAlign w:val="bottom"/>
          </w:tcPr>
          <w:p>
            <w:pPr>
              <w:spacing w:after="0"/>
              <w:rPr>
                <w:sz w:val="19"/>
                <w:szCs w:val="19"/>
                <w:color w:val="auto"/>
              </w:rPr>
            </w:pPr>
          </w:p>
        </w:tc>
        <w:tc>
          <w:tcPr>
            <w:tcW w:w="800" w:type="dxa"/>
            <w:vAlign w:val="bottom"/>
            <w:gridSpan w:val="2"/>
          </w:tcPr>
          <w:p>
            <w:pPr>
              <w:jc w:val="right"/>
              <w:ind w:right="160"/>
              <w:spacing w:after="0"/>
              <w:rPr>
                <w:sz w:val="20"/>
                <w:szCs w:val="20"/>
                <w:color w:val="auto"/>
              </w:rPr>
            </w:pPr>
            <w:r>
              <w:rPr>
                <w:rFonts w:ascii="Arial" w:cs="Arial" w:eastAsia="Arial" w:hAnsi="Arial"/>
                <w:sz w:val="18"/>
                <w:szCs w:val="18"/>
                <w:color w:val="auto"/>
                <w:w w:val="98"/>
              </w:rPr>
              <w:t>(0.20)%</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9.91</w:t>
            </w:r>
          </w:p>
        </w:tc>
        <w:tc>
          <w:tcPr>
            <w:tcW w:w="460" w:type="dxa"/>
            <w:vAlign w:val="bottom"/>
          </w:tcPr>
          <w:p>
            <w:pPr>
              <w:spacing w:after="0"/>
              <w:rPr>
                <w:sz w:val="19"/>
                <w:szCs w:val="19"/>
                <w:color w:val="auto"/>
              </w:rPr>
            </w:pPr>
          </w:p>
        </w:tc>
        <w:tc>
          <w:tcPr>
            <w:tcW w:w="820" w:type="dxa"/>
            <w:vAlign w:val="bottom"/>
            <w:gridSpan w:val="2"/>
          </w:tcPr>
          <w:p>
            <w:pPr>
              <w:jc w:val="right"/>
              <w:ind w:right="160"/>
              <w:spacing w:after="0"/>
              <w:rPr>
                <w:sz w:val="20"/>
                <w:szCs w:val="20"/>
                <w:color w:val="auto"/>
              </w:rPr>
            </w:pPr>
            <w:r>
              <w:rPr>
                <w:rFonts w:ascii="Arial" w:cs="Arial" w:eastAsia="Arial" w:hAnsi="Arial"/>
                <w:sz w:val="18"/>
                <w:szCs w:val="18"/>
                <w:color w:val="auto"/>
              </w:rPr>
              <w:t>(0.90)%</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9.67</w:t>
            </w:r>
          </w:p>
        </w:tc>
        <w:tc>
          <w:tcPr>
            <w:tcW w:w="460" w:type="dxa"/>
            <w:vAlign w:val="bottom"/>
          </w:tcPr>
          <w:p>
            <w:pPr>
              <w:spacing w:after="0"/>
              <w:rPr>
                <w:sz w:val="19"/>
                <w:szCs w:val="19"/>
                <w:color w:val="auto"/>
              </w:rPr>
            </w:pPr>
          </w:p>
        </w:tc>
        <w:tc>
          <w:tcPr>
            <w:tcW w:w="680" w:type="dxa"/>
            <w:vAlign w:val="bottom"/>
            <w:gridSpan w:val="2"/>
          </w:tcPr>
          <w:p>
            <w:pPr>
              <w:jc w:val="right"/>
              <w:ind w:right="20"/>
              <w:spacing w:after="0"/>
              <w:rPr>
                <w:sz w:val="20"/>
                <w:szCs w:val="20"/>
                <w:color w:val="auto"/>
              </w:rPr>
            </w:pPr>
            <w:r>
              <w:rPr>
                <w:rFonts w:ascii="Arial" w:cs="Arial" w:eastAsia="Arial" w:hAnsi="Arial"/>
                <w:sz w:val="18"/>
                <w:szCs w:val="18"/>
                <w:color w:val="auto"/>
              </w:rPr>
              <w:t>(3.30)%</w:t>
            </w: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3580" w:type="dxa"/>
            <w:vAlign w:val="bottom"/>
          </w:tcPr>
          <w:p>
            <w:pPr>
              <w:spacing w:after="0"/>
              <w:rPr>
                <w:sz w:val="8"/>
                <w:szCs w:val="8"/>
                <w:color w:val="auto"/>
              </w:rPr>
            </w:pPr>
          </w:p>
        </w:tc>
        <w:tc>
          <w:tcPr>
            <w:tcW w:w="160" w:type="dxa"/>
            <w:vAlign w:val="bottom"/>
          </w:tcPr>
          <w:p>
            <w:pPr>
              <w:spacing w:after="0"/>
              <w:rPr>
                <w:sz w:val="8"/>
                <w:szCs w:val="8"/>
                <w:color w:val="auto"/>
              </w:rPr>
            </w:pPr>
          </w:p>
        </w:tc>
        <w:tc>
          <w:tcPr>
            <w:tcW w:w="100" w:type="dxa"/>
            <w:vAlign w:val="bottom"/>
          </w:tcPr>
          <w:p>
            <w:pPr>
              <w:spacing w:after="0"/>
              <w:rPr>
                <w:sz w:val="8"/>
                <w:szCs w:val="8"/>
                <w:color w:val="auto"/>
              </w:rPr>
            </w:pPr>
          </w:p>
        </w:tc>
        <w:tc>
          <w:tcPr>
            <w:tcW w:w="700" w:type="dxa"/>
            <w:vAlign w:val="bottom"/>
          </w:tcPr>
          <w:p>
            <w:pPr>
              <w:spacing w:after="0"/>
              <w:rPr>
                <w:sz w:val="8"/>
                <w:szCs w:val="8"/>
                <w:color w:val="auto"/>
              </w:rPr>
            </w:pPr>
          </w:p>
        </w:tc>
        <w:tc>
          <w:tcPr>
            <w:tcW w:w="300" w:type="dxa"/>
            <w:vAlign w:val="bottom"/>
          </w:tcPr>
          <w:p>
            <w:pPr>
              <w:spacing w:after="0"/>
              <w:rPr>
                <w:sz w:val="8"/>
                <w:szCs w:val="8"/>
                <w:color w:val="auto"/>
              </w:rPr>
            </w:pPr>
          </w:p>
        </w:tc>
        <w:tc>
          <w:tcPr>
            <w:tcW w:w="160" w:type="dxa"/>
            <w:vAlign w:val="bottom"/>
          </w:tcPr>
          <w:p>
            <w:pPr>
              <w:spacing w:after="0"/>
              <w:rPr>
                <w:sz w:val="8"/>
                <w:szCs w:val="8"/>
                <w:color w:val="auto"/>
              </w:rPr>
            </w:pPr>
          </w:p>
        </w:tc>
        <w:tc>
          <w:tcPr>
            <w:tcW w:w="80" w:type="dxa"/>
            <w:vAlign w:val="bottom"/>
          </w:tcPr>
          <w:p>
            <w:pPr>
              <w:spacing w:after="0"/>
              <w:rPr>
                <w:sz w:val="8"/>
                <w:szCs w:val="8"/>
                <w:color w:val="auto"/>
              </w:rPr>
            </w:pPr>
          </w:p>
        </w:tc>
        <w:tc>
          <w:tcPr>
            <w:tcW w:w="720" w:type="dxa"/>
            <w:vAlign w:val="bottom"/>
          </w:tcPr>
          <w:p>
            <w:pPr>
              <w:spacing w:after="0"/>
              <w:rPr>
                <w:sz w:val="8"/>
                <w:szCs w:val="8"/>
                <w:color w:val="auto"/>
              </w:rPr>
            </w:pPr>
          </w:p>
        </w:tc>
        <w:tc>
          <w:tcPr>
            <w:tcW w:w="460" w:type="dxa"/>
            <w:vAlign w:val="bottom"/>
          </w:tcPr>
          <w:p>
            <w:pPr>
              <w:spacing w:after="0"/>
              <w:rPr>
                <w:sz w:val="8"/>
                <w:szCs w:val="8"/>
                <w:color w:val="auto"/>
              </w:rPr>
            </w:pPr>
          </w:p>
        </w:tc>
        <w:tc>
          <w:tcPr>
            <w:tcW w:w="440" w:type="dxa"/>
            <w:vAlign w:val="bottom"/>
          </w:tcPr>
          <w:p>
            <w:pPr>
              <w:spacing w:after="0"/>
              <w:rPr>
                <w:sz w:val="8"/>
                <w:szCs w:val="8"/>
                <w:color w:val="auto"/>
              </w:rPr>
            </w:pPr>
          </w:p>
        </w:tc>
        <w:tc>
          <w:tcPr>
            <w:tcW w:w="360" w:type="dxa"/>
            <w:vAlign w:val="bottom"/>
          </w:tcPr>
          <w:p>
            <w:pPr>
              <w:spacing w:after="0"/>
              <w:rPr>
                <w:sz w:val="8"/>
                <w:szCs w:val="8"/>
                <w:color w:val="auto"/>
              </w:rPr>
            </w:pPr>
          </w:p>
        </w:tc>
        <w:tc>
          <w:tcPr>
            <w:tcW w:w="160" w:type="dxa"/>
            <w:vAlign w:val="bottom"/>
          </w:tcPr>
          <w:p>
            <w:pPr>
              <w:spacing w:after="0"/>
              <w:rPr>
                <w:sz w:val="8"/>
                <w:szCs w:val="8"/>
                <w:color w:val="auto"/>
              </w:rPr>
            </w:pPr>
          </w:p>
        </w:tc>
        <w:tc>
          <w:tcPr>
            <w:tcW w:w="100" w:type="dxa"/>
            <w:vAlign w:val="bottom"/>
          </w:tcPr>
          <w:p>
            <w:pPr>
              <w:spacing w:after="0"/>
              <w:rPr>
                <w:sz w:val="8"/>
                <w:szCs w:val="8"/>
                <w:color w:val="auto"/>
              </w:rPr>
            </w:pPr>
          </w:p>
        </w:tc>
        <w:tc>
          <w:tcPr>
            <w:tcW w:w="700" w:type="dxa"/>
            <w:vAlign w:val="bottom"/>
          </w:tcPr>
          <w:p>
            <w:pPr>
              <w:spacing w:after="0"/>
              <w:rPr>
                <w:sz w:val="8"/>
                <w:szCs w:val="8"/>
                <w:color w:val="auto"/>
              </w:rPr>
            </w:pPr>
          </w:p>
        </w:tc>
        <w:tc>
          <w:tcPr>
            <w:tcW w:w="460" w:type="dxa"/>
            <w:vAlign w:val="bottom"/>
          </w:tcPr>
          <w:p>
            <w:pPr>
              <w:spacing w:after="0"/>
              <w:rPr>
                <w:sz w:val="8"/>
                <w:szCs w:val="8"/>
                <w:color w:val="auto"/>
              </w:rPr>
            </w:pPr>
          </w:p>
        </w:tc>
        <w:tc>
          <w:tcPr>
            <w:tcW w:w="440" w:type="dxa"/>
            <w:vAlign w:val="bottom"/>
          </w:tcPr>
          <w:p>
            <w:pPr>
              <w:spacing w:after="0"/>
              <w:rPr>
                <w:sz w:val="8"/>
                <w:szCs w:val="8"/>
                <w:color w:val="auto"/>
              </w:rPr>
            </w:pPr>
          </w:p>
        </w:tc>
        <w:tc>
          <w:tcPr>
            <w:tcW w:w="380" w:type="dxa"/>
            <w:vAlign w:val="bottom"/>
          </w:tcPr>
          <w:p>
            <w:pPr>
              <w:spacing w:after="0"/>
              <w:rPr>
                <w:sz w:val="8"/>
                <w:szCs w:val="8"/>
                <w:color w:val="auto"/>
              </w:rPr>
            </w:pPr>
          </w:p>
        </w:tc>
        <w:tc>
          <w:tcPr>
            <w:tcW w:w="160" w:type="dxa"/>
            <w:vAlign w:val="bottom"/>
          </w:tcPr>
          <w:p>
            <w:pPr>
              <w:spacing w:after="0"/>
              <w:rPr>
                <w:sz w:val="8"/>
                <w:szCs w:val="8"/>
                <w:color w:val="auto"/>
              </w:rPr>
            </w:pPr>
          </w:p>
        </w:tc>
        <w:tc>
          <w:tcPr>
            <w:tcW w:w="80" w:type="dxa"/>
            <w:vAlign w:val="bottom"/>
          </w:tcPr>
          <w:p>
            <w:pPr>
              <w:spacing w:after="0"/>
              <w:rPr>
                <w:sz w:val="8"/>
                <w:szCs w:val="8"/>
                <w:color w:val="auto"/>
              </w:rPr>
            </w:pPr>
          </w:p>
        </w:tc>
        <w:tc>
          <w:tcPr>
            <w:tcW w:w="720" w:type="dxa"/>
            <w:vAlign w:val="bottom"/>
          </w:tcPr>
          <w:p>
            <w:pPr>
              <w:spacing w:after="0"/>
              <w:rPr>
                <w:sz w:val="8"/>
                <w:szCs w:val="8"/>
                <w:color w:val="auto"/>
              </w:rPr>
            </w:pPr>
          </w:p>
        </w:tc>
        <w:tc>
          <w:tcPr>
            <w:tcW w:w="460" w:type="dxa"/>
            <w:vAlign w:val="bottom"/>
          </w:tcPr>
          <w:p>
            <w:pPr>
              <w:spacing w:after="0"/>
              <w:rPr>
                <w:sz w:val="8"/>
                <w:szCs w:val="8"/>
                <w:color w:val="auto"/>
              </w:rPr>
            </w:pPr>
          </w:p>
        </w:tc>
        <w:tc>
          <w:tcPr>
            <w:tcW w:w="460" w:type="dxa"/>
            <w:vAlign w:val="bottom"/>
          </w:tcPr>
          <w:p>
            <w:pPr>
              <w:spacing w:after="0"/>
              <w:rPr>
                <w:sz w:val="8"/>
                <w:szCs w:val="8"/>
                <w:color w:val="auto"/>
              </w:rPr>
            </w:pPr>
          </w:p>
        </w:tc>
        <w:tc>
          <w:tcPr>
            <w:tcW w:w="2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580" w:type="dxa"/>
            <w:vAlign w:val="bottom"/>
            <w:shd w:val="clear" w:color="auto" w:fill="CCEEFF"/>
          </w:tcPr>
          <w:p>
            <w:pPr>
              <w:spacing w:after="0"/>
              <w:rPr>
                <w:sz w:val="20"/>
                <w:szCs w:val="20"/>
                <w:color w:val="auto"/>
              </w:rPr>
            </w:pPr>
            <w:r>
              <w:rPr>
                <w:rFonts w:ascii="Arial" w:cs="Arial" w:eastAsia="Arial" w:hAnsi="Arial"/>
                <w:sz w:val="18"/>
                <w:szCs w:val="18"/>
                <w:b w:val="1"/>
                <w:bCs w:val="1"/>
                <w:i w:val="1"/>
                <w:iCs w:val="1"/>
                <w:color w:val="auto"/>
              </w:rPr>
              <w:t>Dilution to Stockholder</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80" w:type="dxa"/>
            <w:vAlign w:val="bottom"/>
          </w:tcPr>
          <w:p>
            <w:pPr>
              <w:spacing w:after="0"/>
              <w:rPr>
                <w:sz w:val="20"/>
                <w:szCs w:val="20"/>
                <w:color w:val="auto"/>
              </w:rPr>
            </w:pPr>
            <w:r>
              <w:rPr>
                <w:rFonts w:ascii="Arial" w:cs="Arial" w:eastAsia="Arial" w:hAnsi="Arial"/>
                <w:sz w:val="18"/>
                <w:szCs w:val="18"/>
                <w:color w:val="auto"/>
              </w:rPr>
              <w:t>Shares Held by Stockholder A</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gridSpan w:val="2"/>
          </w:tcPr>
          <w:p>
            <w:pPr>
              <w:jc w:val="right"/>
              <w:ind w:right="300"/>
              <w:spacing w:after="0"/>
              <w:rPr>
                <w:sz w:val="20"/>
                <w:szCs w:val="20"/>
                <w:color w:val="auto"/>
              </w:rPr>
            </w:pPr>
            <w:r>
              <w:rPr>
                <w:rFonts w:ascii="Arial" w:cs="Arial" w:eastAsia="Arial" w:hAnsi="Arial"/>
                <w:sz w:val="18"/>
                <w:szCs w:val="18"/>
                <w:color w:val="auto"/>
              </w:rPr>
              <w:t>10,000</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10,000</w:t>
            </w:r>
          </w:p>
        </w:tc>
        <w:tc>
          <w:tcPr>
            <w:tcW w:w="460" w:type="dxa"/>
            <w:vAlign w:val="bottom"/>
          </w:tcPr>
          <w:p>
            <w:pPr>
              <w:spacing w:after="0"/>
              <w:rPr>
                <w:sz w:val="18"/>
                <w:szCs w:val="18"/>
                <w:color w:val="auto"/>
              </w:rPr>
            </w:pPr>
          </w:p>
        </w:tc>
        <w:tc>
          <w:tcPr>
            <w:tcW w:w="800" w:type="dxa"/>
            <w:vAlign w:val="bottom"/>
            <w:gridSpan w:val="2"/>
          </w:tcPr>
          <w:p>
            <w:pPr>
              <w:jc w:val="right"/>
              <w:ind w:right="44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10,000</w:t>
            </w:r>
          </w:p>
        </w:tc>
        <w:tc>
          <w:tcPr>
            <w:tcW w:w="460" w:type="dxa"/>
            <w:vAlign w:val="bottom"/>
          </w:tcPr>
          <w:p>
            <w:pPr>
              <w:spacing w:after="0"/>
              <w:rPr>
                <w:sz w:val="18"/>
                <w:szCs w:val="18"/>
                <w:color w:val="auto"/>
              </w:rPr>
            </w:pPr>
          </w:p>
        </w:tc>
        <w:tc>
          <w:tcPr>
            <w:tcW w:w="820" w:type="dxa"/>
            <w:vAlign w:val="bottom"/>
            <w:gridSpan w:val="2"/>
          </w:tcPr>
          <w:p>
            <w:pPr>
              <w:jc w:val="right"/>
              <w:ind w:right="46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10,000</w:t>
            </w:r>
          </w:p>
        </w:tc>
        <w:tc>
          <w:tcPr>
            <w:tcW w:w="460" w:type="dxa"/>
            <w:vAlign w:val="bottom"/>
          </w:tcPr>
          <w:p>
            <w:pPr>
              <w:spacing w:after="0"/>
              <w:rPr>
                <w:sz w:val="18"/>
                <w:szCs w:val="18"/>
                <w:color w:val="auto"/>
              </w:rPr>
            </w:pPr>
          </w:p>
        </w:tc>
        <w:tc>
          <w:tcPr>
            <w:tcW w:w="68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80" w:type="dxa"/>
            <w:vAlign w:val="bottom"/>
            <w:shd w:val="clear" w:color="auto" w:fill="CCEEFF"/>
          </w:tcPr>
          <w:p>
            <w:pPr>
              <w:spacing w:after="0"/>
              <w:rPr>
                <w:sz w:val="20"/>
                <w:szCs w:val="20"/>
                <w:color w:val="auto"/>
              </w:rPr>
            </w:pPr>
            <w:r>
              <w:rPr>
                <w:rFonts w:ascii="Arial" w:cs="Arial" w:eastAsia="Arial" w:hAnsi="Arial"/>
                <w:sz w:val="18"/>
                <w:szCs w:val="18"/>
                <w:color w:val="auto"/>
              </w:rPr>
              <w:t>Percentage Held by Stockholder A</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1.0%</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0.95%</w:t>
            </w:r>
          </w:p>
        </w:tc>
        <w:tc>
          <w:tcPr>
            <w:tcW w:w="8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98"/>
              </w:rPr>
              <w:t>(4.76)%</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0.91%</w:t>
            </w:r>
          </w:p>
        </w:tc>
        <w:tc>
          <w:tcPr>
            <w:tcW w:w="8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(9.09)%</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0.83%</w:t>
            </w:r>
          </w:p>
        </w:tc>
        <w:tc>
          <w:tcPr>
            <w:tcW w:w="6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87"/>
              </w:rPr>
              <w:t>(16.67)%</w:t>
            </w:r>
          </w:p>
        </w:tc>
        <w:tc>
          <w:tcPr>
            <w:tcW w:w="0" w:type="dxa"/>
            <w:vAlign w:val="bottom"/>
          </w:tcPr>
          <w:p>
            <w:pPr>
              <w:spacing w:after="0"/>
              <w:rPr>
                <w:sz w:val="1"/>
                <w:szCs w:val="1"/>
                <w:color w:val="auto"/>
              </w:rPr>
            </w:pPr>
          </w:p>
        </w:tc>
      </w:tr>
      <w:tr>
        <w:trPr>
          <w:trHeight w:val="323"/>
        </w:trPr>
        <w:tc>
          <w:tcPr>
            <w:tcW w:w="3600" w:type="dxa"/>
            <w:vAlign w:val="bottom"/>
            <w:gridSpan w:val="2"/>
          </w:tcPr>
          <w:p>
            <w:pPr>
              <w:spacing w:after="0"/>
              <w:rPr>
                <w:sz w:val="20"/>
                <w:szCs w:val="20"/>
                <w:color w:val="auto"/>
              </w:rPr>
            </w:pPr>
            <w:r>
              <w:rPr>
                <w:rFonts w:ascii="Arial" w:cs="Arial" w:eastAsia="Arial" w:hAnsi="Arial"/>
                <w:sz w:val="18"/>
                <w:szCs w:val="18"/>
                <w:b w:val="1"/>
                <w:bCs w:val="1"/>
                <w:color w:val="auto"/>
              </w:rPr>
              <w:t>Total Asset Values</w:t>
            </w: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35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Total NAV Held by Stockholder A</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100,000</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99,800</w:t>
            </w:r>
          </w:p>
        </w:tc>
        <w:tc>
          <w:tcPr>
            <w:tcW w:w="46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98"/>
              </w:rPr>
              <w:t>(0.20)%</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99,100</w:t>
            </w:r>
          </w:p>
        </w:tc>
        <w:tc>
          <w:tcPr>
            <w:tcW w:w="46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(0.90)%</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96,700</w:t>
            </w:r>
          </w:p>
        </w:tc>
        <w:tc>
          <w:tcPr>
            <w:tcW w:w="46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(3.30)%</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3580" w:type="dxa"/>
            <w:vAlign w:val="bottom"/>
          </w:tcPr>
          <w:p>
            <w:pPr>
              <w:ind w:left="420"/>
              <w:spacing w:after="0"/>
              <w:rPr>
                <w:sz w:val="20"/>
                <w:szCs w:val="20"/>
                <w:color w:val="auto"/>
              </w:rPr>
            </w:pPr>
            <w:r>
              <w:rPr>
                <w:rFonts w:ascii="Arial" w:cs="Arial" w:eastAsia="Arial" w:hAnsi="Arial"/>
                <w:sz w:val="18"/>
                <w:szCs w:val="18"/>
                <w:color w:val="auto"/>
              </w:rPr>
              <w:t>Total Investment by Stockholder A</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580" w:type="dxa"/>
            <w:vAlign w:val="bottom"/>
          </w:tcPr>
          <w:p>
            <w:pPr>
              <w:ind w:left="640"/>
              <w:spacing w:after="0"/>
              <w:rPr>
                <w:sz w:val="20"/>
                <w:szCs w:val="20"/>
                <w:color w:val="auto"/>
              </w:rPr>
            </w:pPr>
            <w:r>
              <w:rPr>
                <w:rFonts w:ascii="Arial" w:cs="Arial" w:eastAsia="Arial" w:hAnsi="Arial"/>
                <w:sz w:val="18"/>
                <w:szCs w:val="18"/>
                <w:color w:val="auto"/>
              </w:rPr>
              <w:t>(Assumed to be $10.00 per Share)</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300"/>
              <w:spacing w:after="0"/>
              <w:rPr>
                <w:sz w:val="20"/>
                <w:szCs w:val="20"/>
                <w:color w:val="auto"/>
              </w:rPr>
            </w:pPr>
            <w:r>
              <w:rPr>
                <w:rFonts w:ascii="Arial" w:cs="Arial" w:eastAsia="Arial" w:hAnsi="Arial"/>
                <w:sz w:val="18"/>
                <w:szCs w:val="18"/>
                <w:color w:val="auto"/>
              </w:rPr>
              <w:t>100,000</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100,000</w:t>
            </w:r>
          </w:p>
        </w:tc>
        <w:tc>
          <w:tcPr>
            <w:tcW w:w="460" w:type="dxa"/>
            <w:vAlign w:val="bottom"/>
          </w:tcPr>
          <w:p>
            <w:pPr>
              <w:spacing w:after="0"/>
              <w:rPr>
                <w:sz w:val="19"/>
                <w:szCs w:val="19"/>
                <w:color w:val="auto"/>
              </w:rPr>
            </w:pPr>
          </w:p>
        </w:tc>
        <w:tc>
          <w:tcPr>
            <w:tcW w:w="800" w:type="dxa"/>
            <w:vAlign w:val="bottom"/>
            <w:gridSpan w:val="2"/>
          </w:tcPr>
          <w:p>
            <w:pPr>
              <w:jc w:val="right"/>
              <w:ind w:right="440"/>
              <w:spacing w:after="0"/>
              <w:rPr>
                <w:sz w:val="20"/>
                <w:szCs w:val="20"/>
                <w:color w:val="auto"/>
              </w:rPr>
            </w:pPr>
            <w:r>
              <w:rPr>
                <w:rFonts w:ascii="Arial" w:cs="Arial" w:eastAsia="Arial" w:hAnsi="Arial"/>
                <w:sz w:val="18"/>
                <w:szCs w:val="18"/>
                <w:color w:val="auto"/>
              </w:rPr>
              <w:t>—</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100,000</w:t>
            </w:r>
          </w:p>
        </w:tc>
        <w:tc>
          <w:tcPr>
            <w:tcW w:w="460" w:type="dxa"/>
            <w:vAlign w:val="bottom"/>
          </w:tcPr>
          <w:p>
            <w:pPr>
              <w:spacing w:after="0"/>
              <w:rPr>
                <w:sz w:val="19"/>
                <w:szCs w:val="19"/>
                <w:color w:val="auto"/>
              </w:rPr>
            </w:pPr>
          </w:p>
        </w:tc>
        <w:tc>
          <w:tcPr>
            <w:tcW w:w="820" w:type="dxa"/>
            <w:vAlign w:val="bottom"/>
            <w:gridSpan w:val="2"/>
          </w:tcPr>
          <w:p>
            <w:pPr>
              <w:jc w:val="right"/>
              <w:ind w:right="460"/>
              <w:spacing w:after="0"/>
              <w:rPr>
                <w:sz w:val="20"/>
                <w:szCs w:val="20"/>
                <w:color w:val="auto"/>
              </w:rPr>
            </w:pPr>
            <w:r>
              <w:rPr>
                <w:rFonts w:ascii="Arial" w:cs="Arial" w:eastAsia="Arial" w:hAnsi="Arial"/>
                <w:sz w:val="18"/>
                <w:szCs w:val="18"/>
                <w:color w:val="auto"/>
              </w:rPr>
              <w:t>—</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100,000</w:t>
            </w:r>
          </w:p>
        </w:tc>
        <w:tc>
          <w:tcPr>
            <w:tcW w:w="460" w:type="dxa"/>
            <w:vAlign w:val="bottom"/>
          </w:tcPr>
          <w:p>
            <w:pPr>
              <w:spacing w:after="0"/>
              <w:rPr>
                <w:sz w:val="19"/>
                <w:szCs w:val="19"/>
                <w:color w:val="auto"/>
              </w:rPr>
            </w:pPr>
          </w:p>
        </w:tc>
        <w:tc>
          <w:tcPr>
            <w:tcW w:w="68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35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Total Dilution to Stockholder A (Total</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3580" w:type="dxa"/>
            <w:vAlign w:val="bottom"/>
            <w:shd w:val="clear" w:color="auto" w:fill="CCEEFF"/>
          </w:tcPr>
          <w:p>
            <w:pPr>
              <w:ind w:left="640"/>
              <w:spacing w:after="0"/>
              <w:rPr>
                <w:sz w:val="20"/>
                <w:szCs w:val="20"/>
                <w:color w:val="auto"/>
              </w:rPr>
            </w:pPr>
            <w:r>
              <w:rPr>
                <w:rFonts w:ascii="Arial" w:cs="Arial" w:eastAsia="Arial" w:hAnsi="Arial"/>
                <w:sz w:val="18"/>
                <w:szCs w:val="18"/>
                <w:color w:val="auto"/>
              </w:rPr>
              <w:t>NAV Less Total Investment)</w:t>
            </w:r>
          </w:p>
        </w:tc>
        <w:tc>
          <w:tcPr>
            <w:tcW w:w="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8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(200)</w:t>
            </w:r>
          </w:p>
        </w:tc>
        <w:tc>
          <w:tcPr>
            <w:tcW w:w="80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(900)</w:t>
            </w:r>
          </w:p>
        </w:tc>
        <w:tc>
          <w:tcPr>
            <w:tcW w:w="82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8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(3,300)</w:t>
            </w:r>
          </w:p>
        </w:tc>
        <w:tc>
          <w:tcPr>
            <w:tcW w:w="6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323"/>
        </w:trPr>
        <w:tc>
          <w:tcPr>
            <w:tcW w:w="3600" w:type="dxa"/>
            <w:vAlign w:val="bottom"/>
            <w:gridSpan w:val="2"/>
          </w:tcPr>
          <w:p>
            <w:pPr>
              <w:spacing w:after="0"/>
              <w:rPr>
                <w:sz w:val="20"/>
                <w:szCs w:val="20"/>
                <w:color w:val="auto"/>
              </w:rPr>
            </w:pPr>
            <w:r>
              <w:rPr>
                <w:rFonts w:ascii="Arial" w:cs="Arial" w:eastAsia="Arial" w:hAnsi="Arial"/>
                <w:sz w:val="18"/>
                <w:szCs w:val="18"/>
                <w:b w:val="1"/>
                <w:bCs w:val="1"/>
                <w:color w:val="auto"/>
              </w:rPr>
              <w:t>Per Share Amounts</w:t>
            </w: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35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NAV per Share Held by Stockholder A</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9.98</w:t>
            </w:r>
          </w:p>
        </w:tc>
        <w:tc>
          <w:tcPr>
            <w:tcW w:w="46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9.91</w:t>
            </w:r>
          </w:p>
        </w:tc>
        <w:tc>
          <w:tcPr>
            <w:tcW w:w="46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9.67</w:t>
            </w:r>
          </w:p>
        </w:tc>
        <w:tc>
          <w:tcPr>
            <w:tcW w:w="46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3580" w:type="dxa"/>
            <w:vAlign w:val="bottom"/>
          </w:tcPr>
          <w:p>
            <w:pPr>
              <w:ind w:left="420"/>
              <w:spacing w:after="0"/>
              <w:rPr>
                <w:sz w:val="20"/>
                <w:szCs w:val="20"/>
                <w:color w:val="auto"/>
              </w:rPr>
            </w:pPr>
            <w:r>
              <w:rPr>
                <w:rFonts w:ascii="Arial" w:cs="Arial" w:eastAsia="Arial" w:hAnsi="Arial"/>
                <w:sz w:val="18"/>
                <w:szCs w:val="18"/>
                <w:color w:val="auto"/>
                <w:w w:val="92"/>
              </w:rPr>
              <w:t>Investment per Share Held by Stockholder</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80" w:type="dxa"/>
            <w:vAlign w:val="bottom"/>
          </w:tcPr>
          <w:p>
            <w:pPr>
              <w:ind w:left="640"/>
              <w:spacing w:after="0"/>
              <w:rPr>
                <w:sz w:val="20"/>
                <w:szCs w:val="20"/>
                <w:color w:val="auto"/>
              </w:rPr>
            </w:pPr>
            <w:r>
              <w:rPr>
                <w:rFonts w:ascii="Arial" w:cs="Arial" w:eastAsia="Arial" w:hAnsi="Arial"/>
                <w:sz w:val="18"/>
                <w:szCs w:val="18"/>
                <w:color w:val="auto"/>
                <w:w w:val="93"/>
              </w:rPr>
              <w:t>A (Assumed to be $10.00 per Share on</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580" w:type="dxa"/>
            <w:vAlign w:val="bottom"/>
          </w:tcPr>
          <w:p>
            <w:pPr>
              <w:ind w:left="640"/>
              <w:spacing w:after="0"/>
              <w:rPr>
                <w:sz w:val="20"/>
                <w:szCs w:val="20"/>
                <w:color w:val="auto"/>
              </w:rPr>
            </w:pPr>
            <w:r>
              <w:rPr>
                <w:rFonts w:ascii="Arial" w:cs="Arial" w:eastAsia="Arial" w:hAnsi="Arial"/>
                <w:sz w:val="18"/>
                <w:szCs w:val="18"/>
                <w:color w:val="auto"/>
              </w:rPr>
              <w:t>Shares Held Prior to Sale)</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300"/>
              <w:spacing w:after="0"/>
              <w:rPr>
                <w:sz w:val="20"/>
                <w:szCs w:val="20"/>
                <w:color w:val="auto"/>
              </w:rPr>
            </w:pPr>
            <w:r>
              <w:rPr>
                <w:rFonts w:ascii="Arial" w:cs="Arial" w:eastAsia="Arial" w:hAnsi="Arial"/>
                <w:sz w:val="18"/>
                <w:szCs w:val="18"/>
                <w:color w:val="auto"/>
              </w:rPr>
              <w:t>10.00</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10.00</w:t>
            </w:r>
          </w:p>
        </w:tc>
        <w:tc>
          <w:tcPr>
            <w:tcW w:w="460" w:type="dxa"/>
            <w:vAlign w:val="bottom"/>
          </w:tcPr>
          <w:p>
            <w:pPr>
              <w:spacing w:after="0"/>
              <w:rPr>
                <w:sz w:val="19"/>
                <w:szCs w:val="19"/>
                <w:color w:val="auto"/>
              </w:rPr>
            </w:pPr>
          </w:p>
        </w:tc>
        <w:tc>
          <w:tcPr>
            <w:tcW w:w="80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10.00</w:t>
            </w:r>
          </w:p>
        </w:tc>
        <w:tc>
          <w:tcPr>
            <w:tcW w:w="460" w:type="dxa"/>
            <w:vAlign w:val="bottom"/>
          </w:tcPr>
          <w:p>
            <w:pPr>
              <w:spacing w:after="0"/>
              <w:rPr>
                <w:sz w:val="19"/>
                <w:szCs w:val="19"/>
                <w:color w:val="auto"/>
              </w:rPr>
            </w:pPr>
          </w:p>
        </w:tc>
        <w:tc>
          <w:tcPr>
            <w:tcW w:w="820" w:type="dxa"/>
            <w:vAlign w:val="bottom"/>
            <w:gridSpan w:val="2"/>
          </w:tcPr>
          <w:p>
            <w:pPr>
              <w:jc w:val="right"/>
              <w:ind w:right="380"/>
              <w:spacing w:after="0"/>
              <w:rPr>
                <w:sz w:val="20"/>
                <w:szCs w:val="20"/>
                <w:color w:val="auto"/>
              </w:rPr>
            </w:pPr>
            <w:r>
              <w:rPr>
                <w:rFonts w:ascii="Arial" w:cs="Arial" w:eastAsia="Arial" w:hAnsi="Arial"/>
                <w:sz w:val="18"/>
                <w:szCs w:val="18"/>
                <w:color w:val="auto"/>
              </w:rPr>
              <w:t>—</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10.00</w:t>
            </w:r>
          </w:p>
        </w:tc>
        <w:tc>
          <w:tcPr>
            <w:tcW w:w="460" w:type="dxa"/>
            <w:vAlign w:val="bottom"/>
          </w:tcPr>
          <w:p>
            <w:pPr>
              <w:spacing w:after="0"/>
              <w:rPr>
                <w:sz w:val="19"/>
                <w:szCs w:val="19"/>
                <w:color w:val="auto"/>
              </w:rPr>
            </w:pPr>
          </w:p>
        </w:tc>
        <w:tc>
          <w:tcPr>
            <w:tcW w:w="6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3580" w:type="dxa"/>
            <w:vAlign w:val="bottom"/>
            <w:shd w:val="clear" w:color="auto" w:fill="CCEEFF"/>
          </w:tcPr>
          <w:p>
            <w:pPr>
              <w:ind w:left="420"/>
              <w:spacing w:after="0"/>
              <w:rPr>
                <w:sz w:val="20"/>
                <w:szCs w:val="20"/>
                <w:color w:val="auto"/>
              </w:rPr>
            </w:pPr>
            <w:r>
              <w:rPr>
                <w:rFonts w:ascii="Arial" w:cs="Arial" w:eastAsia="Arial" w:hAnsi="Arial"/>
                <w:sz w:val="18"/>
                <w:szCs w:val="18"/>
                <w:color w:val="auto"/>
                <w:w w:val="95"/>
              </w:rPr>
              <w:t>Dilution per Share Held by Stockholder A</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80" w:type="dxa"/>
            <w:vAlign w:val="bottom"/>
            <w:shd w:val="clear" w:color="auto" w:fill="CCEEFF"/>
          </w:tcPr>
          <w:p>
            <w:pPr>
              <w:ind w:left="640"/>
              <w:spacing w:after="0"/>
              <w:rPr>
                <w:sz w:val="20"/>
                <w:szCs w:val="20"/>
                <w:color w:val="auto"/>
              </w:rPr>
            </w:pPr>
            <w:r>
              <w:rPr>
                <w:rFonts w:ascii="Arial" w:cs="Arial" w:eastAsia="Arial" w:hAnsi="Arial"/>
                <w:sz w:val="18"/>
                <w:szCs w:val="18"/>
                <w:color w:val="auto"/>
                <w:w w:val="99"/>
              </w:rPr>
              <w:t>(NAV per Share Less Investment per</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3580" w:type="dxa"/>
            <w:vAlign w:val="bottom"/>
            <w:shd w:val="clear" w:color="auto" w:fill="CCEEFF"/>
          </w:tcPr>
          <w:p>
            <w:pPr>
              <w:ind w:left="640"/>
              <w:spacing w:after="0"/>
              <w:rPr>
                <w:sz w:val="20"/>
                <w:szCs w:val="20"/>
                <w:color w:val="auto"/>
              </w:rPr>
            </w:pPr>
            <w:r>
              <w:rPr>
                <w:rFonts w:ascii="Arial" w:cs="Arial" w:eastAsia="Arial" w:hAnsi="Arial"/>
                <w:sz w:val="18"/>
                <w:szCs w:val="18"/>
                <w:color w:val="auto"/>
              </w:rPr>
              <w:t>Share)</w:t>
            </w:r>
          </w:p>
        </w:tc>
        <w:tc>
          <w:tcPr>
            <w:tcW w:w="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8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(0.02)</w:t>
            </w:r>
          </w:p>
        </w:tc>
        <w:tc>
          <w:tcPr>
            <w:tcW w:w="80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(0.09)</w:t>
            </w:r>
          </w:p>
        </w:tc>
        <w:tc>
          <w:tcPr>
            <w:tcW w:w="82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8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(0.33)</w:t>
            </w:r>
          </w:p>
        </w:tc>
        <w:tc>
          <w:tcPr>
            <w:tcW w:w="6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3580" w:type="dxa"/>
            <w:vAlign w:val="bottom"/>
          </w:tcPr>
          <w:p>
            <w:pPr>
              <w:ind w:left="420"/>
              <w:spacing w:after="0"/>
              <w:rPr>
                <w:sz w:val="20"/>
                <w:szCs w:val="20"/>
                <w:color w:val="auto"/>
              </w:rPr>
            </w:pPr>
            <w:r>
              <w:rPr>
                <w:rFonts w:ascii="Arial" w:cs="Arial" w:eastAsia="Arial" w:hAnsi="Arial"/>
                <w:sz w:val="18"/>
                <w:szCs w:val="18"/>
                <w:color w:val="auto"/>
              </w:rPr>
              <w:t>Percentage Dilution to Stockholder A</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80" w:type="dxa"/>
            <w:vAlign w:val="bottom"/>
          </w:tcPr>
          <w:p>
            <w:pPr>
              <w:ind w:left="640"/>
              <w:spacing w:after="0"/>
              <w:rPr>
                <w:sz w:val="20"/>
                <w:szCs w:val="20"/>
                <w:color w:val="auto"/>
              </w:rPr>
            </w:pPr>
            <w:r>
              <w:rPr>
                <w:rFonts w:ascii="Arial" w:cs="Arial" w:eastAsia="Arial" w:hAnsi="Arial"/>
                <w:sz w:val="18"/>
                <w:szCs w:val="18"/>
                <w:color w:val="auto"/>
              </w:rPr>
              <w:t>(Dilution per Share Divided by</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3580" w:type="dxa"/>
            <w:vAlign w:val="bottom"/>
          </w:tcPr>
          <w:p>
            <w:pPr>
              <w:ind w:left="640"/>
              <w:spacing w:after="0"/>
              <w:rPr>
                <w:sz w:val="20"/>
                <w:szCs w:val="20"/>
                <w:color w:val="auto"/>
              </w:rPr>
            </w:pPr>
            <w:r>
              <w:rPr>
                <w:rFonts w:ascii="Arial" w:cs="Arial" w:eastAsia="Arial" w:hAnsi="Arial"/>
                <w:sz w:val="18"/>
                <w:szCs w:val="18"/>
                <w:color w:val="auto"/>
              </w:rPr>
              <w:t>Investment per Share)</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0" w:type="dxa"/>
            <w:vAlign w:val="bottom"/>
            <w:gridSpan w:val="2"/>
          </w:tcPr>
          <w:p>
            <w:pPr>
              <w:jc w:val="right"/>
              <w:ind w:right="38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180" w:type="dxa"/>
            <w:vAlign w:val="bottom"/>
            <w:gridSpan w:val="2"/>
          </w:tcPr>
          <w:p>
            <w:pPr>
              <w:jc w:val="right"/>
              <w:ind w:right="560"/>
              <w:spacing w:after="0"/>
              <w:rPr>
                <w:sz w:val="20"/>
                <w:szCs w:val="20"/>
                <w:color w:val="auto"/>
              </w:rPr>
            </w:pPr>
            <w:r>
              <w:rPr>
                <w:rFonts w:ascii="Arial" w:cs="Arial" w:eastAsia="Arial" w:hAnsi="Arial"/>
                <w:sz w:val="18"/>
                <w:szCs w:val="18"/>
                <w:color w:val="auto"/>
              </w:rPr>
              <w:t>—</w:t>
            </w:r>
          </w:p>
        </w:tc>
        <w:tc>
          <w:tcPr>
            <w:tcW w:w="800" w:type="dxa"/>
            <w:vAlign w:val="bottom"/>
            <w:gridSpan w:val="2"/>
          </w:tcPr>
          <w:p>
            <w:pPr>
              <w:jc w:val="right"/>
              <w:ind w:right="160"/>
              <w:spacing w:after="0"/>
              <w:rPr>
                <w:sz w:val="20"/>
                <w:szCs w:val="20"/>
                <w:color w:val="auto"/>
              </w:rPr>
            </w:pPr>
            <w:r>
              <w:rPr>
                <w:rFonts w:ascii="Arial" w:cs="Arial" w:eastAsia="Arial" w:hAnsi="Arial"/>
                <w:sz w:val="18"/>
                <w:szCs w:val="18"/>
                <w:color w:val="auto"/>
                <w:w w:val="98"/>
              </w:rPr>
              <w:t>(0.20)%</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60" w:type="dxa"/>
            <w:vAlign w:val="bottom"/>
            <w:gridSpan w:val="2"/>
          </w:tcPr>
          <w:p>
            <w:pPr>
              <w:jc w:val="right"/>
              <w:ind w:right="540"/>
              <w:spacing w:after="0"/>
              <w:rPr>
                <w:sz w:val="20"/>
                <w:szCs w:val="20"/>
                <w:color w:val="auto"/>
              </w:rPr>
            </w:pPr>
            <w:r>
              <w:rPr>
                <w:rFonts w:ascii="Arial" w:cs="Arial" w:eastAsia="Arial" w:hAnsi="Arial"/>
                <w:sz w:val="18"/>
                <w:szCs w:val="18"/>
                <w:color w:val="auto"/>
              </w:rPr>
              <w:t>—</w:t>
            </w:r>
          </w:p>
        </w:tc>
        <w:tc>
          <w:tcPr>
            <w:tcW w:w="820" w:type="dxa"/>
            <w:vAlign w:val="bottom"/>
            <w:gridSpan w:val="2"/>
          </w:tcPr>
          <w:p>
            <w:pPr>
              <w:jc w:val="right"/>
              <w:ind w:right="160"/>
              <w:spacing w:after="0"/>
              <w:rPr>
                <w:sz w:val="20"/>
                <w:szCs w:val="20"/>
                <w:color w:val="auto"/>
              </w:rPr>
            </w:pPr>
            <w:r>
              <w:rPr>
                <w:rFonts w:ascii="Arial" w:cs="Arial" w:eastAsia="Arial" w:hAnsi="Arial"/>
                <w:sz w:val="18"/>
                <w:szCs w:val="18"/>
                <w:color w:val="auto"/>
              </w:rPr>
              <w:t>(0.90)%</w:t>
            </w: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180" w:type="dxa"/>
            <w:vAlign w:val="bottom"/>
            <w:gridSpan w:val="2"/>
          </w:tcPr>
          <w:p>
            <w:pPr>
              <w:jc w:val="right"/>
              <w:ind w:right="560"/>
              <w:spacing w:after="0"/>
              <w:rPr>
                <w:sz w:val="20"/>
                <w:szCs w:val="20"/>
                <w:color w:val="auto"/>
              </w:rPr>
            </w:pPr>
            <w:r>
              <w:rPr>
                <w:rFonts w:ascii="Arial" w:cs="Arial" w:eastAsia="Arial" w:hAnsi="Arial"/>
                <w:sz w:val="18"/>
                <w:szCs w:val="18"/>
                <w:color w:val="auto"/>
              </w:rPr>
              <w:t>—</w:t>
            </w:r>
          </w:p>
        </w:tc>
        <w:tc>
          <w:tcPr>
            <w:tcW w:w="680" w:type="dxa"/>
            <w:vAlign w:val="bottom"/>
            <w:gridSpan w:val="2"/>
          </w:tcPr>
          <w:p>
            <w:pPr>
              <w:jc w:val="right"/>
              <w:ind w:right="20"/>
              <w:spacing w:after="0"/>
              <w:rPr>
                <w:sz w:val="20"/>
                <w:szCs w:val="20"/>
                <w:color w:val="auto"/>
              </w:rPr>
            </w:pPr>
            <w:r>
              <w:rPr>
                <w:rFonts w:ascii="Arial" w:cs="Arial" w:eastAsia="Arial" w:hAnsi="Arial"/>
                <w:sz w:val="18"/>
                <w:szCs w:val="18"/>
                <w:color w:val="auto"/>
              </w:rPr>
              <w:t>(3.30)%</w:t>
            </w:r>
          </w:p>
        </w:tc>
        <w:tc>
          <w:tcPr>
            <w:tcW w:w="0" w:type="dxa"/>
            <w:vAlign w:val="bottom"/>
          </w:tcPr>
          <w:p>
            <w:pPr>
              <w:spacing w:after="0"/>
              <w:rPr>
                <w:sz w:val="1"/>
                <w:szCs w:val="1"/>
                <w:color w:val="auto"/>
              </w:rPr>
            </w:pPr>
          </w:p>
        </w:tc>
      </w:tr>
      <w:tr>
        <w:trPr>
          <w:trHeight w:val="365"/>
        </w:trPr>
        <w:tc>
          <w:tcPr>
            <w:tcW w:w="20" w:type="dxa"/>
            <w:vAlign w:val="bottom"/>
          </w:tcPr>
          <w:p>
            <w:pPr>
              <w:spacing w:after="0"/>
              <w:rPr>
                <w:sz w:val="24"/>
                <w:szCs w:val="24"/>
                <w:color w:val="auto"/>
              </w:rPr>
            </w:pPr>
          </w:p>
        </w:tc>
        <w:tc>
          <w:tcPr>
            <w:tcW w:w="35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23</w:t>
            </w:r>
          </w:p>
        </w:tc>
        <w:tc>
          <w:tcPr>
            <w:tcW w:w="4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280" w:right="239" w:bottom="1440" w:gutter="0" w:footer="0" w:header="0"/>
        </w:sectPr>
      </w:pPr>
    </w:p>
    <w:bookmarkStart w:id="26" w:name="page27"/>
    <w:bookmarkEnd w:id="26"/>
    <w:p>
      <w:pPr>
        <w:ind w:right="200" w:firstLine="456"/>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The discount to NAV is a result of market perception that moves the share price and thus NAV is only one determinant of market value. We expect the market price of shares of Common Stock will incorporate a discount or premium factor based on the market assessment of future earnings and the likelihood of those earnings supporting growth in our dividend yield.</w:t>
      </w:r>
    </w:p>
    <w:p>
      <w:pPr>
        <w:spacing w:after="0" w:line="140"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Notwithstanding the dilutive effect of any equity financing on our NAV, the Board has considered our need to obtain additional capital for investment and other factors discussed in this proxy statement. With more capital to invest, the Board believes that we would be able to make investments with more significant earnings and growth potential. The Board further believes that over time the value of the incremental assets available for investment, taken together with the other factors previously discussed, may be reflected positively in the market price of our shares and that such increases may exceed the initial dilutive effects that we are likely to experience in our NAV due to offerings of shares of our Common Stock in accordance with this proposal. In our view, the secondary market price of our Common Stock is an important gauge of the true economic impact on Stockholders of any equity offering.</w:t>
      </w:r>
    </w:p>
    <w:p>
      <w:pPr>
        <w:spacing w:after="0" w:line="20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i w:val="1"/>
          <w:iCs w:val="1"/>
          <w:color w:val="auto"/>
        </w:rPr>
        <w:t>Other Considerations</w:t>
      </w:r>
    </w:p>
    <w:p>
      <w:pPr>
        <w:spacing w:after="0" w:line="90" w:lineRule="exact"/>
        <w:rPr>
          <w:sz w:val="20"/>
          <w:szCs w:val="20"/>
          <w:color w:val="auto"/>
        </w:rPr>
      </w:pPr>
    </w:p>
    <w:p>
      <w:pPr>
        <w:ind w:right="40" w:firstLine="456"/>
        <w:spacing w:after="0" w:line="294" w:lineRule="auto"/>
        <w:rPr>
          <w:sz w:val="20"/>
          <w:szCs w:val="20"/>
          <w:color w:val="auto"/>
        </w:rPr>
      </w:pPr>
      <w:r>
        <w:rPr>
          <w:rFonts w:ascii="Arial" w:cs="Arial" w:eastAsia="Arial" w:hAnsi="Arial"/>
          <w:sz w:val="16"/>
          <w:szCs w:val="16"/>
          <w:color w:val="auto"/>
        </w:rPr>
        <w:t>In reaching its recommendation to the Stockholders to approve Proposal 3, the Board considered a possible source of conflict of interest due to the fact that the proceeds from the issuance of additional shares of our Common Stock will increase the management fees that we pay to the Investment Adviser as such fees are partially based on the amount of our gross assets. The Board and the Independent Directors concluded that the benefits to the Stockholders from increasing our capital base outweighed any detriment from increased management fees, especially considering that the management fees would increase regardless of whether we offer shares of Common Stock below NAV or above NAV. The Board also considered the effect of the following factors:</w:t>
      </w:r>
    </w:p>
    <w:p>
      <w:pPr>
        <w:spacing w:after="0" w:line="35" w:lineRule="exact"/>
        <w:rPr>
          <w:sz w:val="20"/>
          <w:szCs w:val="20"/>
          <w:color w:val="auto"/>
        </w:rPr>
      </w:pPr>
    </w:p>
    <w:p>
      <w:pPr>
        <w:ind w:left="900" w:right="500" w:hanging="325"/>
        <w:spacing w:after="0" w:line="268" w:lineRule="auto"/>
        <w:tabs>
          <w:tab w:leader="none" w:pos="9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costs and benefits of a Common Stock offering below NAV compared to other possible means for raising capital or concluding not to raise capital;</w:t>
      </w:r>
    </w:p>
    <w:p>
      <w:pPr>
        <w:spacing w:after="0" w:line="50" w:lineRule="exact"/>
        <w:rPr>
          <w:rFonts w:ascii="Arial" w:cs="Arial" w:eastAsia="Arial" w:hAnsi="Arial"/>
          <w:sz w:val="18"/>
          <w:szCs w:val="18"/>
          <w:color w:val="auto"/>
        </w:rPr>
      </w:pPr>
    </w:p>
    <w:p>
      <w:pPr>
        <w:ind w:left="900" w:hanging="325"/>
        <w:spacing w:after="0"/>
        <w:tabs>
          <w:tab w:leader="none" w:pos="9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size of a Common Stock offering in relation to the number of shares outstanding;</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general condition of the securities markets; and</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any impact on operating expenses associated with an increase in capital.</w:t>
      </w:r>
    </w:p>
    <w:p>
      <w:pPr>
        <w:spacing w:after="0" w:line="252"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i w:val="1"/>
          <w:iCs w:val="1"/>
          <w:color w:val="auto"/>
        </w:rPr>
        <w:t>Potential Investors</w:t>
      </w:r>
    </w:p>
    <w:p>
      <w:pPr>
        <w:spacing w:after="0" w:line="90" w:lineRule="exact"/>
        <w:rPr>
          <w:sz w:val="20"/>
          <w:szCs w:val="20"/>
          <w:color w:val="auto"/>
        </w:rPr>
      </w:pPr>
    </w:p>
    <w:p>
      <w:pPr>
        <w:ind w:right="320" w:firstLine="456"/>
        <w:spacing w:after="0" w:line="259" w:lineRule="auto"/>
        <w:rPr>
          <w:sz w:val="20"/>
          <w:szCs w:val="20"/>
          <w:color w:val="auto"/>
        </w:rPr>
      </w:pPr>
      <w:r>
        <w:rPr>
          <w:rFonts w:ascii="Arial" w:cs="Arial" w:eastAsia="Arial" w:hAnsi="Arial"/>
          <w:sz w:val="18"/>
          <w:szCs w:val="18"/>
          <w:color w:val="auto"/>
        </w:rPr>
        <w:t>Presently, we have not solicited any potential buyers of the shares that we may elect to issue in any future offering to comply with the federal securities laws. No shares are earmarked for management or other affiliated persons of us. However, members of our management and other affiliated persons may participate in a Common Stock offering on the same terms as others.</w:t>
      </w:r>
    </w:p>
    <w:p>
      <w:pPr>
        <w:spacing w:after="0" w:line="2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i w:val="1"/>
          <w:iCs w:val="1"/>
          <w:color w:val="auto"/>
        </w:rPr>
        <w:t>Required Stockholder Vote</w:t>
      </w:r>
    </w:p>
    <w:p>
      <w:pPr>
        <w:spacing w:after="0" w:line="90" w:lineRule="exact"/>
        <w:rPr>
          <w:sz w:val="20"/>
          <w:szCs w:val="20"/>
          <w:color w:val="auto"/>
        </w:rPr>
      </w:pPr>
    </w:p>
    <w:p>
      <w:pPr>
        <w:jc w:val="both"/>
        <w:ind w:right="260" w:firstLine="456"/>
        <w:spacing w:after="0" w:line="306" w:lineRule="auto"/>
        <w:rPr>
          <w:sz w:val="20"/>
          <w:szCs w:val="20"/>
          <w:color w:val="auto"/>
        </w:rPr>
      </w:pPr>
      <w:r>
        <w:rPr>
          <w:rFonts w:ascii="Arial" w:cs="Arial" w:eastAsia="Arial" w:hAnsi="Arial"/>
          <w:sz w:val="16"/>
          <w:szCs w:val="16"/>
          <w:color w:val="auto"/>
        </w:rPr>
        <w:t>If the Stockholders approve this proposal, during a one-year period commencing on the date of such approval, we will be permitted, but not required or otherwise obligated, to offer and sell newly issued shares of our Common Stock at a price below NAV at the time sold. The Board believes that the proposal is important because of the flexibility it would provide in raising additional capital even if our Common Stock is trading at prices below NAV.</w:t>
      </w:r>
    </w:p>
    <w:p>
      <w:pPr>
        <w:spacing w:after="0" w:line="107" w:lineRule="exact"/>
        <w:rPr>
          <w:sz w:val="20"/>
          <w:szCs w:val="20"/>
          <w:color w:val="auto"/>
        </w:rPr>
      </w:pPr>
    </w:p>
    <w:p>
      <w:pPr>
        <w:ind w:left="460"/>
        <w:spacing w:after="0"/>
        <w:rPr>
          <w:sz w:val="20"/>
          <w:szCs w:val="20"/>
          <w:color w:val="auto"/>
        </w:rPr>
      </w:pPr>
      <w:r>
        <w:rPr>
          <w:rFonts w:ascii="Arial" w:cs="Arial" w:eastAsia="Arial" w:hAnsi="Arial"/>
          <w:sz w:val="16"/>
          <w:szCs w:val="16"/>
          <w:color w:val="auto"/>
        </w:rPr>
        <w:t>Approval of this proposal requires the affirmative vote of (1) a majority of the outstanding shares of our Common Stock entitled to vote at the Meeting and</w:t>
      </w:r>
    </w:p>
    <w:p>
      <w:pPr>
        <w:spacing w:after="0" w:line="38" w:lineRule="exact"/>
        <w:rPr>
          <w:sz w:val="20"/>
          <w:szCs w:val="20"/>
          <w:color w:val="auto"/>
        </w:rPr>
      </w:pPr>
    </w:p>
    <w:p>
      <w:pPr>
        <w:ind w:right="340" w:firstLine="8"/>
        <w:spacing w:after="0" w:line="323" w:lineRule="auto"/>
        <w:tabs>
          <w:tab w:leader="none" w:pos="249" w:val="left"/>
        </w:tabs>
        <w:numPr>
          <w:ilvl w:val="0"/>
          <w:numId w:val="22"/>
        </w:numPr>
        <w:rPr>
          <w:rFonts w:ascii="Arial" w:cs="Arial" w:eastAsia="Arial" w:hAnsi="Arial"/>
          <w:sz w:val="16"/>
          <w:szCs w:val="16"/>
          <w:color w:val="auto"/>
        </w:rPr>
      </w:pPr>
      <w:r>
        <w:rPr>
          <w:rFonts w:ascii="Arial" w:cs="Arial" w:eastAsia="Arial" w:hAnsi="Arial"/>
          <w:sz w:val="16"/>
          <w:szCs w:val="16"/>
          <w:color w:val="auto"/>
        </w:rPr>
        <w:t>a majority of the outstanding shares of our Common Stock entitled to vote at the Meeting that are not held by affiliated persons of us. For purposes of this proposal, the 1940 Act, defines “a majority of the outstanding voting securities of a company” as: (1) 67% or more of the</w:t>
      </w:r>
    </w:p>
    <w:p>
      <w:pPr>
        <w:spacing w:after="0" w:line="7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400"/>
          </w:cols>
          <w:pgMar w:left="240" w:top="280" w:right="259" w:bottom="1440" w:gutter="0" w:footer="0" w:header="0"/>
        </w:sectPr>
      </w:pPr>
    </w:p>
    <w:bookmarkStart w:id="27" w:name="page28"/>
    <w:bookmarkEnd w:id="27"/>
    <w:p>
      <w:pPr>
        <w:jc w:val="both"/>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voting securities present at the Meeting if the holders of more than 50% of the outstanding voting securities of such company are present or represented by proxy or (2) more than 50% of the outstanding voting securities of such company, whichever is the less. Abstentions and broker non-votes will have the effect of a vote against this proposal.</w:t>
      </w:r>
    </w:p>
    <w:p>
      <w:pPr>
        <w:spacing w:after="0" w:line="134" w:lineRule="exact"/>
        <w:rPr>
          <w:sz w:val="20"/>
          <w:szCs w:val="20"/>
          <w:color w:val="auto"/>
        </w:rPr>
      </w:pPr>
    </w:p>
    <w:p>
      <w:pPr>
        <w:ind w:right="60" w:firstLine="456"/>
        <w:spacing w:after="0" w:line="275" w:lineRule="auto"/>
        <w:rPr>
          <w:sz w:val="20"/>
          <w:szCs w:val="20"/>
          <w:color w:val="auto"/>
        </w:rPr>
      </w:pPr>
      <w:r>
        <w:rPr>
          <w:rFonts w:ascii="Arial" w:cs="Arial" w:eastAsia="Arial" w:hAnsi="Arial"/>
          <w:sz w:val="18"/>
          <w:szCs w:val="18"/>
          <w:b w:val="1"/>
          <w:bCs w:val="1"/>
          <w:color w:val="auto"/>
        </w:rPr>
        <w:t>The Board, including its Independent Directors, unanimously recommends that each Stockholder vote FOR this proposal to authorize us to offer and sell shares of our Common Stock at a price below current NAV.</w:t>
      </w:r>
    </w:p>
    <w:p>
      <w:pPr>
        <w:spacing w:after="0" w:line="112"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340"/>
          </w:cols>
          <w:pgMar w:left="240" w:top="280" w:right="319" w:bottom="1440" w:gutter="0" w:footer="0" w:header="0"/>
        </w:sectPr>
      </w:pPr>
    </w:p>
    <w:bookmarkStart w:id="28" w:name="page29"/>
    <w:bookmarkEnd w:id="28"/>
    <w:p>
      <w:pPr>
        <w:jc w:val="center"/>
        <w:ind w:right="-19"/>
        <w:spacing w:after="0"/>
        <w:rPr>
          <w:sz w:val="20"/>
          <w:szCs w:val="20"/>
          <w:color w:val="auto"/>
        </w:rPr>
      </w:pPr>
      <w:r>
        <w:rPr>
          <w:rFonts w:ascii="Arial" w:cs="Arial" w:eastAsia="Arial" w:hAnsi="Arial"/>
          <w:sz w:val="18"/>
          <w:szCs w:val="18"/>
          <w:b w:val="1"/>
          <w:bCs w:val="1"/>
          <w:i w:val="1"/>
          <w:i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OTHER BUSINESS</w:t>
      </w:r>
    </w:p>
    <w:p>
      <w:pPr>
        <w:spacing w:after="0" w:line="171" w:lineRule="exact"/>
        <w:rPr>
          <w:sz w:val="20"/>
          <w:szCs w:val="20"/>
          <w:color w:val="auto"/>
        </w:rPr>
      </w:pPr>
    </w:p>
    <w:p>
      <w:pPr>
        <w:ind w:right="560" w:firstLine="456"/>
        <w:spacing w:after="0" w:line="268" w:lineRule="auto"/>
        <w:rPr>
          <w:sz w:val="20"/>
          <w:szCs w:val="20"/>
          <w:color w:val="auto"/>
        </w:rPr>
      </w:pPr>
      <w:r>
        <w:rPr>
          <w:rFonts w:ascii="Arial" w:cs="Arial" w:eastAsia="Arial" w:hAnsi="Arial"/>
          <w:sz w:val="18"/>
          <w:szCs w:val="18"/>
          <w:color w:val="auto"/>
        </w:rPr>
        <w:t>The Board knows of no other matter that is likely to come before the Meeting. However, if any other matter properly comes before the Meeting, the individuals named as proxy holders will vote in accordance with their discretion on such matters.</w:t>
      </w:r>
    </w:p>
    <w:p>
      <w:pPr>
        <w:spacing w:after="0" w:line="132"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If there appears not to be enough votes for a quorum or to approve the proposals at the Meeting the Stockholders who are represented in person or by proxy may vote to adjourn the Meeting to permit the further solicitation of proxies. The person(s) named as proxies will vote proxies held by them for such adjournment.</w:t>
      </w:r>
    </w:p>
    <w:p>
      <w:pPr>
        <w:spacing w:after="0" w:line="302"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i w:val="1"/>
          <w:iCs w:val="1"/>
          <w:color w:val="auto"/>
        </w:rPr>
        <w:t>ANNUAL AND QUARTERLY REPORTS</w:t>
      </w:r>
    </w:p>
    <w:p>
      <w:pPr>
        <w:spacing w:after="0" w:line="171" w:lineRule="exact"/>
        <w:rPr>
          <w:sz w:val="20"/>
          <w:szCs w:val="20"/>
          <w:color w:val="auto"/>
        </w:rPr>
      </w:pPr>
    </w:p>
    <w:p>
      <w:pPr>
        <w:ind w:right="360" w:firstLine="456"/>
        <w:spacing w:after="0" w:line="306" w:lineRule="auto"/>
        <w:rPr>
          <w:sz w:val="20"/>
          <w:szCs w:val="20"/>
          <w:color w:val="auto"/>
        </w:rPr>
      </w:pPr>
      <w:r>
        <w:rPr>
          <w:rFonts w:ascii="Arial" w:cs="Arial" w:eastAsia="Arial" w:hAnsi="Arial"/>
          <w:sz w:val="16"/>
          <w:szCs w:val="16"/>
          <w:color w:val="auto"/>
        </w:rPr>
        <w:t xml:space="preserve">Copies of our Annual Report on Form 10-K, Quarterly Reports on Form 10-Q and Current Reports on Form 8-K are available at our website at </w:t>
      </w:r>
      <w:r>
        <w:rPr>
          <w:rFonts w:ascii="Arial" w:cs="Arial" w:eastAsia="Arial" w:hAnsi="Arial"/>
          <w:sz w:val="16"/>
          <w:szCs w:val="16"/>
          <w:i w:val="1"/>
          <w:iCs w:val="1"/>
          <w:color w:val="auto"/>
        </w:rPr>
        <w:t xml:space="preserve">www.pennantpark.com </w:t>
      </w:r>
      <w:r>
        <w:rPr>
          <w:rFonts w:ascii="Arial" w:cs="Arial" w:eastAsia="Arial" w:hAnsi="Arial"/>
          <w:sz w:val="16"/>
          <w:szCs w:val="16"/>
          <w:color w:val="auto"/>
        </w:rPr>
        <w:t>or without charge upon request. Please direct your request to PennantPark Investment Corporation, Attention: Investor Relations, 590</w:t>
      </w:r>
      <w:r>
        <w:rPr>
          <w:rFonts w:ascii="Arial" w:cs="Arial" w:eastAsia="Arial" w:hAnsi="Arial"/>
          <w:sz w:val="16"/>
          <w:szCs w:val="16"/>
          <w:i w:val="1"/>
          <w:iCs w:val="1"/>
          <w:color w:val="auto"/>
        </w:rPr>
        <w:t xml:space="preserve"> </w:t>
      </w:r>
      <w:r>
        <w:rPr>
          <w:rFonts w:ascii="Arial" w:cs="Arial" w:eastAsia="Arial" w:hAnsi="Arial"/>
          <w:sz w:val="16"/>
          <w:szCs w:val="16"/>
          <w:color w:val="auto"/>
        </w:rPr>
        <w:t>Madison Avenue, 15</w:t>
      </w:r>
      <w:r>
        <w:rPr>
          <w:rFonts w:ascii="Arial" w:cs="Arial" w:eastAsia="Arial" w:hAnsi="Arial"/>
          <w:sz w:val="10"/>
          <w:szCs w:val="10"/>
          <w:color w:val="auto"/>
        </w:rPr>
        <w:t>th</w:t>
      </w:r>
      <w:r>
        <w:rPr>
          <w:rFonts w:ascii="Arial" w:cs="Arial" w:eastAsia="Arial" w:hAnsi="Arial"/>
          <w:sz w:val="16"/>
          <w:szCs w:val="16"/>
          <w:color w:val="auto"/>
        </w:rPr>
        <w:t xml:space="preserve"> Floor, New York, New York 10022. Copies of such reports are also posted via EDGAR on the SEC’s website at </w:t>
      </w:r>
      <w:r>
        <w:rPr>
          <w:rFonts w:ascii="Arial" w:cs="Arial" w:eastAsia="Arial" w:hAnsi="Arial"/>
          <w:sz w:val="16"/>
          <w:szCs w:val="16"/>
          <w:i w:val="1"/>
          <w:iCs w:val="1"/>
          <w:color w:val="auto"/>
        </w:rPr>
        <w:t>www.sec.gov</w:t>
      </w:r>
      <w:r>
        <w:rPr>
          <w:rFonts w:ascii="Arial" w:cs="Arial" w:eastAsia="Arial" w:hAnsi="Arial"/>
          <w:sz w:val="16"/>
          <w:szCs w:val="16"/>
          <w:color w:val="auto"/>
        </w:rPr>
        <w:t>.</w:t>
      </w:r>
    </w:p>
    <w:p>
      <w:pPr>
        <w:spacing w:after="0" w:line="30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i w:val="1"/>
          <w:iCs w:val="1"/>
          <w:color w:val="auto"/>
        </w:rPr>
        <w:t>SUBMISSION OF STOCKHOLDER PROPOSALS</w:t>
      </w:r>
    </w:p>
    <w:p>
      <w:pPr>
        <w:spacing w:after="0" w:line="171" w:lineRule="exact"/>
        <w:rPr>
          <w:sz w:val="20"/>
          <w:szCs w:val="20"/>
          <w:color w:val="auto"/>
        </w:rPr>
      </w:pPr>
    </w:p>
    <w:p>
      <w:pPr>
        <w:ind w:firstLine="456"/>
        <w:spacing w:after="0" w:line="254" w:lineRule="auto"/>
        <w:rPr>
          <w:sz w:val="20"/>
          <w:szCs w:val="20"/>
          <w:color w:val="auto"/>
        </w:rPr>
      </w:pPr>
      <w:r>
        <w:rPr>
          <w:rFonts w:ascii="Arial" w:cs="Arial" w:eastAsia="Arial" w:hAnsi="Arial"/>
          <w:sz w:val="18"/>
          <w:szCs w:val="18"/>
          <w:color w:val="auto"/>
        </w:rPr>
        <w:t xml:space="preserve">The submission of a proposal does not guarantee its inclusion in the Company’s proxy statement or presentation at the Meeting unless certain securities law requirements are met. The Company expects that the 2011 Annual Meeting of Stockholders will be held in February 2011, but the exact date, time, and location of such meeting have yet to be determined. A stockholder who intends to present a proposal at that annual meeting, including nomination of a director, must submit the proposal in writing addressed to Thomas Friedmann, Secretary, c/o PennantPark Investment Corporation, 590 Madison Avenue, 15 </w:t>
      </w:r>
      <w:r>
        <w:rPr>
          <w:rFonts w:ascii="Arial" w:cs="Arial" w:eastAsia="Arial" w:hAnsi="Arial"/>
          <w:sz w:val="11"/>
          <w:szCs w:val="11"/>
          <w:color w:val="auto"/>
        </w:rPr>
        <w:t>th</w:t>
      </w:r>
      <w:r>
        <w:rPr>
          <w:rFonts w:ascii="Arial" w:cs="Arial" w:eastAsia="Arial" w:hAnsi="Arial"/>
          <w:sz w:val="18"/>
          <w:szCs w:val="18"/>
          <w:color w:val="auto"/>
        </w:rPr>
        <w:t xml:space="preserve"> Floor, New York, New York 10022. The Company must receive the proposal no later than August 23, 2010, in order for the proposal to be considered for inclusion in the Company’s proxy statement for that meeting.</w:t>
      </w:r>
    </w:p>
    <w:p>
      <w:pPr>
        <w:spacing w:after="0" w:line="185" w:lineRule="exact"/>
        <w:rPr>
          <w:sz w:val="20"/>
          <w:szCs w:val="20"/>
          <w:color w:val="auto"/>
        </w:rPr>
      </w:pPr>
    </w:p>
    <w:p>
      <w:pPr>
        <w:ind w:right="220" w:firstLine="456"/>
        <w:spacing w:after="0" w:line="298" w:lineRule="auto"/>
        <w:rPr>
          <w:sz w:val="20"/>
          <w:szCs w:val="20"/>
          <w:color w:val="auto"/>
        </w:rPr>
      </w:pPr>
      <w:r>
        <w:rPr>
          <w:rFonts w:ascii="Arial" w:cs="Arial" w:eastAsia="Arial" w:hAnsi="Arial"/>
          <w:sz w:val="16"/>
          <w:szCs w:val="16"/>
          <w:color w:val="auto"/>
        </w:rPr>
        <w:t>Notices of intention to present proposals, including nomination of a director, at the 2011 annual meeting should be addressed to Thomas Friedmann, Secretary, c/o PennantPark Investment Corporation, 590 Madison Avenue, 15</w:t>
      </w:r>
      <w:r>
        <w:rPr>
          <w:rFonts w:ascii="Arial" w:cs="Arial" w:eastAsia="Arial" w:hAnsi="Arial"/>
          <w:sz w:val="10"/>
          <w:szCs w:val="10"/>
          <w:color w:val="auto"/>
        </w:rPr>
        <w:t>th</w:t>
      </w:r>
      <w:r>
        <w:rPr>
          <w:rFonts w:ascii="Arial" w:cs="Arial" w:eastAsia="Arial" w:hAnsi="Arial"/>
          <w:sz w:val="16"/>
          <w:szCs w:val="16"/>
          <w:color w:val="auto"/>
        </w:rPr>
        <w:t xml:space="preserve"> Floor, New York, New York 10022 and should be received by the Company between July 24, 2010 and 5:00 p.m. Eastern Time on August 23, 2010. The Company reserves the right to reject, rule out of order, or to take other appropriate action with respect to any proposal that does not comply with these and other applicable requirements.</w:t>
      </w:r>
    </w:p>
    <w:p>
      <w:pPr>
        <w:spacing w:after="0" w:line="153" w:lineRule="exact"/>
        <w:rPr>
          <w:sz w:val="20"/>
          <w:szCs w:val="20"/>
          <w:color w:val="auto"/>
        </w:rPr>
      </w:pPr>
    </w:p>
    <w:p>
      <w:pPr>
        <w:ind w:right="160" w:firstLine="456"/>
        <w:spacing w:after="0" w:line="255" w:lineRule="auto"/>
        <w:rPr>
          <w:sz w:val="20"/>
          <w:szCs w:val="20"/>
          <w:color w:val="auto"/>
        </w:rPr>
      </w:pPr>
      <w:r>
        <w:rPr>
          <w:rFonts w:ascii="Arial" w:cs="Arial" w:eastAsia="Arial" w:hAnsi="Arial"/>
          <w:sz w:val="18"/>
          <w:szCs w:val="18"/>
          <w:color w:val="auto"/>
        </w:rPr>
        <w:t>The Company’s Audit Committee has established guidelines and procedures regarding the receipt, retention and treatment of complaints regarding accounting, internal accounting controls or auditing matters (collectively, “Accounting Matters”). Persons with complaints or concerns regarding Accounting Matters may submit their complaints to the Company’s Chief Compliance Officer (“CCO”). Persons who are uncomfortable submitting complaints to the CCO, including complaints involving the CCO, may submit complaints directly to the Company’s Audit Committee Chair. Complaints may be submitted on an anonymous basis.</w:t>
      </w:r>
    </w:p>
    <w:p>
      <w:pPr>
        <w:spacing w:after="0" w:line="14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CCO may be contacted at:</w:t>
      </w:r>
    </w:p>
    <w:p>
      <w:pPr>
        <w:spacing w:after="0" w:line="90" w:lineRule="exact"/>
        <w:rPr>
          <w:sz w:val="20"/>
          <w:szCs w:val="20"/>
          <w:color w:val="auto"/>
        </w:rPr>
      </w:pPr>
    </w:p>
    <w:p>
      <w:pPr>
        <w:ind w:left="920"/>
        <w:spacing w:after="0"/>
        <w:rPr>
          <w:sz w:val="20"/>
          <w:szCs w:val="20"/>
          <w:color w:val="auto"/>
        </w:rPr>
      </w:pPr>
      <w:r>
        <w:rPr>
          <w:rFonts w:ascii="Arial" w:cs="Arial" w:eastAsia="Arial" w:hAnsi="Arial"/>
          <w:sz w:val="18"/>
          <w:szCs w:val="18"/>
          <w:color w:val="auto"/>
        </w:rPr>
        <w:t>Mr. Guy F. Talarico</w:t>
      </w:r>
    </w:p>
    <w:p>
      <w:pPr>
        <w:spacing w:after="0" w:line="15" w:lineRule="exact"/>
        <w:rPr>
          <w:sz w:val="20"/>
          <w:szCs w:val="20"/>
          <w:color w:val="auto"/>
        </w:rPr>
      </w:pPr>
    </w:p>
    <w:p>
      <w:pPr>
        <w:ind w:left="920"/>
        <w:spacing w:after="0"/>
        <w:rPr>
          <w:sz w:val="20"/>
          <w:szCs w:val="20"/>
          <w:color w:val="auto"/>
        </w:rPr>
      </w:pPr>
      <w:r>
        <w:rPr>
          <w:rFonts w:ascii="Arial" w:cs="Arial" w:eastAsia="Arial" w:hAnsi="Arial"/>
          <w:sz w:val="18"/>
          <w:szCs w:val="18"/>
          <w:color w:val="auto"/>
        </w:rPr>
        <w:t>PennantPark Investment Corporation</w:t>
      </w:r>
    </w:p>
    <w:p>
      <w:pPr>
        <w:spacing w:after="0" w:line="9" w:lineRule="exact"/>
        <w:rPr>
          <w:sz w:val="20"/>
          <w:szCs w:val="20"/>
          <w:color w:val="auto"/>
        </w:rPr>
      </w:pPr>
    </w:p>
    <w:p>
      <w:pPr>
        <w:ind w:left="920"/>
        <w:spacing w:after="0"/>
        <w:rPr>
          <w:sz w:val="20"/>
          <w:szCs w:val="20"/>
          <w:color w:val="auto"/>
        </w:rPr>
      </w:pPr>
      <w:r>
        <w:rPr>
          <w:rFonts w:ascii="Arial" w:cs="Arial" w:eastAsia="Arial" w:hAnsi="Arial"/>
          <w:sz w:val="18"/>
          <w:szCs w:val="18"/>
          <w:color w:val="auto"/>
        </w:rPr>
        <w:t>Chief Compliance Officer</w:t>
      </w:r>
    </w:p>
    <w:p>
      <w:pPr>
        <w:spacing w:after="0" w:line="9" w:lineRule="exact"/>
        <w:rPr>
          <w:sz w:val="20"/>
          <w:szCs w:val="20"/>
          <w:color w:val="auto"/>
        </w:rPr>
      </w:pPr>
    </w:p>
    <w:p>
      <w:pPr>
        <w:ind w:left="920"/>
        <w:spacing w:after="0"/>
        <w:rPr>
          <w:sz w:val="20"/>
          <w:szCs w:val="20"/>
          <w:color w:val="auto"/>
        </w:rPr>
      </w:pPr>
      <w:r>
        <w:rPr>
          <w:rFonts w:ascii="Arial" w:cs="Arial" w:eastAsia="Arial" w:hAnsi="Arial"/>
          <w:sz w:val="18"/>
          <w:szCs w:val="18"/>
          <w:color w:val="auto"/>
        </w:rPr>
        <w:t>590 Madison Avenue, 15th Floor</w:t>
      </w:r>
    </w:p>
    <w:p>
      <w:pPr>
        <w:spacing w:after="0" w:line="9" w:lineRule="exact"/>
        <w:rPr>
          <w:sz w:val="20"/>
          <w:szCs w:val="20"/>
          <w:color w:val="auto"/>
        </w:rPr>
      </w:pPr>
    </w:p>
    <w:p>
      <w:pPr>
        <w:ind w:left="920"/>
        <w:spacing w:after="0"/>
        <w:rPr>
          <w:sz w:val="20"/>
          <w:szCs w:val="20"/>
          <w:color w:val="auto"/>
        </w:rPr>
      </w:pPr>
      <w:r>
        <w:rPr>
          <w:rFonts w:ascii="Arial" w:cs="Arial" w:eastAsia="Arial" w:hAnsi="Arial"/>
          <w:sz w:val="18"/>
          <w:szCs w:val="18"/>
          <w:color w:val="auto"/>
        </w:rPr>
        <w:t>New York, New York 10022</w:t>
      </w:r>
    </w:p>
    <w:p>
      <w:pPr>
        <w:spacing w:after="0" w:line="15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400"/>
          </w:cols>
          <w:pgMar w:left="240" w:top="280" w:right="259" w:bottom="1440" w:gutter="0" w:footer="0" w:header="0"/>
        </w:sectPr>
      </w:pPr>
    </w:p>
    <w:bookmarkStart w:id="29" w:name="page30"/>
    <w:bookmarkEnd w:id="29"/>
    <w:p>
      <w:pPr>
        <w:ind w:left="46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The Audit Committee Chair may be contacted at:</w:t>
      </w:r>
    </w:p>
    <w:p>
      <w:pPr>
        <w:spacing w:after="0" w:line="90" w:lineRule="exact"/>
        <w:rPr>
          <w:sz w:val="20"/>
          <w:szCs w:val="20"/>
          <w:color w:val="auto"/>
        </w:rPr>
      </w:pPr>
    </w:p>
    <w:p>
      <w:pPr>
        <w:ind w:left="920"/>
        <w:spacing w:after="0"/>
        <w:rPr>
          <w:sz w:val="20"/>
          <w:szCs w:val="20"/>
          <w:color w:val="auto"/>
        </w:rPr>
      </w:pPr>
      <w:r>
        <w:rPr>
          <w:rFonts w:ascii="Arial" w:cs="Arial" w:eastAsia="Arial" w:hAnsi="Arial"/>
          <w:sz w:val="18"/>
          <w:szCs w:val="18"/>
          <w:color w:val="auto"/>
        </w:rPr>
        <w:t>Mr. Jeffrey Flug</w:t>
      </w:r>
    </w:p>
    <w:p>
      <w:pPr>
        <w:spacing w:after="0" w:line="15" w:lineRule="exact"/>
        <w:rPr>
          <w:sz w:val="20"/>
          <w:szCs w:val="20"/>
          <w:color w:val="auto"/>
        </w:rPr>
      </w:pPr>
    </w:p>
    <w:p>
      <w:pPr>
        <w:ind w:left="920"/>
        <w:spacing w:after="0"/>
        <w:rPr>
          <w:sz w:val="20"/>
          <w:szCs w:val="20"/>
          <w:color w:val="auto"/>
        </w:rPr>
      </w:pPr>
      <w:r>
        <w:rPr>
          <w:rFonts w:ascii="Arial" w:cs="Arial" w:eastAsia="Arial" w:hAnsi="Arial"/>
          <w:sz w:val="18"/>
          <w:szCs w:val="18"/>
          <w:color w:val="auto"/>
        </w:rPr>
        <w:t>PennantPark Investment Corporation</w:t>
      </w:r>
    </w:p>
    <w:p>
      <w:pPr>
        <w:spacing w:after="0" w:line="9" w:lineRule="exact"/>
        <w:rPr>
          <w:sz w:val="20"/>
          <w:szCs w:val="20"/>
          <w:color w:val="auto"/>
        </w:rPr>
      </w:pPr>
    </w:p>
    <w:p>
      <w:pPr>
        <w:ind w:left="920"/>
        <w:spacing w:after="0"/>
        <w:rPr>
          <w:sz w:val="20"/>
          <w:szCs w:val="20"/>
          <w:color w:val="auto"/>
        </w:rPr>
      </w:pPr>
      <w:r>
        <w:rPr>
          <w:rFonts w:ascii="Arial" w:cs="Arial" w:eastAsia="Arial" w:hAnsi="Arial"/>
          <w:sz w:val="18"/>
          <w:szCs w:val="18"/>
          <w:color w:val="auto"/>
        </w:rPr>
        <w:t>Audit Committee Chair</w:t>
      </w:r>
    </w:p>
    <w:p>
      <w:pPr>
        <w:spacing w:after="0" w:line="9" w:lineRule="exact"/>
        <w:rPr>
          <w:sz w:val="20"/>
          <w:szCs w:val="20"/>
          <w:color w:val="auto"/>
        </w:rPr>
      </w:pPr>
    </w:p>
    <w:p>
      <w:pPr>
        <w:ind w:left="920"/>
        <w:spacing w:after="0"/>
        <w:rPr>
          <w:sz w:val="20"/>
          <w:szCs w:val="20"/>
          <w:color w:val="auto"/>
        </w:rPr>
      </w:pPr>
      <w:r>
        <w:rPr>
          <w:rFonts w:ascii="Arial" w:cs="Arial" w:eastAsia="Arial" w:hAnsi="Arial"/>
          <w:sz w:val="18"/>
          <w:szCs w:val="18"/>
          <w:color w:val="auto"/>
        </w:rPr>
        <w:t>590 Madison Avenue, 15th Floor</w:t>
      </w:r>
    </w:p>
    <w:p>
      <w:pPr>
        <w:spacing w:after="0" w:line="9" w:lineRule="exact"/>
        <w:rPr>
          <w:sz w:val="20"/>
          <w:szCs w:val="20"/>
          <w:color w:val="auto"/>
        </w:rPr>
      </w:pPr>
    </w:p>
    <w:p>
      <w:pPr>
        <w:ind w:left="920"/>
        <w:spacing w:after="0"/>
        <w:rPr>
          <w:sz w:val="20"/>
          <w:szCs w:val="20"/>
          <w:color w:val="auto"/>
        </w:rPr>
      </w:pPr>
      <w:r>
        <w:rPr>
          <w:rFonts w:ascii="Arial" w:cs="Arial" w:eastAsia="Arial" w:hAnsi="Arial"/>
          <w:sz w:val="18"/>
          <w:szCs w:val="18"/>
          <w:color w:val="auto"/>
        </w:rPr>
        <w:t>New York, New York 10022</w:t>
      </w:r>
    </w:p>
    <w:p>
      <w:pPr>
        <w:spacing w:after="0" w:line="165"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You are cordially invited to attend our Annual Meeting of Stockholders in person. Whether or not you plan to attend the Meeting, you are requested to vote for in accordance with the voting instructions in the Notice of Internet Availability of Proxy Materials, or by requesting hard copy proxy materials from us and returning a proxy card.</w:t>
      </w:r>
    </w:p>
    <w:p>
      <w:pPr>
        <w:spacing w:after="0" w:line="181"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By Order of the Board of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10795</wp:posOffset>
            </wp:positionV>
            <wp:extent cx="1414780" cy="42862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1414780" cy="4286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Thomas Friedmann</w:t>
      </w:r>
    </w:p>
    <w:p>
      <w:pPr>
        <w:spacing w:after="0" w:line="1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Secretary</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color w:val="auto"/>
        </w:rPr>
        <w:t>New York, New York</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December 21, 2009</w:t>
      </w:r>
    </w:p>
    <w:p>
      <w:pPr>
        <w:spacing w:after="0" w:line="151"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360"/>
          </w:cols>
          <w:pgMar w:left="240" w:top="280" w:right="299" w:bottom="1440" w:gutter="0" w:footer="0" w:header="0"/>
        </w:sectPr>
      </w:pPr>
    </w:p>
    <w:bookmarkStart w:id="30" w:name="page31"/>
    <w:bookmarkEnd w:id="30"/>
    <w:tbl>
      <w:tblPr>
        <w:tblLayout w:type="fixed"/>
        <w:tblInd w:w="0" w:type="dxa"/>
        <w:tblCellMar>
          <w:top w:w="0" w:type="dxa"/>
          <w:left w:w="0" w:type="dxa"/>
          <w:bottom w:w="0" w:type="dxa"/>
          <w:right w:w="0" w:type="dxa"/>
        </w:tblCellMar>
      </w:tblPr>
      <w:tr>
        <w:trPr>
          <w:trHeight w:val="161"/>
        </w:trPr>
        <w:tc>
          <w:tcPr>
            <w:tcW w:w="3240" w:type="dxa"/>
            <w:vAlign w:val="bottom"/>
          </w:tcPr>
          <w:p>
            <w:pPr>
              <w:spacing w:after="0"/>
              <w:rPr>
                <w:sz w:val="14"/>
                <w:szCs w:val="14"/>
                <w:color w:val="auto"/>
              </w:rPr>
            </w:pPr>
          </w:p>
        </w:tc>
        <w:tc>
          <w:tcPr>
            <w:tcW w:w="3240" w:type="dxa"/>
            <w:vAlign w:val="bottom"/>
          </w:tcPr>
          <w:p>
            <w:pPr>
              <w:spacing w:after="0"/>
              <w:rPr>
                <w:sz w:val="14"/>
                <w:szCs w:val="14"/>
                <w:color w:val="auto"/>
              </w:rPr>
            </w:pPr>
          </w:p>
        </w:tc>
        <w:tc>
          <w:tcPr>
            <w:tcW w:w="4900" w:type="dxa"/>
            <w:vAlign w:val="bottom"/>
            <w:gridSpan w:val="2"/>
          </w:tcPr>
          <w:p>
            <w:pPr>
              <w:jc w:val="center"/>
              <w:ind w:right="1420"/>
              <w:spacing w:after="0"/>
              <w:rPr>
                <w:sz w:val="20"/>
                <w:szCs w:val="20"/>
                <w:color w:val="auto"/>
              </w:rPr>
            </w:pPr>
            <w:r>
              <w:rPr>
                <w:rFonts w:ascii="Arial" w:cs="Arial" w:eastAsia="Arial" w:hAnsi="Arial"/>
                <w:sz w:val="14"/>
                <w:szCs w:val="14"/>
                <w:b w:val="1"/>
                <w:bCs w:val="1"/>
                <w:color w:val="auto"/>
                <w:w w:val="97"/>
              </w:rPr>
              <w:t>EVERY STOCKHOLDER’S VOTE IS IMPORTANT!</w:t>
            </w:r>
          </w:p>
        </w:tc>
        <w:tc>
          <w:tcPr>
            <w:tcW w:w="0" w:type="dxa"/>
            <w:vAlign w:val="bottom"/>
          </w:tcPr>
          <w:p>
            <w:pPr>
              <w:spacing w:after="0"/>
              <w:rPr>
                <w:sz w:val="1"/>
                <w:szCs w:val="1"/>
                <w:color w:val="auto"/>
              </w:rPr>
            </w:pPr>
          </w:p>
        </w:tc>
      </w:tr>
      <w:tr>
        <w:trPr>
          <w:trHeight w:val="174"/>
        </w:trPr>
        <w:tc>
          <w:tcPr>
            <w:tcW w:w="3240" w:type="dxa"/>
            <w:vAlign w:val="bottom"/>
          </w:tcPr>
          <w:p>
            <w:pPr>
              <w:spacing w:after="0"/>
              <w:rPr>
                <w:sz w:val="15"/>
                <w:szCs w:val="15"/>
                <w:color w:val="auto"/>
              </w:rPr>
            </w:pPr>
          </w:p>
        </w:tc>
        <w:tc>
          <w:tcPr>
            <w:tcW w:w="3240" w:type="dxa"/>
            <w:vAlign w:val="bottom"/>
          </w:tcPr>
          <w:p>
            <w:pPr>
              <w:spacing w:after="0"/>
              <w:rPr>
                <w:sz w:val="15"/>
                <w:szCs w:val="15"/>
                <w:color w:val="auto"/>
              </w:rPr>
            </w:pPr>
          </w:p>
        </w:tc>
        <w:tc>
          <w:tcPr>
            <w:tcW w:w="4900" w:type="dxa"/>
            <w:vAlign w:val="bottom"/>
            <w:gridSpan w:val="2"/>
          </w:tcPr>
          <w:p>
            <w:pPr>
              <w:jc w:val="center"/>
              <w:ind w:right="1400"/>
              <w:spacing w:after="0"/>
              <w:rPr>
                <w:sz w:val="20"/>
                <w:szCs w:val="20"/>
                <w:color w:val="auto"/>
              </w:rPr>
            </w:pPr>
            <w:r>
              <w:rPr>
                <w:rFonts w:ascii="Arial" w:cs="Arial" w:eastAsia="Arial" w:hAnsi="Arial"/>
                <w:sz w:val="14"/>
                <w:szCs w:val="14"/>
                <w:b w:val="1"/>
                <w:bCs w:val="1"/>
                <w:color w:val="auto"/>
                <w:w w:val="97"/>
              </w:rPr>
              <w:t>VOTE THIS PROXY CARD TODAY!</w:t>
            </w:r>
          </w:p>
        </w:tc>
        <w:tc>
          <w:tcPr>
            <w:tcW w:w="0" w:type="dxa"/>
            <w:vAlign w:val="bottom"/>
          </w:tcPr>
          <w:p>
            <w:pPr>
              <w:spacing w:after="0"/>
              <w:rPr>
                <w:sz w:val="1"/>
                <w:szCs w:val="1"/>
                <w:color w:val="auto"/>
              </w:rPr>
            </w:pPr>
          </w:p>
        </w:tc>
      </w:tr>
      <w:tr>
        <w:trPr>
          <w:trHeight w:val="338"/>
        </w:trPr>
        <w:tc>
          <w:tcPr>
            <w:tcW w:w="3240" w:type="dxa"/>
            <w:vAlign w:val="bottom"/>
          </w:tcPr>
          <w:p>
            <w:pPr>
              <w:spacing w:after="0"/>
              <w:rPr>
                <w:sz w:val="20"/>
                <w:szCs w:val="20"/>
                <w:color w:val="auto"/>
              </w:rPr>
            </w:pPr>
            <w:r>
              <w:rPr>
                <w:rFonts w:ascii="Arial" w:cs="Arial" w:eastAsia="Arial" w:hAnsi="Arial"/>
                <w:sz w:val="14"/>
                <w:szCs w:val="14"/>
                <w:b w:val="1"/>
                <w:bCs w:val="1"/>
                <w:i w:val="1"/>
                <w:iCs w:val="1"/>
                <w:color w:val="auto"/>
              </w:rPr>
              <w:t>590 MADISON AVENUE</w:t>
            </w:r>
          </w:p>
        </w:tc>
        <w:tc>
          <w:tcPr>
            <w:tcW w:w="8140" w:type="dxa"/>
            <w:vAlign w:val="bottom"/>
            <w:gridSpan w:val="3"/>
          </w:tcPr>
          <w:p>
            <w:pPr>
              <w:ind w:left="1800"/>
              <w:spacing w:after="0"/>
              <w:rPr>
                <w:sz w:val="20"/>
                <w:szCs w:val="20"/>
                <w:color w:val="auto"/>
              </w:rPr>
            </w:pPr>
            <w:r>
              <w:rPr>
                <w:rFonts w:ascii="Arial" w:cs="Arial" w:eastAsia="Arial" w:hAnsi="Arial"/>
                <w:sz w:val="14"/>
                <w:szCs w:val="14"/>
                <w:b w:val="1"/>
                <w:bCs w:val="1"/>
                <w:color w:val="auto"/>
              </w:rPr>
              <w:t>VOTE BY INTERNET - www.proxyvote.com</w:t>
            </w:r>
          </w:p>
        </w:tc>
        <w:tc>
          <w:tcPr>
            <w:tcW w:w="0" w:type="dxa"/>
            <w:vAlign w:val="bottom"/>
          </w:tcPr>
          <w:p>
            <w:pPr>
              <w:spacing w:after="0"/>
              <w:rPr>
                <w:sz w:val="1"/>
                <w:szCs w:val="1"/>
                <w:color w:val="auto"/>
              </w:rPr>
            </w:pPr>
          </w:p>
        </w:tc>
      </w:tr>
      <w:tr>
        <w:trPr>
          <w:trHeight w:val="27"/>
        </w:trPr>
        <w:tc>
          <w:tcPr>
            <w:tcW w:w="3240" w:type="dxa"/>
            <w:vAlign w:val="bottom"/>
            <w:vMerge w:val="restart"/>
          </w:tcPr>
          <w:p>
            <w:pPr>
              <w:spacing w:after="0" w:line="165" w:lineRule="exact"/>
              <w:rPr>
                <w:sz w:val="20"/>
                <w:szCs w:val="20"/>
                <w:color w:val="auto"/>
              </w:rPr>
            </w:pPr>
            <w:r>
              <w:rPr>
                <w:rFonts w:ascii="Arial" w:cs="Arial" w:eastAsia="Arial" w:hAnsi="Arial"/>
                <w:sz w:val="12"/>
                <w:szCs w:val="12"/>
                <w:b w:val="1"/>
                <w:bCs w:val="1"/>
                <w:i w:val="1"/>
                <w:iCs w:val="1"/>
                <w:color w:val="auto"/>
              </w:rPr>
              <w:t>15</w:t>
            </w:r>
            <w:r>
              <w:rPr>
                <w:rFonts w:ascii="Arial" w:cs="Arial" w:eastAsia="Arial" w:hAnsi="Arial"/>
                <w:sz w:val="19"/>
                <w:szCs w:val="19"/>
                <w:b w:val="1"/>
                <w:bCs w:val="1"/>
                <w:i w:val="1"/>
                <w:iCs w:val="1"/>
                <w:color w:val="auto"/>
                <w:vertAlign w:val="superscript"/>
              </w:rPr>
              <w:t>TH</w:t>
            </w:r>
            <w:r>
              <w:rPr>
                <w:rFonts w:ascii="Arial" w:cs="Arial" w:eastAsia="Arial" w:hAnsi="Arial"/>
                <w:sz w:val="12"/>
                <w:szCs w:val="12"/>
                <w:b w:val="1"/>
                <w:bCs w:val="1"/>
                <w:i w:val="1"/>
                <w:iCs w:val="1"/>
                <w:color w:val="auto"/>
              </w:rPr>
              <w:t xml:space="preserve"> FLOOR</w:t>
            </w:r>
          </w:p>
        </w:tc>
        <w:tc>
          <w:tcPr>
            <w:tcW w:w="3240" w:type="dxa"/>
            <w:vAlign w:val="bottom"/>
            <w:vMerge w:val="restart"/>
          </w:tcPr>
          <w:p>
            <w:pPr>
              <w:ind w:left="1800"/>
              <w:spacing w:after="0"/>
              <w:rPr>
                <w:sz w:val="20"/>
                <w:szCs w:val="20"/>
                <w:color w:val="auto"/>
              </w:rPr>
            </w:pPr>
            <w:r>
              <w:rPr>
                <w:rFonts w:ascii="Arial" w:cs="Arial" w:eastAsia="Arial" w:hAnsi="Arial"/>
                <w:sz w:val="14"/>
                <w:szCs w:val="14"/>
                <w:color w:val="auto"/>
                <w:w w:val="84"/>
              </w:rPr>
              <w:t>Use the Internet to transmit</w:t>
            </w:r>
          </w:p>
        </w:tc>
        <w:tc>
          <w:tcPr>
            <w:tcW w:w="1180" w:type="dxa"/>
            <w:vAlign w:val="bottom"/>
            <w:shd w:val="clear" w:color="auto" w:fill="000000"/>
          </w:tcPr>
          <w:p>
            <w:pPr>
              <w:spacing w:after="0"/>
              <w:rPr>
                <w:sz w:val="2"/>
                <w:szCs w:val="2"/>
                <w:color w:val="auto"/>
              </w:rPr>
            </w:pPr>
          </w:p>
        </w:tc>
        <w:tc>
          <w:tcPr>
            <w:tcW w:w="37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38"/>
        </w:trPr>
        <w:tc>
          <w:tcPr>
            <w:tcW w:w="3240" w:type="dxa"/>
            <w:vAlign w:val="bottom"/>
            <w:vMerge w:val="continue"/>
          </w:tcPr>
          <w:p>
            <w:pPr>
              <w:spacing w:after="0"/>
              <w:rPr>
                <w:sz w:val="11"/>
                <w:szCs w:val="11"/>
                <w:color w:val="auto"/>
              </w:rPr>
            </w:pPr>
          </w:p>
        </w:tc>
        <w:tc>
          <w:tcPr>
            <w:tcW w:w="3240" w:type="dxa"/>
            <w:vAlign w:val="bottom"/>
            <w:vMerge w:val="continue"/>
          </w:tcPr>
          <w:p>
            <w:pPr>
              <w:spacing w:after="0"/>
              <w:rPr>
                <w:sz w:val="11"/>
                <w:szCs w:val="11"/>
                <w:color w:val="auto"/>
              </w:rPr>
            </w:pPr>
          </w:p>
        </w:tc>
        <w:tc>
          <w:tcPr>
            <w:tcW w:w="4900" w:type="dxa"/>
            <w:vAlign w:val="bottom"/>
            <w:gridSpan w:val="2"/>
          </w:tcPr>
          <w:p>
            <w:pPr>
              <w:ind w:left="60"/>
              <w:spacing w:after="0" w:line="138" w:lineRule="exact"/>
              <w:rPr>
                <w:sz w:val="20"/>
                <w:szCs w:val="20"/>
                <w:color w:val="auto"/>
              </w:rPr>
            </w:pPr>
            <w:r>
              <w:rPr>
                <w:rFonts w:ascii="Arial" w:cs="Arial" w:eastAsia="Arial" w:hAnsi="Arial"/>
                <w:sz w:val="14"/>
                <w:szCs w:val="14"/>
                <w:color w:val="auto"/>
                <w:w w:val="93"/>
              </w:rPr>
              <w:t>your voting instructions and for electronic delivery of information up until 11:59 P.M.</w:t>
            </w:r>
          </w:p>
        </w:tc>
        <w:tc>
          <w:tcPr>
            <w:tcW w:w="0" w:type="dxa"/>
            <w:vAlign w:val="bottom"/>
          </w:tcPr>
          <w:p>
            <w:pPr>
              <w:spacing w:after="0"/>
              <w:rPr>
                <w:sz w:val="1"/>
                <w:szCs w:val="1"/>
                <w:color w:val="auto"/>
              </w:rPr>
            </w:pPr>
          </w:p>
        </w:tc>
      </w:tr>
      <w:tr>
        <w:trPr>
          <w:trHeight w:val="149"/>
        </w:trPr>
        <w:tc>
          <w:tcPr>
            <w:tcW w:w="3240" w:type="dxa"/>
            <w:vAlign w:val="bottom"/>
          </w:tcPr>
          <w:p>
            <w:pPr>
              <w:spacing w:after="0" w:line="149" w:lineRule="exact"/>
              <w:rPr>
                <w:sz w:val="20"/>
                <w:szCs w:val="20"/>
                <w:color w:val="auto"/>
              </w:rPr>
            </w:pPr>
            <w:r>
              <w:rPr>
                <w:rFonts w:ascii="Arial" w:cs="Arial" w:eastAsia="Arial" w:hAnsi="Arial"/>
                <w:sz w:val="14"/>
                <w:szCs w:val="14"/>
                <w:b w:val="1"/>
                <w:bCs w:val="1"/>
                <w:i w:val="1"/>
                <w:iCs w:val="1"/>
                <w:color w:val="auto"/>
              </w:rPr>
              <w:t>NEW YORK, NY 10022</w:t>
            </w:r>
          </w:p>
        </w:tc>
        <w:tc>
          <w:tcPr>
            <w:tcW w:w="8140" w:type="dxa"/>
            <w:vAlign w:val="bottom"/>
            <w:gridSpan w:val="3"/>
          </w:tcPr>
          <w:p>
            <w:pPr>
              <w:ind w:left="1800"/>
              <w:spacing w:after="0" w:line="149" w:lineRule="exact"/>
              <w:rPr>
                <w:sz w:val="20"/>
                <w:szCs w:val="20"/>
                <w:color w:val="auto"/>
              </w:rPr>
            </w:pPr>
            <w:r>
              <w:rPr>
                <w:rFonts w:ascii="Arial" w:cs="Arial" w:eastAsia="Arial" w:hAnsi="Arial"/>
                <w:sz w:val="14"/>
                <w:szCs w:val="14"/>
                <w:color w:val="auto"/>
                <w:w w:val="86"/>
              </w:rPr>
              <w:t>Eastern Time the day before the cut-off date or meeting date. Have your proxy card in hand when you access the web</w:t>
            </w:r>
          </w:p>
        </w:tc>
        <w:tc>
          <w:tcPr>
            <w:tcW w:w="0" w:type="dxa"/>
            <w:vAlign w:val="bottom"/>
          </w:tcPr>
          <w:p>
            <w:pPr>
              <w:spacing w:after="0"/>
              <w:rPr>
                <w:sz w:val="1"/>
                <w:szCs w:val="1"/>
                <w:color w:val="auto"/>
              </w:rPr>
            </w:pPr>
          </w:p>
        </w:tc>
      </w:tr>
      <w:tr>
        <w:trPr>
          <w:trHeight w:val="172"/>
        </w:trPr>
        <w:tc>
          <w:tcPr>
            <w:tcW w:w="3240" w:type="dxa"/>
            <w:vAlign w:val="bottom"/>
          </w:tcPr>
          <w:p>
            <w:pPr>
              <w:spacing w:after="0"/>
              <w:rPr>
                <w:sz w:val="14"/>
                <w:szCs w:val="14"/>
                <w:color w:val="auto"/>
              </w:rPr>
            </w:pPr>
          </w:p>
        </w:tc>
        <w:tc>
          <w:tcPr>
            <w:tcW w:w="8140" w:type="dxa"/>
            <w:vAlign w:val="bottom"/>
            <w:gridSpan w:val="3"/>
          </w:tcPr>
          <w:p>
            <w:pPr>
              <w:ind w:left="1800"/>
              <w:spacing w:after="0"/>
              <w:rPr>
                <w:sz w:val="20"/>
                <w:szCs w:val="20"/>
                <w:color w:val="auto"/>
              </w:rPr>
            </w:pPr>
            <w:r>
              <w:rPr>
                <w:rFonts w:ascii="Arial" w:cs="Arial" w:eastAsia="Arial" w:hAnsi="Arial"/>
                <w:sz w:val="14"/>
                <w:szCs w:val="14"/>
                <w:color w:val="auto"/>
                <w:w w:val="98"/>
              </w:rPr>
              <w:t>site and follow the instructions to obtain your records and to create an electronic voting instruction form.</w:t>
            </w:r>
          </w:p>
        </w:tc>
        <w:tc>
          <w:tcPr>
            <w:tcW w:w="0" w:type="dxa"/>
            <w:vAlign w:val="bottom"/>
          </w:tcPr>
          <w:p>
            <w:pPr>
              <w:spacing w:after="0"/>
              <w:rPr>
                <w:sz w:val="1"/>
                <w:szCs w:val="1"/>
                <w:color w:val="auto"/>
              </w:rPr>
            </w:pPr>
          </w:p>
        </w:tc>
      </w:tr>
    </w:tbl>
    <w:p>
      <w:pPr>
        <w:spacing w:after="0" w:line="204"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89165" cy="38735"/>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183515</wp:posOffset>
            </wp:positionV>
            <wp:extent cx="1286510" cy="30035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clrChange>
                        <a:clrFrom>
                          <a:srgbClr val="FFFFFF"/>
                        </a:clrFrom>
                        <a:clrTo>
                          <a:srgbClr val="FFFFFF">
                            <a:alpha val="0"/>
                          </a:srgbClr>
                        </a:clrTo>
                      </a:clrChange>
                      <a:extLst>
                        <a:ext uri="{28A0092B-C50C-407E-A947-70E740481C1C}"/>
                      </a:extLst>
                    </a:blip>
                    <a:srcRect/>
                    <a:stretch>
                      <a:fillRect/>
                    </a:stretch>
                  </pic:blipFill>
                  <pic:spPr bwMode="auto">
                    <a:xfrm>
                      <a:off x="0" y="0"/>
                      <a:ext cx="1286510" cy="300355"/>
                    </a:xfrm>
                    <a:prstGeom prst="rect">
                      <a:avLst/>
                    </a:prstGeom>
                    <a:noFill/>
                  </pic:spPr>
                </pic:pic>
              </a:graphicData>
            </a:graphic>
          </wp:anchor>
        </w:drawing>
      </w:r>
    </w:p>
    <w:p>
      <w:pPr>
        <w:ind w:left="5040"/>
        <w:spacing w:after="0"/>
        <w:rPr>
          <w:sz w:val="20"/>
          <w:szCs w:val="20"/>
          <w:color w:val="auto"/>
        </w:rPr>
      </w:pPr>
      <w:r>
        <w:rPr>
          <w:rFonts w:ascii="Arial" w:cs="Arial" w:eastAsia="Arial" w:hAnsi="Arial"/>
          <w:sz w:val="14"/>
          <w:szCs w:val="14"/>
          <w:b w:val="1"/>
          <w:bCs w:val="1"/>
          <w:color w:val="auto"/>
        </w:rPr>
        <w:t>ELECTRONIC DELIVERY OF FUTURE PROXY MATERIALS</w:t>
      </w:r>
    </w:p>
    <w:p>
      <w:pPr>
        <w:spacing w:after="0" w:line="2" w:lineRule="exact"/>
        <w:rPr>
          <w:sz w:val="20"/>
          <w:szCs w:val="20"/>
          <w:color w:val="auto"/>
        </w:rPr>
      </w:pPr>
    </w:p>
    <w:p>
      <w:pPr>
        <w:ind w:left="5040" w:right="60"/>
        <w:spacing w:after="0" w:line="271" w:lineRule="auto"/>
        <w:rPr>
          <w:sz w:val="20"/>
          <w:szCs w:val="20"/>
          <w:color w:val="auto"/>
        </w:rPr>
      </w:pPr>
      <w:r>
        <w:rPr>
          <w:rFonts w:ascii="Arial" w:cs="Arial" w:eastAsia="Arial" w:hAnsi="Arial"/>
          <w:sz w:val="12"/>
          <w:szCs w:val="12"/>
          <w:color w:val="auto"/>
        </w:rPr>
        <w:t>If you would like to reduce the costs incurred by our company in mailing proxy materials, you can consent to receiving all future proxy statements, proxy cards and annual reports electronically via e-mail or the Internet. To sign up for electronic delivery, please follow the instructions above to vote using the Internet and, when prompted, indicate that you agree to receive or access proxy materials electronically in future years.</w:t>
      </w:r>
    </w:p>
    <w:p>
      <w:pPr>
        <w:spacing w:after="0" w:line="187" w:lineRule="exact"/>
        <w:rPr>
          <w:sz w:val="20"/>
          <w:szCs w:val="20"/>
          <w:color w:val="auto"/>
        </w:rPr>
      </w:pPr>
    </w:p>
    <w:p>
      <w:pPr>
        <w:ind w:left="5040"/>
        <w:spacing w:after="0"/>
        <w:rPr>
          <w:sz w:val="20"/>
          <w:szCs w:val="20"/>
          <w:color w:val="auto"/>
        </w:rPr>
      </w:pPr>
      <w:r>
        <w:rPr>
          <w:rFonts w:ascii="Arial" w:cs="Arial" w:eastAsia="Arial" w:hAnsi="Arial"/>
          <w:sz w:val="14"/>
          <w:szCs w:val="14"/>
          <w:b w:val="1"/>
          <w:bCs w:val="1"/>
          <w:color w:val="auto"/>
        </w:rPr>
        <w:t>VOTE BY MAIL</w:t>
      </w:r>
    </w:p>
    <w:p>
      <w:pPr>
        <w:spacing w:after="0" w:line="2" w:lineRule="exact"/>
        <w:rPr>
          <w:sz w:val="20"/>
          <w:szCs w:val="20"/>
          <w:color w:val="auto"/>
        </w:rPr>
      </w:pPr>
    </w:p>
    <w:p>
      <w:pPr>
        <w:ind w:left="5040"/>
        <w:spacing w:after="0"/>
        <w:rPr>
          <w:sz w:val="20"/>
          <w:szCs w:val="20"/>
          <w:color w:val="auto"/>
        </w:rPr>
      </w:pPr>
      <w:r>
        <w:rPr>
          <w:rFonts w:ascii="Arial" w:cs="Arial" w:eastAsia="Arial" w:hAnsi="Arial"/>
          <w:sz w:val="12"/>
          <w:szCs w:val="12"/>
          <w:color w:val="auto"/>
        </w:rPr>
        <w:t>Mark, sign and date your proxy card and return it in the postage-paid envelope we have provided or return it to Vote</w:t>
      </w:r>
    </w:p>
    <w:p>
      <w:pPr>
        <w:spacing w:after="0" w:line="10" w:lineRule="exact"/>
        <w:rPr>
          <w:sz w:val="20"/>
          <w:szCs w:val="20"/>
          <w:color w:val="auto"/>
        </w:rPr>
      </w:pPr>
    </w:p>
    <w:p>
      <w:pPr>
        <w:ind w:left="5040"/>
        <w:spacing w:after="0"/>
        <w:rPr>
          <w:sz w:val="20"/>
          <w:szCs w:val="20"/>
          <w:color w:val="auto"/>
        </w:rPr>
      </w:pPr>
      <w:r>
        <w:rPr>
          <w:rFonts w:ascii="Arial" w:cs="Arial" w:eastAsia="Arial" w:hAnsi="Arial"/>
          <w:sz w:val="14"/>
          <w:szCs w:val="14"/>
          <w:color w:val="auto"/>
        </w:rPr>
        <w:t>Processing, c/o Broadridge, 51 Mercedes Way, Edgewood, NY 11717.</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2" w:lineRule="exact"/>
        <w:rPr>
          <w:sz w:val="20"/>
          <w:szCs w:val="20"/>
          <w:color w:val="auto"/>
        </w:rPr>
      </w:pPr>
    </w:p>
    <w:p>
      <w:pPr>
        <w:spacing w:after="0"/>
        <w:rPr>
          <w:sz w:val="20"/>
          <w:szCs w:val="20"/>
          <w:color w:val="auto"/>
        </w:rPr>
      </w:pPr>
      <w:r>
        <w:rPr>
          <w:rFonts w:ascii="Arial" w:cs="Arial" w:eastAsia="Arial" w:hAnsi="Arial"/>
          <w:sz w:val="14"/>
          <w:szCs w:val="14"/>
          <w:color w:val="auto"/>
        </w:rPr>
        <w:t>TO VOTE, MARK BLOCKS BELOW IN BLUE OR BLACK INK AS FOLLOWS:</w:t>
      </w:r>
    </w:p>
    <w:p>
      <w:pPr>
        <w:jc w:val="right"/>
        <w:spacing w:after="0"/>
        <w:tabs>
          <w:tab w:leader="none" w:pos="2640" w:val="left"/>
        </w:tabs>
        <w:rPr>
          <w:sz w:val="20"/>
          <w:szCs w:val="20"/>
          <w:color w:val="auto"/>
        </w:rPr>
      </w:pPr>
      <w:r>
        <w:rPr>
          <w:rFonts w:ascii="Arial" w:cs="Arial" w:eastAsia="Arial" w:hAnsi="Arial"/>
          <w:sz w:val="14"/>
          <w:szCs w:val="14"/>
          <w:color w:val="auto"/>
        </w:rPr>
        <w:t>M18207-P86988</w:t>
      </w:r>
      <w:r>
        <w:rPr>
          <w:sz w:val="20"/>
          <w:szCs w:val="20"/>
          <w:color w:val="auto"/>
        </w:rPr>
        <w:tab/>
      </w:r>
      <w:r>
        <w:rPr>
          <w:rFonts w:ascii="Arial" w:cs="Arial" w:eastAsia="Arial" w:hAnsi="Arial"/>
          <w:sz w:val="12"/>
          <w:szCs w:val="12"/>
          <w:color w:val="auto"/>
        </w:rPr>
        <w:t>KEEP THIS PORTION FOR YOUR RECORDS</w:t>
      </w:r>
    </w:p>
    <w:p>
      <w:pPr>
        <w:spacing w:after="0" w:line="55" w:lineRule="exact"/>
        <w:rPr>
          <w:sz w:val="20"/>
          <w:szCs w:val="20"/>
          <w:color w:val="auto"/>
        </w:rPr>
      </w:pPr>
    </w:p>
    <w:p>
      <w:pPr>
        <w:jc w:val="right"/>
        <w:spacing w:after="0"/>
        <w:tabs>
          <w:tab w:leader="none" w:pos="2740" w:val="left"/>
        </w:tabs>
        <w:rPr>
          <w:sz w:val="20"/>
          <w:szCs w:val="20"/>
          <w:color w:val="auto"/>
        </w:rPr>
      </w:pPr>
      <w:r>
        <w:rPr>
          <w:rFonts w:ascii="Arial" w:cs="Arial" w:eastAsia="Arial" w:hAnsi="Arial"/>
          <w:sz w:val="14"/>
          <w:szCs w:val="14"/>
          <w:b w:val="1"/>
          <w:bCs w:val="1"/>
          <w:color w:val="auto"/>
        </w:rPr>
        <w:t>THIS PROXY CARD IS VALID ONLY WHEN SIGNED AND DATED.</w:t>
      </w:r>
      <w:r>
        <w:rPr>
          <w:sz w:val="20"/>
          <w:szCs w:val="20"/>
          <w:color w:val="auto"/>
        </w:rPr>
        <w:tab/>
      </w:r>
      <w:r>
        <w:rPr>
          <w:rFonts w:ascii="Arial" w:cs="Arial" w:eastAsia="Arial" w:hAnsi="Arial"/>
          <w:sz w:val="12"/>
          <w:szCs w:val="12"/>
          <w:color w:val="auto"/>
        </w:rPr>
        <w:t>DETACH AND RETURN THIS PORTION ONLY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51435</wp:posOffset>
            </wp:positionV>
            <wp:extent cx="7246620" cy="446786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46620" cy="4467860"/>
                    </a:xfrm>
                    <a:prstGeom prst="rect">
                      <a:avLst/>
                    </a:prstGeom>
                    <a:noFill/>
                  </pic:spPr>
                </pic:pic>
              </a:graphicData>
            </a:graphic>
          </wp:anchor>
        </w:drawing>
      </w:r>
    </w:p>
    <w:p>
      <w:pPr>
        <w:sectPr>
          <w:pgSz w:w="11900" w:h="16838" w:orient="portrait"/>
          <w:cols w:equalWidth="0" w:num="1">
            <w:col w:w="11420"/>
          </w:cols>
          <w:pgMar w:left="240" w:top="425" w:right="239" w:bottom="1440" w:gutter="0" w:footer="0" w:header="0"/>
        </w:sectPr>
      </w:pPr>
    </w:p>
    <w:p>
      <w:pPr>
        <w:spacing w:after="0" w:line="82" w:lineRule="exact"/>
        <w:rPr>
          <w:sz w:val="20"/>
          <w:szCs w:val="20"/>
          <w:color w:val="auto"/>
        </w:rPr>
      </w:pPr>
    </w:p>
    <w:p>
      <w:pPr>
        <w:ind w:left="120"/>
        <w:spacing w:after="0"/>
        <w:rPr>
          <w:sz w:val="20"/>
          <w:szCs w:val="20"/>
          <w:color w:val="auto"/>
        </w:rPr>
      </w:pPr>
      <w:r>
        <w:rPr>
          <w:rFonts w:ascii="Arial" w:cs="Arial" w:eastAsia="Arial" w:hAnsi="Arial"/>
          <w:sz w:val="14"/>
          <w:szCs w:val="14"/>
          <w:b w:val="1"/>
          <w:bCs w:val="1"/>
          <w:color w:val="auto"/>
        </w:rPr>
        <w:t>PENNANTPARK INVESTMENT CORPORATION</w:t>
      </w:r>
    </w:p>
    <w:p>
      <w:pPr>
        <w:spacing w:after="0" w:line="285" w:lineRule="exact"/>
        <w:rPr>
          <w:sz w:val="20"/>
          <w:szCs w:val="20"/>
          <w:color w:val="auto"/>
        </w:rPr>
      </w:pPr>
    </w:p>
    <w:p>
      <w:pPr>
        <w:ind w:left="280"/>
        <w:spacing w:after="0" w:line="241" w:lineRule="auto"/>
        <w:rPr>
          <w:sz w:val="20"/>
          <w:szCs w:val="20"/>
          <w:color w:val="auto"/>
        </w:rPr>
      </w:pPr>
      <w:r>
        <w:rPr>
          <w:rFonts w:ascii="Arial" w:cs="Arial" w:eastAsia="Arial" w:hAnsi="Arial"/>
          <w:sz w:val="14"/>
          <w:szCs w:val="14"/>
          <w:b w:val="1"/>
          <w:bCs w:val="1"/>
          <w:color w:val="auto"/>
        </w:rPr>
        <w:t>The Board of Directors recommends that you vote FOR the following:</w:t>
      </w:r>
    </w:p>
    <w:p>
      <w:pPr>
        <w:spacing w:after="0" w:line="28" w:lineRule="exact"/>
        <w:rPr>
          <w:sz w:val="20"/>
          <w:szCs w:val="20"/>
          <w:color w:val="auto"/>
        </w:rPr>
      </w:pPr>
    </w:p>
    <w:p>
      <w:pPr>
        <w:ind w:left="280"/>
        <w:spacing w:after="0"/>
        <w:rPr>
          <w:sz w:val="20"/>
          <w:szCs w:val="20"/>
          <w:color w:val="auto"/>
        </w:rPr>
      </w:pPr>
      <w:r>
        <w:rPr>
          <w:rFonts w:ascii="Arial" w:cs="Arial" w:eastAsia="Arial" w:hAnsi="Arial"/>
          <w:sz w:val="14"/>
          <w:szCs w:val="14"/>
          <w:b w:val="1"/>
          <w:bCs w:val="1"/>
          <w:color w:val="auto"/>
        </w:rPr>
        <w:t>Vote on Director</w:t>
      </w:r>
    </w:p>
    <w:p>
      <w:pPr>
        <w:spacing w:after="0" w:line="20" w:lineRule="exact"/>
        <w:rPr>
          <w:sz w:val="20"/>
          <w:szCs w:val="20"/>
          <w:color w:val="auto"/>
        </w:rPr>
      </w:pPr>
      <w:r>
        <w:rPr>
          <w:sz w:val="20"/>
          <w:szCs w:val="20"/>
          <w:color w:val="auto"/>
        </w:rPr>
        <w:br w:type="column"/>
      </w:r>
    </w:p>
    <w:p>
      <w:pPr>
        <w:spacing w:after="0" w:line="50"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1"/>
        </w:trPr>
        <w:tc>
          <w:tcPr>
            <w:tcW w:w="400" w:type="dxa"/>
            <w:vAlign w:val="bottom"/>
          </w:tcPr>
          <w:p>
            <w:pPr>
              <w:jc w:val="center"/>
              <w:ind w:right="132"/>
              <w:spacing w:after="0"/>
              <w:rPr>
                <w:sz w:val="20"/>
                <w:szCs w:val="20"/>
                <w:color w:val="auto"/>
              </w:rPr>
            </w:pPr>
            <w:r>
              <w:rPr>
                <w:rFonts w:ascii="Arial" w:cs="Arial" w:eastAsia="Arial" w:hAnsi="Arial"/>
                <w:sz w:val="14"/>
                <w:szCs w:val="14"/>
                <w:b w:val="1"/>
                <w:bCs w:val="1"/>
                <w:color w:val="auto"/>
                <w:w w:val="88"/>
              </w:rPr>
              <w:t>For</w:t>
            </w:r>
          </w:p>
        </w:tc>
        <w:tc>
          <w:tcPr>
            <w:tcW w:w="780" w:type="dxa"/>
            <w:vAlign w:val="bottom"/>
          </w:tcPr>
          <w:p>
            <w:pPr>
              <w:jc w:val="center"/>
              <w:ind w:left="52"/>
              <w:spacing w:after="0"/>
              <w:rPr>
                <w:sz w:val="20"/>
                <w:szCs w:val="20"/>
                <w:color w:val="auto"/>
              </w:rPr>
            </w:pPr>
            <w:r>
              <w:rPr>
                <w:rFonts w:ascii="Arial" w:cs="Arial" w:eastAsia="Arial" w:hAnsi="Arial"/>
                <w:sz w:val="14"/>
                <w:szCs w:val="14"/>
                <w:b w:val="1"/>
                <w:bCs w:val="1"/>
                <w:color w:val="auto"/>
                <w:w w:val="90"/>
              </w:rPr>
              <w:t>Withhold</w:t>
            </w:r>
          </w:p>
        </w:tc>
        <w:tc>
          <w:tcPr>
            <w:tcW w:w="860" w:type="dxa"/>
            <w:vAlign w:val="bottom"/>
          </w:tcPr>
          <w:p>
            <w:pPr>
              <w:jc w:val="center"/>
              <w:ind w:right="252"/>
              <w:spacing w:after="0"/>
              <w:rPr>
                <w:sz w:val="20"/>
                <w:szCs w:val="20"/>
                <w:color w:val="auto"/>
              </w:rPr>
            </w:pPr>
            <w:r>
              <w:rPr>
                <w:rFonts w:ascii="Arial" w:cs="Arial" w:eastAsia="Arial" w:hAnsi="Arial"/>
                <w:sz w:val="14"/>
                <w:szCs w:val="14"/>
                <w:b w:val="1"/>
                <w:bCs w:val="1"/>
                <w:color w:val="auto"/>
                <w:w w:val="94"/>
              </w:rPr>
              <w:t>For All</w:t>
            </w:r>
          </w:p>
        </w:tc>
        <w:tc>
          <w:tcPr>
            <w:tcW w:w="3800" w:type="dxa"/>
            <w:vAlign w:val="bottom"/>
          </w:tcPr>
          <w:p>
            <w:pPr>
              <w:ind w:left="100"/>
              <w:spacing w:after="0"/>
              <w:rPr>
                <w:sz w:val="20"/>
                <w:szCs w:val="20"/>
                <w:color w:val="auto"/>
              </w:rPr>
            </w:pPr>
            <w:r>
              <w:rPr>
                <w:rFonts w:ascii="Arial" w:cs="Arial" w:eastAsia="Arial" w:hAnsi="Arial"/>
                <w:sz w:val="14"/>
                <w:szCs w:val="14"/>
                <w:color w:val="auto"/>
              </w:rPr>
              <w:t>To withhold authority to vote for any individual</w:t>
            </w:r>
          </w:p>
        </w:tc>
      </w:tr>
      <w:tr>
        <w:trPr>
          <w:trHeight w:val="151"/>
        </w:trPr>
        <w:tc>
          <w:tcPr>
            <w:tcW w:w="400" w:type="dxa"/>
            <w:vAlign w:val="bottom"/>
          </w:tcPr>
          <w:p>
            <w:pPr>
              <w:jc w:val="center"/>
              <w:ind w:right="132"/>
              <w:spacing w:after="0" w:line="151" w:lineRule="exact"/>
              <w:rPr>
                <w:sz w:val="20"/>
                <w:szCs w:val="20"/>
                <w:color w:val="auto"/>
              </w:rPr>
            </w:pPr>
            <w:r>
              <w:rPr>
                <w:rFonts w:ascii="Arial" w:cs="Arial" w:eastAsia="Arial" w:hAnsi="Arial"/>
                <w:sz w:val="14"/>
                <w:szCs w:val="14"/>
                <w:b w:val="1"/>
                <w:bCs w:val="1"/>
                <w:color w:val="auto"/>
                <w:w w:val="89"/>
              </w:rPr>
              <w:t>All</w:t>
            </w:r>
          </w:p>
        </w:tc>
        <w:tc>
          <w:tcPr>
            <w:tcW w:w="780" w:type="dxa"/>
            <w:vAlign w:val="bottom"/>
          </w:tcPr>
          <w:p>
            <w:pPr>
              <w:jc w:val="center"/>
              <w:ind w:left="52"/>
              <w:spacing w:after="0" w:line="151" w:lineRule="exact"/>
              <w:rPr>
                <w:sz w:val="20"/>
                <w:szCs w:val="20"/>
                <w:color w:val="auto"/>
              </w:rPr>
            </w:pPr>
            <w:r>
              <w:rPr>
                <w:rFonts w:ascii="Arial" w:cs="Arial" w:eastAsia="Arial" w:hAnsi="Arial"/>
                <w:sz w:val="14"/>
                <w:szCs w:val="14"/>
                <w:b w:val="1"/>
                <w:bCs w:val="1"/>
                <w:color w:val="auto"/>
              </w:rPr>
              <w:t>All</w:t>
            </w:r>
          </w:p>
        </w:tc>
        <w:tc>
          <w:tcPr>
            <w:tcW w:w="860" w:type="dxa"/>
            <w:vAlign w:val="bottom"/>
          </w:tcPr>
          <w:p>
            <w:pPr>
              <w:jc w:val="center"/>
              <w:ind w:right="252"/>
              <w:spacing w:after="0" w:line="151" w:lineRule="exact"/>
              <w:rPr>
                <w:sz w:val="20"/>
                <w:szCs w:val="20"/>
                <w:color w:val="auto"/>
              </w:rPr>
            </w:pPr>
            <w:r>
              <w:rPr>
                <w:rFonts w:ascii="Arial" w:cs="Arial" w:eastAsia="Arial" w:hAnsi="Arial"/>
                <w:sz w:val="14"/>
                <w:szCs w:val="14"/>
                <w:b w:val="1"/>
                <w:bCs w:val="1"/>
                <w:color w:val="auto"/>
                <w:w w:val="82"/>
              </w:rPr>
              <w:t>Except</w:t>
            </w:r>
          </w:p>
        </w:tc>
        <w:tc>
          <w:tcPr>
            <w:tcW w:w="3800" w:type="dxa"/>
            <w:vAlign w:val="bottom"/>
          </w:tcPr>
          <w:p>
            <w:pPr>
              <w:ind w:left="100"/>
              <w:spacing w:after="0" w:line="151" w:lineRule="exact"/>
              <w:rPr>
                <w:sz w:val="20"/>
                <w:szCs w:val="20"/>
                <w:color w:val="auto"/>
              </w:rPr>
            </w:pPr>
            <w:r>
              <w:rPr>
                <w:rFonts w:ascii="Arial" w:cs="Arial" w:eastAsia="Arial" w:hAnsi="Arial"/>
                <w:sz w:val="14"/>
                <w:szCs w:val="14"/>
                <w:color w:val="auto"/>
                <w:w w:val="92"/>
              </w:rPr>
              <w:t>nominee(s), mark “For All Except” and write the number(s) of the</w:t>
            </w:r>
          </w:p>
        </w:tc>
      </w:tr>
      <w:tr>
        <w:trPr>
          <w:trHeight w:val="172"/>
        </w:trPr>
        <w:tc>
          <w:tcPr>
            <w:tcW w:w="4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3800" w:type="dxa"/>
            <w:vAlign w:val="bottom"/>
          </w:tcPr>
          <w:p>
            <w:pPr>
              <w:ind w:left="100"/>
              <w:spacing w:after="0"/>
              <w:rPr>
                <w:sz w:val="20"/>
                <w:szCs w:val="20"/>
                <w:color w:val="auto"/>
              </w:rPr>
            </w:pPr>
            <w:r>
              <w:rPr>
                <w:rFonts w:ascii="Arial" w:cs="Arial" w:eastAsia="Arial" w:hAnsi="Arial"/>
                <w:sz w:val="14"/>
                <w:szCs w:val="14"/>
                <w:color w:val="auto"/>
              </w:rPr>
              <w:t>nominee(s) on the line below.</w:t>
            </w:r>
          </w:p>
        </w:tc>
      </w:tr>
      <w:tr>
        <w:trPr>
          <w:trHeight w:val="217"/>
        </w:trPr>
        <w:tc>
          <w:tcPr>
            <w:tcW w:w="400" w:type="dxa"/>
            <w:vAlign w:val="bottom"/>
          </w:tcPr>
          <w:p>
            <w:pPr>
              <w:jc w:val="center"/>
              <w:ind w:right="132"/>
              <w:spacing w:after="0" w:line="141" w:lineRule="exact"/>
              <w:rPr>
                <w:sz w:val="20"/>
                <w:szCs w:val="20"/>
                <w:color w:val="auto"/>
              </w:rPr>
            </w:pPr>
            <w:r>
              <w:rPr>
                <w:rFonts w:ascii="MS PGothic" w:cs="MS PGothic" w:eastAsia="MS PGothic" w:hAnsi="MS PGothic"/>
                <w:sz w:val="14"/>
                <w:szCs w:val="14"/>
                <w:color w:val="auto"/>
                <w:highlight w:val="black"/>
                <w:w w:val="85"/>
              </w:rPr>
              <w:t>☐</w:t>
            </w:r>
          </w:p>
        </w:tc>
        <w:tc>
          <w:tcPr>
            <w:tcW w:w="780" w:type="dxa"/>
            <w:vAlign w:val="bottom"/>
          </w:tcPr>
          <w:p>
            <w:pPr>
              <w:jc w:val="center"/>
              <w:ind w:left="72"/>
              <w:spacing w:after="0" w:line="141" w:lineRule="exact"/>
              <w:rPr>
                <w:sz w:val="20"/>
                <w:szCs w:val="20"/>
                <w:color w:val="auto"/>
              </w:rPr>
            </w:pPr>
            <w:r>
              <w:rPr>
                <w:rFonts w:ascii="MS PGothic" w:cs="MS PGothic" w:eastAsia="MS PGothic" w:hAnsi="MS PGothic"/>
                <w:sz w:val="14"/>
                <w:szCs w:val="14"/>
                <w:color w:val="auto"/>
                <w:highlight w:val="black"/>
                <w:w w:val="85"/>
              </w:rPr>
              <w:t>☐</w:t>
            </w:r>
          </w:p>
        </w:tc>
        <w:tc>
          <w:tcPr>
            <w:tcW w:w="860" w:type="dxa"/>
            <w:vAlign w:val="bottom"/>
          </w:tcPr>
          <w:p>
            <w:pPr>
              <w:jc w:val="center"/>
              <w:ind w:right="272"/>
              <w:spacing w:after="0" w:line="141" w:lineRule="exact"/>
              <w:rPr>
                <w:sz w:val="20"/>
                <w:szCs w:val="20"/>
                <w:color w:val="auto"/>
              </w:rPr>
            </w:pPr>
            <w:r>
              <w:rPr>
                <w:rFonts w:ascii="MS PGothic" w:cs="MS PGothic" w:eastAsia="MS PGothic" w:hAnsi="MS PGothic"/>
                <w:sz w:val="14"/>
                <w:szCs w:val="14"/>
                <w:color w:val="auto"/>
                <w:highlight w:val="black"/>
                <w:w w:val="85"/>
              </w:rPr>
              <w:t>☐</w:t>
            </w:r>
          </w:p>
        </w:tc>
        <w:tc>
          <w:tcPr>
            <w:tcW w:w="3800" w:type="dxa"/>
            <w:vAlign w:val="bottom"/>
          </w:tcPr>
          <w:p>
            <w:pPr>
              <w:spacing w:after="0"/>
              <w:rPr>
                <w:sz w:val="18"/>
                <w:szCs w:val="18"/>
                <w:color w:val="auto"/>
              </w:rPr>
            </w:pPr>
          </w:p>
        </w:tc>
      </w:tr>
      <w:tr>
        <w:trPr>
          <w:trHeight w:val="54"/>
        </w:trPr>
        <w:tc>
          <w:tcPr>
            <w:tcW w:w="400" w:type="dxa"/>
            <w:vAlign w:val="bottom"/>
          </w:tcPr>
          <w:p>
            <w:pPr>
              <w:spacing w:after="0"/>
              <w:rPr>
                <w:sz w:val="4"/>
                <w:szCs w:val="4"/>
                <w:color w:val="auto"/>
              </w:rPr>
            </w:pPr>
          </w:p>
        </w:tc>
        <w:tc>
          <w:tcPr>
            <w:tcW w:w="780" w:type="dxa"/>
            <w:vAlign w:val="bottom"/>
          </w:tcPr>
          <w:p>
            <w:pPr>
              <w:spacing w:after="0"/>
              <w:rPr>
                <w:sz w:val="4"/>
                <w:szCs w:val="4"/>
                <w:color w:val="auto"/>
              </w:rPr>
            </w:pPr>
          </w:p>
        </w:tc>
        <w:tc>
          <w:tcPr>
            <w:tcW w:w="860" w:type="dxa"/>
            <w:vAlign w:val="bottom"/>
          </w:tcPr>
          <w:p>
            <w:pPr>
              <w:spacing w:after="0"/>
              <w:rPr>
                <w:sz w:val="4"/>
                <w:szCs w:val="4"/>
                <w:color w:val="auto"/>
              </w:rPr>
            </w:pPr>
          </w:p>
        </w:tc>
        <w:tc>
          <w:tcPr>
            <w:tcW w:w="3800" w:type="dxa"/>
            <w:vAlign w:val="bottom"/>
            <w:tcBorders>
              <w:bottom w:val="single" w:sz="8" w:color="auto"/>
            </w:tcBorders>
          </w:tcPr>
          <w:p>
            <w:pPr>
              <w:spacing w:after="0"/>
              <w:rPr>
                <w:sz w:val="4"/>
                <w:szCs w:val="4"/>
                <w:color w:val="auto"/>
              </w:rPr>
            </w:pPr>
          </w:p>
        </w:tc>
      </w:tr>
    </w:tbl>
    <w:p>
      <w:pPr>
        <w:spacing w:after="0" w:line="286" w:lineRule="exact"/>
        <w:rPr>
          <w:sz w:val="20"/>
          <w:szCs w:val="20"/>
          <w:color w:val="auto"/>
        </w:rPr>
      </w:pPr>
    </w:p>
    <w:p>
      <w:pPr>
        <w:sectPr>
          <w:pgSz w:w="11900" w:h="16838" w:orient="portrait"/>
          <w:cols w:equalWidth="0" w:num="2">
            <w:col w:w="3480" w:space="380"/>
            <w:col w:w="7560"/>
          </w:cols>
          <w:pgMar w:left="240" w:top="425" w:right="239" w:bottom="1440" w:gutter="0" w:footer="0" w:header="0"/>
          <w:type w:val="continuous"/>
        </w:sectPr>
      </w:pPr>
    </w:p>
    <w:p>
      <w:pPr>
        <w:ind w:left="720" w:right="7840" w:hanging="442"/>
        <w:spacing w:after="0" w:line="228" w:lineRule="auto"/>
        <w:tabs>
          <w:tab w:leader="none" w:pos="720" w:val="left"/>
        </w:tabs>
        <w:numPr>
          <w:ilvl w:val="0"/>
          <w:numId w:val="23"/>
        </w:numPr>
        <w:rPr>
          <w:rFonts w:ascii="Arial" w:cs="Arial" w:eastAsia="Arial" w:hAnsi="Arial"/>
          <w:sz w:val="14"/>
          <w:szCs w:val="14"/>
          <w:color w:val="auto"/>
        </w:rPr>
      </w:pPr>
      <w:r>
        <w:rPr>
          <w:rFonts w:ascii="Arial" w:cs="Arial" w:eastAsia="Arial" w:hAnsi="Arial"/>
          <w:sz w:val="14"/>
          <w:szCs w:val="14"/>
          <w:color w:val="auto"/>
        </w:rPr>
        <w:t>To elect the following person (except as marked to the contrary) as Class III director of PennantPark Investment Corporation, who will serve for a term of three years or until his successor is duly elected and qualified.</w:t>
      </w:r>
    </w:p>
    <w:p>
      <w:pPr>
        <w:spacing w:after="0" w:line="71" w:lineRule="exact"/>
        <w:rPr>
          <w:sz w:val="20"/>
          <w:szCs w:val="20"/>
          <w:color w:val="auto"/>
        </w:rPr>
      </w:pPr>
    </w:p>
    <w:p>
      <w:pPr>
        <w:ind w:left="720"/>
        <w:spacing w:after="0"/>
        <w:rPr>
          <w:sz w:val="20"/>
          <w:szCs w:val="20"/>
          <w:color w:val="auto"/>
        </w:rPr>
      </w:pPr>
      <w:r>
        <w:rPr>
          <w:rFonts w:ascii="Arial" w:cs="Arial" w:eastAsia="Arial" w:hAnsi="Arial"/>
          <w:sz w:val="14"/>
          <w:szCs w:val="14"/>
          <w:b w:val="1"/>
          <w:bCs w:val="1"/>
          <w:color w:val="auto"/>
        </w:rPr>
        <w:t>Nominee:</w:t>
      </w:r>
    </w:p>
    <w:p>
      <w:pPr>
        <w:spacing w:after="0" w:line="13" w:lineRule="exact"/>
        <w:rPr>
          <w:sz w:val="20"/>
          <w:szCs w:val="20"/>
          <w:color w:val="auto"/>
        </w:rPr>
      </w:pPr>
    </w:p>
    <w:p>
      <w:pPr>
        <w:ind w:left="720"/>
        <w:spacing w:after="0"/>
        <w:rPr>
          <w:sz w:val="20"/>
          <w:szCs w:val="20"/>
          <w:color w:val="auto"/>
        </w:rPr>
      </w:pPr>
      <w:r>
        <w:rPr>
          <w:rFonts w:ascii="Arial" w:cs="Arial" w:eastAsia="Arial" w:hAnsi="Arial"/>
          <w:sz w:val="14"/>
          <w:szCs w:val="14"/>
          <w:color w:val="auto"/>
        </w:rPr>
        <w:t>01)  Arthur H. Penn</w:t>
      </w:r>
    </w:p>
    <w:p>
      <w:pPr>
        <w:spacing w:after="0" w:line="56" w:lineRule="exact"/>
        <w:rPr>
          <w:sz w:val="20"/>
          <w:szCs w:val="20"/>
          <w:color w:val="auto"/>
        </w:rPr>
      </w:pPr>
    </w:p>
    <w:tbl>
      <w:tblPr>
        <w:tblLayout w:type="fixed"/>
        <w:tblInd w:w="280" w:type="dxa"/>
        <w:tblCellMar>
          <w:top w:w="0" w:type="dxa"/>
          <w:left w:w="0" w:type="dxa"/>
          <w:bottom w:w="0" w:type="dxa"/>
          <w:right w:w="0" w:type="dxa"/>
        </w:tblCellMar>
      </w:tblPr>
      <w:tr>
        <w:trPr>
          <w:trHeight w:val="174"/>
        </w:trPr>
        <w:tc>
          <w:tcPr>
            <w:tcW w:w="9520" w:type="dxa"/>
            <w:vAlign w:val="bottom"/>
            <w:gridSpan w:val="2"/>
          </w:tcPr>
          <w:p>
            <w:pPr>
              <w:spacing w:after="0"/>
              <w:rPr>
                <w:sz w:val="20"/>
                <w:szCs w:val="20"/>
                <w:color w:val="auto"/>
              </w:rPr>
            </w:pPr>
            <w:r>
              <w:rPr>
                <w:rFonts w:ascii="Arial" w:cs="Arial" w:eastAsia="Arial" w:hAnsi="Arial"/>
                <w:sz w:val="14"/>
                <w:szCs w:val="14"/>
                <w:b w:val="1"/>
                <w:bCs w:val="1"/>
                <w:color w:val="auto"/>
              </w:rPr>
              <w:t>Vote on Proposals</w:t>
            </w:r>
          </w:p>
        </w:tc>
        <w:tc>
          <w:tcPr>
            <w:tcW w:w="4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500" w:type="dxa"/>
            <w:vAlign w:val="bottom"/>
          </w:tcPr>
          <w:p>
            <w:pPr>
              <w:spacing w:after="0"/>
              <w:rPr>
                <w:sz w:val="15"/>
                <w:szCs w:val="15"/>
                <w:color w:val="auto"/>
              </w:rPr>
            </w:pPr>
          </w:p>
        </w:tc>
      </w:tr>
      <w:tr>
        <w:trPr>
          <w:trHeight w:val="243"/>
        </w:trPr>
        <w:tc>
          <w:tcPr>
            <w:tcW w:w="9520" w:type="dxa"/>
            <w:vAlign w:val="bottom"/>
            <w:gridSpan w:val="2"/>
          </w:tcPr>
          <w:p>
            <w:pPr>
              <w:spacing w:after="0"/>
              <w:rPr>
                <w:sz w:val="20"/>
                <w:szCs w:val="20"/>
                <w:color w:val="auto"/>
              </w:rPr>
            </w:pPr>
            <w:r>
              <w:rPr>
                <w:rFonts w:ascii="Arial" w:cs="Arial" w:eastAsia="Arial" w:hAnsi="Arial"/>
                <w:sz w:val="14"/>
                <w:szCs w:val="14"/>
                <w:b w:val="1"/>
                <w:bCs w:val="1"/>
                <w:color w:val="auto"/>
              </w:rPr>
              <w:t>The Board of Directors recommends you vote FOR the following proposal(s):</w:t>
            </w:r>
          </w:p>
        </w:tc>
        <w:tc>
          <w:tcPr>
            <w:tcW w:w="420" w:type="dxa"/>
            <w:vAlign w:val="bottom"/>
          </w:tcPr>
          <w:p>
            <w:pPr>
              <w:jc w:val="center"/>
              <w:ind w:left="32"/>
              <w:spacing w:after="0"/>
              <w:rPr>
                <w:sz w:val="20"/>
                <w:szCs w:val="20"/>
                <w:color w:val="auto"/>
              </w:rPr>
            </w:pPr>
            <w:r>
              <w:rPr>
                <w:rFonts w:ascii="Arial" w:cs="Arial" w:eastAsia="Arial" w:hAnsi="Arial"/>
                <w:sz w:val="14"/>
                <w:szCs w:val="14"/>
                <w:b w:val="1"/>
                <w:bCs w:val="1"/>
                <w:color w:val="auto"/>
                <w:w w:val="88"/>
              </w:rPr>
              <w:t>For</w:t>
            </w:r>
          </w:p>
        </w:tc>
        <w:tc>
          <w:tcPr>
            <w:tcW w:w="560" w:type="dxa"/>
            <w:vAlign w:val="bottom"/>
          </w:tcPr>
          <w:p>
            <w:pPr>
              <w:jc w:val="center"/>
              <w:spacing w:after="0"/>
              <w:rPr>
                <w:sz w:val="20"/>
                <w:szCs w:val="20"/>
                <w:color w:val="auto"/>
              </w:rPr>
            </w:pPr>
            <w:r>
              <w:rPr>
                <w:rFonts w:ascii="Arial" w:cs="Arial" w:eastAsia="Arial" w:hAnsi="Arial"/>
                <w:sz w:val="14"/>
                <w:szCs w:val="14"/>
                <w:b w:val="1"/>
                <w:bCs w:val="1"/>
                <w:color w:val="auto"/>
                <w:w w:val="85"/>
              </w:rPr>
              <w:t>Against</w:t>
            </w:r>
          </w:p>
        </w:tc>
        <w:tc>
          <w:tcPr>
            <w:tcW w:w="500" w:type="dxa"/>
            <w:vAlign w:val="bottom"/>
          </w:tcPr>
          <w:p>
            <w:pPr>
              <w:jc w:val="center"/>
              <w:spacing w:after="0"/>
              <w:rPr>
                <w:sz w:val="20"/>
                <w:szCs w:val="20"/>
                <w:color w:val="auto"/>
              </w:rPr>
            </w:pPr>
            <w:r>
              <w:rPr>
                <w:rFonts w:ascii="Arial" w:cs="Arial" w:eastAsia="Arial" w:hAnsi="Arial"/>
                <w:sz w:val="14"/>
                <w:szCs w:val="14"/>
                <w:b w:val="1"/>
                <w:bCs w:val="1"/>
                <w:color w:val="auto"/>
                <w:w w:val="85"/>
              </w:rPr>
              <w:t>Abstain</w:t>
            </w:r>
          </w:p>
        </w:tc>
      </w:tr>
      <w:tr>
        <w:trPr>
          <w:trHeight w:val="219"/>
        </w:trPr>
        <w:tc>
          <w:tcPr>
            <w:tcW w:w="280" w:type="dxa"/>
            <w:vAlign w:val="bottom"/>
          </w:tcPr>
          <w:p>
            <w:pPr>
              <w:spacing w:after="0"/>
              <w:rPr>
                <w:sz w:val="20"/>
                <w:szCs w:val="20"/>
                <w:color w:val="auto"/>
              </w:rPr>
            </w:pPr>
            <w:r>
              <w:rPr>
                <w:rFonts w:ascii="Arial" w:cs="Arial" w:eastAsia="Arial" w:hAnsi="Arial"/>
                <w:sz w:val="14"/>
                <w:szCs w:val="14"/>
                <w:color w:val="auto"/>
              </w:rPr>
              <w:t>2.</w:t>
            </w:r>
          </w:p>
        </w:tc>
        <w:tc>
          <w:tcPr>
            <w:tcW w:w="9240" w:type="dxa"/>
            <w:vAlign w:val="bottom"/>
          </w:tcPr>
          <w:p>
            <w:pPr>
              <w:ind w:left="160"/>
              <w:spacing w:after="0"/>
              <w:rPr>
                <w:sz w:val="20"/>
                <w:szCs w:val="20"/>
                <w:color w:val="auto"/>
              </w:rPr>
            </w:pPr>
            <w:r>
              <w:rPr>
                <w:rFonts w:ascii="Arial" w:cs="Arial" w:eastAsia="Arial" w:hAnsi="Arial"/>
                <w:sz w:val="14"/>
                <w:szCs w:val="14"/>
                <w:color w:val="auto"/>
                <w:w w:val="92"/>
              </w:rPr>
              <w:t>To ratify the selection of KPMG LLP to serve as PennantPark Investment Corporation’s independent registered public accounting firm for the fiscal year ending</w:t>
            </w:r>
          </w:p>
        </w:tc>
        <w:tc>
          <w:tcPr>
            <w:tcW w:w="420" w:type="dxa"/>
            <w:vAlign w:val="bottom"/>
          </w:tcPr>
          <w:p>
            <w:pPr>
              <w:jc w:val="center"/>
              <w:ind w:left="32"/>
              <w:spacing w:after="0" w:line="141" w:lineRule="exact"/>
              <w:rPr>
                <w:sz w:val="20"/>
                <w:szCs w:val="20"/>
                <w:color w:val="auto"/>
              </w:rPr>
            </w:pPr>
            <w:r>
              <w:rPr>
                <w:rFonts w:ascii="MS PGothic" w:cs="MS PGothic" w:eastAsia="MS PGothic" w:hAnsi="MS PGothic"/>
                <w:sz w:val="14"/>
                <w:szCs w:val="14"/>
                <w:color w:val="auto"/>
                <w:highlight w:val="black"/>
                <w:w w:val="85"/>
              </w:rPr>
              <w:t>☐</w:t>
            </w:r>
          </w:p>
        </w:tc>
        <w:tc>
          <w:tcPr>
            <w:tcW w:w="560" w:type="dxa"/>
            <w:vAlign w:val="bottom"/>
          </w:tcPr>
          <w:p>
            <w:pPr>
              <w:jc w:val="center"/>
              <w:spacing w:after="0" w:line="141" w:lineRule="exact"/>
              <w:rPr>
                <w:sz w:val="20"/>
                <w:szCs w:val="20"/>
                <w:color w:val="auto"/>
              </w:rPr>
            </w:pPr>
            <w:r>
              <w:rPr>
                <w:rFonts w:ascii="MS PGothic" w:cs="MS PGothic" w:eastAsia="MS PGothic" w:hAnsi="MS PGothic"/>
                <w:sz w:val="14"/>
                <w:szCs w:val="14"/>
                <w:color w:val="auto"/>
                <w:highlight w:val="black"/>
                <w:w w:val="85"/>
              </w:rPr>
              <w:t>☐</w:t>
            </w:r>
          </w:p>
        </w:tc>
        <w:tc>
          <w:tcPr>
            <w:tcW w:w="500" w:type="dxa"/>
            <w:vAlign w:val="bottom"/>
          </w:tcPr>
          <w:p>
            <w:pPr>
              <w:jc w:val="center"/>
              <w:spacing w:after="0" w:line="141" w:lineRule="exact"/>
              <w:rPr>
                <w:sz w:val="20"/>
                <w:szCs w:val="20"/>
                <w:color w:val="auto"/>
              </w:rPr>
            </w:pPr>
            <w:r>
              <w:rPr>
                <w:rFonts w:ascii="MS PGothic" w:cs="MS PGothic" w:eastAsia="MS PGothic" w:hAnsi="MS PGothic"/>
                <w:sz w:val="14"/>
                <w:szCs w:val="14"/>
                <w:color w:val="auto"/>
                <w:highlight w:val="black"/>
                <w:w w:val="85"/>
              </w:rPr>
              <w:t>☐</w:t>
            </w:r>
          </w:p>
        </w:tc>
      </w:tr>
      <w:tr>
        <w:trPr>
          <w:trHeight w:val="172"/>
        </w:trPr>
        <w:tc>
          <w:tcPr>
            <w:tcW w:w="280" w:type="dxa"/>
            <w:vAlign w:val="bottom"/>
          </w:tcPr>
          <w:p>
            <w:pPr>
              <w:spacing w:after="0"/>
              <w:rPr>
                <w:sz w:val="14"/>
                <w:szCs w:val="14"/>
                <w:color w:val="auto"/>
              </w:rPr>
            </w:pPr>
          </w:p>
        </w:tc>
        <w:tc>
          <w:tcPr>
            <w:tcW w:w="9240" w:type="dxa"/>
            <w:vAlign w:val="bottom"/>
          </w:tcPr>
          <w:p>
            <w:pPr>
              <w:ind w:left="160"/>
              <w:spacing w:after="0"/>
              <w:rPr>
                <w:sz w:val="20"/>
                <w:szCs w:val="20"/>
                <w:color w:val="auto"/>
              </w:rPr>
            </w:pPr>
            <w:r>
              <w:rPr>
                <w:rFonts w:ascii="Arial" w:cs="Arial" w:eastAsia="Arial" w:hAnsi="Arial"/>
                <w:sz w:val="14"/>
                <w:szCs w:val="14"/>
                <w:color w:val="auto"/>
              </w:rPr>
              <w:t>September 30, 2010.</w:t>
            </w:r>
          </w:p>
        </w:tc>
        <w:tc>
          <w:tcPr>
            <w:tcW w:w="4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500" w:type="dxa"/>
            <w:vAlign w:val="bottom"/>
          </w:tcPr>
          <w:p>
            <w:pPr>
              <w:spacing w:after="0"/>
              <w:rPr>
                <w:sz w:val="14"/>
                <w:szCs w:val="14"/>
                <w:color w:val="auto"/>
              </w:rPr>
            </w:pPr>
          </w:p>
        </w:tc>
      </w:tr>
      <w:tr>
        <w:trPr>
          <w:trHeight w:val="219"/>
        </w:trPr>
        <w:tc>
          <w:tcPr>
            <w:tcW w:w="280" w:type="dxa"/>
            <w:vAlign w:val="bottom"/>
          </w:tcPr>
          <w:p>
            <w:pPr>
              <w:spacing w:after="0"/>
              <w:rPr>
                <w:sz w:val="20"/>
                <w:szCs w:val="20"/>
                <w:color w:val="auto"/>
              </w:rPr>
            </w:pPr>
            <w:r>
              <w:rPr>
                <w:rFonts w:ascii="Arial" w:cs="Arial" w:eastAsia="Arial" w:hAnsi="Arial"/>
                <w:sz w:val="14"/>
                <w:szCs w:val="14"/>
                <w:color w:val="auto"/>
              </w:rPr>
              <w:t>3.</w:t>
            </w:r>
          </w:p>
        </w:tc>
        <w:tc>
          <w:tcPr>
            <w:tcW w:w="9240" w:type="dxa"/>
            <w:vAlign w:val="bottom"/>
          </w:tcPr>
          <w:p>
            <w:pPr>
              <w:ind w:left="160"/>
              <w:spacing w:after="0"/>
              <w:rPr>
                <w:sz w:val="20"/>
                <w:szCs w:val="20"/>
                <w:color w:val="auto"/>
              </w:rPr>
            </w:pPr>
            <w:r>
              <w:rPr>
                <w:rFonts w:ascii="Arial" w:cs="Arial" w:eastAsia="Arial" w:hAnsi="Arial"/>
                <w:sz w:val="14"/>
                <w:szCs w:val="14"/>
                <w:color w:val="auto"/>
                <w:w w:val="89"/>
              </w:rPr>
              <w:t>To consider and vote upon a proposal to authorize flexibility for us, with the approval of our Board of Directors, to sell shares of our Common Stock (during the next</w:t>
            </w:r>
          </w:p>
        </w:tc>
        <w:tc>
          <w:tcPr>
            <w:tcW w:w="420" w:type="dxa"/>
            <w:vAlign w:val="bottom"/>
          </w:tcPr>
          <w:p>
            <w:pPr>
              <w:jc w:val="center"/>
              <w:ind w:left="32"/>
              <w:spacing w:after="0" w:line="141" w:lineRule="exact"/>
              <w:rPr>
                <w:sz w:val="20"/>
                <w:szCs w:val="20"/>
                <w:color w:val="auto"/>
              </w:rPr>
            </w:pPr>
            <w:r>
              <w:rPr>
                <w:rFonts w:ascii="MS PGothic" w:cs="MS PGothic" w:eastAsia="MS PGothic" w:hAnsi="MS PGothic"/>
                <w:sz w:val="14"/>
                <w:szCs w:val="14"/>
                <w:color w:val="auto"/>
                <w:highlight w:val="black"/>
                <w:w w:val="85"/>
              </w:rPr>
              <w:t>☐</w:t>
            </w:r>
          </w:p>
        </w:tc>
        <w:tc>
          <w:tcPr>
            <w:tcW w:w="560" w:type="dxa"/>
            <w:vAlign w:val="bottom"/>
          </w:tcPr>
          <w:p>
            <w:pPr>
              <w:jc w:val="center"/>
              <w:spacing w:after="0" w:line="141" w:lineRule="exact"/>
              <w:rPr>
                <w:sz w:val="20"/>
                <w:szCs w:val="20"/>
                <w:color w:val="auto"/>
              </w:rPr>
            </w:pPr>
            <w:r>
              <w:rPr>
                <w:rFonts w:ascii="MS PGothic" w:cs="MS PGothic" w:eastAsia="MS PGothic" w:hAnsi="MS PGothic"/>
                <w:sz w:val="14"/>
                <w:szCs w:val="14"/>
                <w:color w:val="auto"/>
                <w:highlight w:val="black"/>
                <w:w w:val="85"/>
              </w:rPr>
              <w:t>☐</w:t>
            </w:r>
          </w:p>
        </w:tc>
        <w:tc>
          <w:tcPr>
            <w:tcW w:w="500" w:type="dxa"/>
            <w:vAlign w:val="bottom"/>
          </w:tcPr>
          <w:p>
            <w:pPr>
              <w:jc w:val="center"/>
              <w:spacing w:after="0" w:line="141" w:lineRule="exact"/>
              <w:rPr>
                <w:sz w:val="20"/>
                <w:szCs w:val="20"/>
                <w:color w:val="auto"/>
              </w:rPr>
            </w:pPr>
            <w:r>
              <w:rPr>
                <w:rFonts w:ascii="MS PGothic" w:cs="MS PGothic" w:eastAsia="MS PGothic" w:hAnsi="MS PGothic"/>
                <w:sz w:val="14"/>
                <w:szCs w:val="14"/>
                <w:color w:val="auto"/>
                <w:highlight w:val="black"/>
                <w:w w:val="85"/>
              </w:rPr>
              <w:t>☐</w:t>
            </w:r>
          </w:p>
        </w:tc>
      </w:tr>
      <w:tr>
        <w:trPr>
          <w:trHeight w:val="172"/>
        </w:trPr>
        <w:tc>
          <w:tcPr>
            <w:tcW w:w="280" w:type="dxa"/>
            <w:vAlign w:val="bottom"/>
          </w:tcPr>
          <w:p>
            <w:pPr>
              <w:spacing w:after="0"/>
              <w:rPr>
                <w:sz w:val="14"/>
                <w:szCs w:val="14"/>
                <w:color w:val="auto"/>
              </w:rPr>
            </w:pPr>
          </w:p>
        </w:tc>
        <w:tc>
          <w:tcPr>
            <w:tcW w:w="9240" w:type="dxa"/>
            <w:vAlign w:val="bottom"/>
          </w:tcPr>
          <w:p>
            <w:pPr>
              <w:ind w:left="160"/>
              <w:spacing w:after="0"/>
              <w:rPr>
                <w:sz w:val="20"/>
                <w:szCs w:val="20"/>
                <w:color w:val="auto"/>
              </w:rPr>
            </w:pPr>
            <w:r>
              <w:rPr>
                <w:rFonts w:ascii="Arial" w:cs="Arial" w:eastAsia="Arial" w:hAnsi="Arial"/>
                <w:sz w:val="14"/>
                <w:szCs w:val="14"/>
                <w:color w:val="auto"/>
              </w:rPr>
              <w:t>12 months) at a price below our then current net asset value per share, subject to certain limitations described in the proxy statement;</w:t>
            </w:r>
          </w:p>
        </w:tc>
        <w:tc>
          <w:tcPr>
            <w:tcW w:w="4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500" w:type="dxa"/>
            <w:vAlign w:val="bottom"/>
          </w:tcPr>
          <w:p>
            <w:pPr>
              <w:spacing w:after="0"/>
              <w:rPr>
                <w:sz w:val="14"/>
                <w:szCs w:val="14"/>
                <w:color w:val="auto"/>
              </w:rPr>
            </w:pPr>
          </w:p>
        </w:tc>
      </w:tr>
    </w:tbl>
    <w:p>
      <w:pPr>
        <w:spacing w:after="0" w:line="71" w:lineRule="exact"/>
        <w:rPr>
          <w:sz w:val="20"/>
          <w:szCs w:val="20"/>
          <w:color w:val="auto"/>
        </w:rPr>
      </w:pPr>
    </w:p>
    <w:p>
      <w:pPr>
        <w:ind w:left="720" w:hanging="442"/>
        <w:spacing w:after="0"/>
        <w:tabs>
          <w:tab w:leader="none" w:pos="720" w:val="left"/>
        </w:tabs>
        <w:numPr>
          <w:ilvl w:val="0"/>
          <w:numId w:val="24"/>
        </w:numPr>
        <w:rPr>
          <w:rFonts w:ascii="Arial" w:cs="Arial" w:eastAsia="Arial" w:hAnsi="Arial"/>
          <w:sz w:val="14"/>
          <w:szCs w:val="14"/>
          <w:color w:val="auto"/>
        </w:rPr>
      </w:pPr>
      <w:r>
        <w:rPr>
          <w:rFonts w:ascii="Arial" w:cs="Arial" w:eastAsia="Arial" w:hAnsi="Arial"/>
          <w:sz w:val="14"/>
          <w:szCs w:val="14"/>
          <w:color w:val="auto"/>
        </w:rPr>
        <w:t>To transact such other business as may properly come before the Meeting or any adjournments or postponements thereof.</w:t>
      </w:r>
    </w:p>
    <w:p>
      <w:pPr>
        <w:spacing w:after="0" w:line="80" w:lineRule="exact"/>
        <w:rPr>
          <w:sz w:val="20"/>
          <w:szCs w:val="20"/>
          <w:color w:val="auto"/>
        </w:rPr>
      </w:pPr>
    </w:p>
    <w:p>
      <w:pPr>
        <w:ind w:left="280" w:right="1940"/>
        <w:spacing w:after="0" w:line="241" w:lineRule="auto"/>
        <w:rPr>
          <w:sz w:val="20"/>
          <w:szCs w:val="20"/>
          <w:color w:val="auto"/>
        </w:rPr>
      </w:pPr>
      <w:r>
        <w:rPr>
          <w:rFonts w:ascii="Arial" w:cs="Arial" w:eastAsia="Arial" w:hAnsi="Arial"/>
          <w:sz w:val="14"/>
          <w:szCs w:val="14"/>
          <w:b w:val="1"/>
          <w:bCs w:val="1"/>
          <w:color w:val="auto"/>
        </w:rPr>
        <w:t>THIS PROXY IS REVOCABLE AND WILL BE VOTED AS DIRECTED, BUT IF NO INSTRUCTIONS ARE SPECIFIED, THIS PROXY WILL BE VOTED “FOR” EACH PROPOSAL LISTED.</w:t>
      </w:r>
    </w:p>
    <w:p>
      <w:pPr>
        <w:spacing w:after="0" w:line="70" w:lineRule="exact"/>
        <w:rPr>
          <w:sz w:val="20"/>
          <w:szCs w:val="20"/>
          <w:color w:val="auto"/>
        </w:rPr>
      </w:pPr>
    </w:p>
    <w:p>
      <w:pPr>
        <w:ind w:left="280" w:right="1840" w:firstLine="432"/>
        <w:spacing w:after="0" w:line="278" w:lineRule="auto"/>
        <w:rPr>
          <w:sz w:val="20"/>
          <w:szCs w:val="20"/>
          <w:color w:val="auto"/>
        </w:rPr>
      </w:pPr>
      <w:r>
        <w:rPr>
          <w:rFonts w:ascii="Arial" w:cs="Arial" w:eastAsia="Arial" w:hAnsi="Arial"/>
          <w:sz w:val="12"/>
          <w:szCs w:val="12"/>
          <w:color w:val="auto"/>
        </w:rPr>
        <w:t>If any other business is presented at the meeting, this proxy will be voted by the proxies in their discretion, including a motion to adjourn or postpone the meeting to another time and/or place for the purpose of soliciting additional proxies. At the present time, the Board of Directors knows of no other business to be presented at the meeting. THE UNDERSIGNED ACKNOWLEDGES THE ABILITY TO ACCESS, PRIOR TO THE EXECUTION OF THIS PROXY, THE COMPANY’S ANNUAL REPORT, A NOTICE OF ANNUAL MEETING OF STOCKHOLDERS AND A PROXY STATEMENT.</w:t>
      </w:r>
    </w:p>
    <w:p>
      <w:pPr>
        <w:spacing w:after="0" w:line="24" w:lineRule="exact"/>
        <w:rPr>
          <w:sz w:val="20"/>
          <w:szCs w:val="20"/>
          <w:color w:val="auto"/>
        </w:rPr>
      </w:pPr>
    </w:p>
    <w:p>
      <w:pPr>
        <w:ind w:left="280"/>
        <w:spacing w:after="0" w:line="138" w:lineRule="exact"/>
        <w:tabs>
          <w:tab w:leader="none" w:pos="5600" w:val="left"/>
        </w:tabs>
        <w:rPr>
          <w:sz w:val="20"/>
          <w:szCs w:val="20"/>
          <w:color w:val="auto"/>
        </w:rPr>
      </w:pPr>
      <w:r>
        <w:rPr>
          <w:rFonts w:ascii="Arial" w:cs="Arial" w:eastAsia="Arial" w:hAnsi="Arial"/>
          <w:sz w:val="12"/>
          <w:szCs w:val="12"/>
          <w:color w:val="auto"/>
        </w:rPr>
        <w:t>For address changes and/or comments, please check this box and write them on the back where</w:t>
      </w:r>
      <w:r>
        <w:rPr>
          <w:sz w:val="20"/>
          <w:szCs w:val="20"/>
          <w:color w:val="auto"/>
        </w:rPr>
        <w:tab/>
      </w:r>
      <w:r>
        <w:rPr>
          <w:rFonts w:ascii="MS PGothic" w:cs="MS PGothic" w:eastAsia="MS PGothic" w:hAnsi="MS PGothic"/>
          <w:sz w:val="12"/>
          <w:szCs w:val="12"/>
          <w:color w:val="auto"/>
          <w:highlight w:val="black"/>
        </w:rPr>
        <w:t>☐</w:t>
      </w:r>
    </w:p>
    <w:p>
      <w:pPr>
        <w:spacing w:after="0" w:line="47" w:lineRule="exact"/>
        <w:rPr>
          <w:sz w:val="20"/>
          <w:szCs w:val="20"/>
          <w:color w:val="auto"/>
        </w:rPr>
      </w:pPr>
    </w:p>
    <w:p>
      <w:pPr>
        <w:ind w:left="280"/>
        <w:spacing w:after="0"/>
        <w:rPr>
          <w:sz w:val="20"/>
          <w:szCs w:val="20"/>
          <w:color w:val="auto"/>
        </w:rPr>
      </w:pPr>
      <w:r>
        <w:rPr>
          <w:rFonts w:ascii="Arial" w:cs="Arial" w:eastAsia="Arial" w:hAnsi="Arial"/>
          <w:sz w:val="14"/>
          <w:szCs w:val="14"/>
          <w:color w:val="auto"/>
        </w:rPr>
        <w:t>indicated.</w:t>
      </w:r>
    </w:p>
    <w:p>
      <w:pPr>
        <w:spacing w:after="0" w:line="46" w:lineRule="exact"/>
        <w:rPr>
          <w:sz w:val="20"/>
          <w:szCs w:val="20"/>
          <w:color w:val="auto"/>
        </w:rPr>
      </w:pPr>
    </w:p>
    <w:p>
      <w:pPr>
        <w:ind w:left="280"/>
        <w:spacing w:after="0" w:line="161" w:lineRule="exact"/>
        <w:tabs>
          <w:tab w:leader="none" w:pos="4640" w:val="left"/>
          <w:tab w:leader="none" w:pos="5220" w:val="left"/>
        </w:tabs>
        <w:rPr>
          <w:sz w:val="20"/>
          <w:szCs w:val="20"/>
          <w:color w:val="auto"/>
        </w:rPr>
      </w:pPr>
      <w:r>
        <w:rPr>
          <w:rFonts w:ascii="Arial" w:cs="Arial" w:eastAsia="Arial" w:hAnsi="Arial"/>
          <w:sz w:val="14"/>
          <w:szCs w:val="14"/>
          <w:color w:val="auto"/>
        </w:rPr>
        <w:t>Please indicate if you plan to attend this meeting.</w:t>
      </w:r>
      <w:r>
        <w:rPr>
          <w:sz w:val="20"/>
          <w:szCs w:val="20"/>
          <w:color w:val="auto"/>
        </w:rPr>
        <w:tab/>
      </w:r>
      <w:r>
        <w:rPr>
          <w:rFonts w:ascii="MS PGothic" w:cs="MS PGothic" w:eastAsia="MS PGothic" w:hAnsi="MS PGothic"/>
          <w:sz w:val="14"/>
          <w:szCs w:val="14"/>
          <w:color w:val="auto"/>
          <w:highlight w:val="black"/>
        </w:rPr>
        <w:t>☐</w:t>
      </w:r>
      <w:r>
        <w:rPr>
          <w:sz w:val="20"/>
          <w:szCs w:val="20"/>
          <w:color w:val="auto"/>
        </w:rPr>
        <w:tab/>
      </w:r>
      <w:r>
        <w:rPr>
          <w:rFonts w:ascii="MS PGothic" w:cs="MS PGothic" w:eastAsia="MS PGothic" w:hAnsi="MS PGothic"/>
          <w:sz w:val="12"/>
          <w:szCs w:val="12"/>
          <w:color w:val="auto"/>
          <w:highlight w:val="black"/>
        </w:rPr>
        <w:t>☐</w:t>
      </w:r>
    </w:p>
    <w:p>
      <w:pPr>
        <w:spacing w:after="0" w:line="105" w:lineRule="exact"/>
        <w:rPr>
          <w:sz w:val="20"/>
          <w:szCs w:val="20"/>
          <w:color w:val="auto"/>
        </w:rPr>
      </w:pPr>
    </w:p>
    <w:p>
      <w:pPr>
        <w:ind w:left="4620"/>
        <w:spacing w:after="0"/>
        <w:tabs>
          <w:tab w:leader="none" w:pos="5200" w:val="left"/>
        </w:tabs>
        <w:rPr>
          <w:sz w:val="20"/>
          <w:szCs w:val="20"/>
          <w:color w:val="auto"/>
        </w:rPr>
      </w:pPr>
      <w:r>
        <w:rPr>
          <w:rFonts w:ascii="Arial" w:cs="Arial" w:eastAsia="Arial" w:hAnsi="Arial"/>
          <w:sz w:val="14"/>
          <w:szCs w:val="14"/>
          <w:b w:val="1"/>
          <w:bCs w:val="1"/>
          <w:color w:val="auto"/>
        </w:rPr>
        <w:t>Yes</w:t>
      </w:r>
      <w:r>
        <w:rPr>
          <w:sz w:val="20"/>
          <w:szCs w:val="20"/>
          <w:color w:val="auto"/>
        </w:rPr>
        <w:tab/>
      </w:r>
      <w:r>
        <w:rPr>
          <w:rFonts w:ascii="Arial" w:cs="Arial" w:eastAsia="Arial" w:hAnsi="Arial"/>
          <w:sz w:val="14"/>
          <w:szCs w:val="14"/>
          <w:b w:val="1"/>
          <w:bCs w:val="1"/>
          <w:color w:val="auto"/>
        </w:rPr>
        <w:t>No</w:t>
      </w:r>
    </w:p>
    <w:p>
      <w:pPr>
        <w:spacing w:after="0" w:line="84" w:lineRule="exact"/>
        <w:rPr>
          <w:sz w:val="20"/>
          <w:szCs w:val="20"/>
          <w:color w:val="auto"/>
        </w:rPr>
      </w:pPr>
    </w:p>
    <w:p>
      <w:pPr>
        <w:jc w:val="both"/>
        <w:ind w:left="280" w:right="1940"/>
        <w:spacing w:after="0" w:line="233" w:lineRule="auto"/>
        <w:rPr>
          <w:sz w:val="20"/>
          <w:szCs w:val="20"/>
          <w:color w:val="auto"/>
        </w:rPr>
      </w:pPr>
      <w:r>
        <w:rPr>
          <w:rFonts w:ascii="Arial" w:cs="Arial" w:eastAsia="Arial" w:hAnsi="Arial"/>
          <w:sz w:val="14"/>
          <w:szCs w:val="14"/>
          <w:color w:val="auto"/>
        </w:rPr>
        <w:t>(NOTE: Please sign exactly as your name(s) appear(s) hereon. All holders must sign. When signing as attorney, executor, administrator, or other fiduciary, please give full title as such. Joint owners should each sign personally. If a corporation, please sign in full corporate name by authorized officer. If a partnership, please sign in partnership name by authorized person.)</w:t>
      </w: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ind w:left="280"/>
        <w:spacing w:after="0"/>
        <w:tabs>
          <w:tab w:leader="none" w:pos="3720" w:val="left"/>
          <w:tab w:leader="none" w:pos="5980" w:val="left"/>
          <w:tab w:leader="none" w:pos="9220" w:val="left"/>
        </w:tabs>
        <w:rPr>
          <w:sz w:val="20"/>
          <w:szCs w:val="20"/>
          <w:color w:val="auto"/>
        </w:rPr>
      </w:pPr>
      <w:r>
        <w:rPr>
          <w:rFonts w:ascii="Arial" w:cs="Arial" w:eastAsia="Arial" w:hAnsi="Arial"/>
          <w:sz w:val="14"/>
          <w:szCs w:val="14"/>
          <w:color w:val="auto"/>
        </w:rPr>
        <w:t>Signature [PLEASE SIGN WITHIN BOX]</w:t>
      </w:r>
      <w:r>
        <w:rPr>
          <w:sz w:val="20"/>
          <w:szCs w:val="20"/>
          <w:color w:val="auto"/>
        </w:rPr>
        <w:tab/>
      </w:r>
      <w:r>
        <w:rPr>
          <w:rFonts w:ascii="Arial" w:cs="Arial" w:eastAsia="Arial" w:hAnsi="Arial"/>
          <w:sz w:val="14"/>
          <w:szCs w:val="14"/>
          <w:color w:val="auto"/>
        </w:rPr>
        <w:t>Date</w:t>
      </w:r>
      <w:r>
        <w:rPr>
          <w:sz w:val="20"/>
          <w:szCs w:val="20"/>
          <w:color w:val="auto"/>
        </w:rPr>
        <w:tab/>
      </w:r>
      <w:r>
        <w:rPr>
          <w:rFonts w:ascii="Arial" w:cs="Arial" w:eastAsia="Arial" w:hAnsi="Arial"/>
          <w:sz w:val="14"/>
          <w:szCs w:val="14"/>
          <w:color w:val="auto"/>
        </w:rPr>
        <w:t>Signature (Joint Owners)</w:t>
      </w:r>
      <w:r>
        <w:rPr>
          <w:sz w:val="20"/>
          <w:szCs w:val="20"/>
          <w:color w:val="auto"/>
        </w:rPr>
        <w:tab/>
      </w:r>
      <w:r>
        <w:rPr>
          <w:rFonts w:ascii="Arial" w:cs="Arial" w:eastAsia="Arial" w:hAnsi="Arial"/>
          <w:sz w:val="12"/>
          <w:szCs w:val="12"/>
          <w:color w:val="auto"/>
        </w:rPr>
        <w:t>Date</w:t>
      </w:r>
    </w:p>
    <w:p>
      <w:pPr>
        <w:sectPr>
          <w:pgSz w:w="11900" w:h="16838" w:orient="portrait"/>
          <w:cols w:equalWidth="0" w:num="1">
            <w:col w:w="11420"/>
          </w:cols>
          <w:pgMar w:left="240" w:top="425" w:right="239" w:bottom="1440" w:gutter="0" w:footer="0" w:header="0"/>
          <w:type w:val="continuous"/>
        </w:sectPr>
      </w:pPr>
    </w:p>
    <w:bookmarkStart w:id="31" w:name="page32"/>
    <w:bookmarkEnd w:id="31"/>
    <w:p>
      <w:pPr>
        <w:jc w:val="center"/>
        <w:ind w:right="36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89165" cy="38735"/>
                    </a:xfrm>
                    <a:prstGeom prst="rect">
                      <a:avLst/>
                    </a:prstGeom>
                    <a:noFill/>
                  </pic:spPr>
                </pic:pic>
              </a:graphicData>
            </a:graphic>
          </wp:anchor>
        </w:drawing>
        <w:t>ANNUAL MEETING OF STOCKHOLDERS OF</w:t>
      </w:r>
    </w:p>
    <w:p>
      <w:pPr>
        <w:spacing w:after="0" w:line="21" w:lineRule="exact"/>
        <w:rPr>
          <w:sz w:val="20"/>
          <w:szCs w:val="20"/>
          <w:color w:val="auto"/>
        </w:rPr>
      </w:pPr>
    </w:p>
    <w:p>
      <w:pPr>
        <w:jc w:val="center"/>
        <w:ind w:right="360"/>
        <w:spacing w:after="0"/>
        <w:rPr>
          <w:sz w:val="20"/>
          <w:szCs w:val="20"/>
          <w:color w:val="auto"/>
        </w:rPr>
      </w:pPr>
      <w:r>
        <w:rPr>
          <w:rFonts w:ascii="Arial" w:cs="Arial" w:eastAsia="Arial" w:hAnsi="Arial"/>
          <w:sz w:val="18"/>
          <w:szCs w:val="18"/>
          <w:b w:val="1"/>
          <w:bCs w:val="1"/>
          <w:color w:val="auto"/>
        </w:rPr>
        <w:t>PENNANTPARK INVESTMENT CORPORATION</w:t>
      </w:r>
    </w:p>
    <w:p>
      <w:pPr>
        <w:spacing w:after="0" w:line="159" w:lineRule="exact"/>
        <w:rPr>
          <w:sz w:val="20"/>
          <w:szCs w:val="20"/>
          <w:color w:val="auto"/>
        </w:rPr>
      </w:pPr>
    </w:p>
    <w:p>
      <w:pPr>
        <w:jc w:val="center"/>
        <w:ind w:right="360"/>
        <w:spacing w:after="0"/>
        <w:rPr>
          <w:sz w:val="20"/>
          <w:szCs w:val="20"/>
          <w:color w:val="auto"/>
        </w:rPr>
      </w:pPr>
      <w:r>
        <w:rPr>
          <w:rFonts w:ascii="Arial" w:cs="Arial" w:eastAsia="Arial" w:hAnsi="Arial"/>
          <w:sz w:val="18"/>
          <w:szCs w:val="18"/>
          <w:b w:val="1"/>
          <w:bCs w:val="1"/>
          <w:color w:val="auto"/>
        </w:rPr>
        <w:t>February 2, 2010</w:t>
      </w:r>
    </w:p>
    <w:p>
      <w:pPr>
        <w:spacing w:after="0" w:line="333" w:lineRule="exact"/>
        <w:rPr>
          <w:sz w:val="20"/>
          <w:szCs w:val="20"/>
          <w:color w:val="auto"/>
        </w:rPr>
      </w:pPr>
    </w:p>
    <w:p>
      <w:pPr>
        <w:jc w:val="center"/>
        <w:ind w:right="360"/>
        <w:spacing w:after="0"/>
        <w:rPr>
          <w:sz w:val="20"/>
          <w:szCs w:val="20"/>
          <w:color w:val="auto"/>
        </w:rPr>
      </w:pPr>
      <w:r>
        <w:rPr>
          <w:rFonts w:ascii="Arial" w:cs="Arial" w:eastAsia="Arial" w:hAnsi="Arial"/>
          <w:sz w:val="18"/>
          <w:szCs w:val="18"/>
          <w:b w:val="1"/>
          <w:bCs w:val="1"/>
          <w:color w:val="auto"/>
        </w:rPr>
        <w:t>Please date, sign and mail</w:t>
      </w:r>
    </w:p>
    <w:p>
      <w:pPr>
        <w:spacing w:after="0" w:line="21" w:lineRule="exact"/>
        <w:rPr>
          <w:sz w:val="20"/>
          <w:szCs w:val="20"/>
          <w:color w:val="auto"/>
        </w:rPr>
      </w:pPr>
    </w:p>
    <w:p>
      <w:pPr>
        <w:jc w:val="center"/>
        <w:ind w:right="360"/>
        <w:spacing w:after="0"/>
        <w:rPr>
          <w:sz w:val="20"/>
          <w:szCs w:val="20"/>
          <w:color w:val="auto"/>
        </w:rPr>
      </w:pPr>
      <w:r>
        <w:rPr>
          <w:rFonts w:ascii="Arial" w:cs="Arial" w:eastAsia="Arial" w:hAnsi="Arial"/>
          <w:sz w:val="18"/>
          <w:szCs w:val="18"/>
          <w:b w:val="1"/>
          <w:bCs w:val="1"/>
          <w:color w:val="auto"/>
        </w:rPr>
        <w:t>your proxy card in the</w:t>
      </w:r>
    </w:p>
    <w:p>
      <w:pPr>
        <w:spacing w:after="0" w:line="9" w:lineRule="exact"/>
        <w:rPr>
          <w:sz w:val="20"/>
          <w:szCs w:val="20"/>
          <w:color w:val="auto"/>
        </w:rPr>
      </w:pPr>
    </w:p>
    <w:p>
      <w:pPr>
        <w:jc w:val="center"/>
        <w:ind w:right="360"/>
        <w:spacing w:after="0"/>
        <w:rPr>
          <w:sz w:val="20"/>
          <w:szCs w:val="20"/>
          <w:color w:val="auto"/>
        </w:rPr>
      </w:pPr>
      <w:r>
        <w:rPr>
          <w:rFonts w:ascii="Arial" w:cs="Arial" w:eastAsia="Arial" w:hAnsi="Arial"/>
          <w:sz w:val="18"/>
          <w:szCs w:val="18"/>
          <w:b w:val="1"/>
          <w:bCs w:val="1"/>
          <w:color w:val="auto"/>
        </w:rPr>
        <w:t>envelope provided as soon</w:t>
      </w:r>
    </w:p>
    <w:p>
      <w:pPr>
        <w:spacing w:after="0" w:line="9" w:lineRule="exact"/>
        <w:rPr>
          <w:sz w:val="20"/>
          <w:szCs w:val="20"/>
          <w:color w:val="auto"/>
        </w:rPr>
      </w:pPr>
    </w:p>
    <w:p>
      <w:pPr>
        <w:jc w:val="center"/>
        <w:ind w:right="360"/>
        <w:spacing w:after="0"/>
        <w:rPr>
          <w:sz w:val="20"/>
          <w:szCs w:val="20"/>
          <w:color w:val="auto"/>
        </w:rPr>
      </w:pPr>
      <w:r>
        <w:rPr>
          <w:rFonts w:ascii="Arial" w:cs="Arial" w:eastAsia="Arial" w:hAnsi="Arial"/>
          <w:sz w:val="18"/>
          <w:szCs w:val="18"/>
          <w:b w:val="1"/>
          <w:bCs w:val="1"/>
          <w:color w:val="auto"/>
        </w:rPr>
        <w:t>as possible.</w:t>
      </w:r>
    </w:p>
    <w:p>
      <w:pPr>
        <w:spacing w:after="0" w:line="321" w:lineRule="exact"/>
        <w:rPr>
          <w:sz w:val="20"/>
          <w:szCs w:val="20"/>
          <w:color w:val="auto"/>
        </w:rPr>
      </w:pPr>
    </w:p>
    <w:p>
      <w:pPr>
        <w:jc w:val="center"/>
        <w:ind w:right="360"/>
        <w:spacing w:after="0"/>
        <w:rPr>
          <w:sz w:val="20"/>
          <w:szCs w:val="20"/>
          <w:color w:val="auto"/>
        </w:rPr>
      </w:pPr>
      <w:r>
        <w:rPr>
          <w:rFonts w:ascii="Arial" w:cs="Arial" w:eastAsia="Arial" w:hAnsi="Arial"/>
          <w:sz w:val="18"/>
          <w:szCs w:val="18"/>
          <w:b w:val="1"/>
          <w:bCs w:val="1"/>
          <w:color w:val="auto"/>
        </w:rPr>
        <w:t>Important Notice Regarding the Availability of Proxy Materials for the Annual Meeting:</w:t>
      </w:r>
    </w:p>
    <w:p>
      <w:pPr>
        <w:spacing w:after="0" w:line="21" w:lineRule="exact"/>
        <w:rPr>
          <w:sz w:val="20"/>
          <w:szCs w:val="20"/>
          <w:color w:val="auto"/>
        </w:rPr>
      </w:pPr>
    </w:p>
    <w:p>
      <w:pPr>
        <w:ind w:left="1460"/>
        <w:spacing w:after="0"/>
        <w:rPr>
          <w:sz w:val="20"/>
          <w:szCs w:val="20"/>
          <w:color w:val="auto"/>
        </w:rPr>
      </w:pPr>
      <w:r>
        <w:rPr>
          <w:rFonts w:ascii="Arial" w:cs="Arial" w:eastAsia="Arial" w:hAnsi="Arial"/>
          <w:sz w:val="18"/>
          <w:szCs w:val="18"/>
          <w:color w:val="auto"/>
        </w:rPr>
        <w:t>The Notice and Proxy Statement and Annual Report Combo Doc are available at www.proxyvote.com.</w:t>
      </w: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ind w:left="2300"/>
        <w:spacing w:after="0"/>
        <w:rPr>
          <w:sz w:val="20"/>
          <w:szCs w:val="20"/>
          <w:color w:val="auto"/>
        </w:rPr>
      </w:pPr>
      <w:r>
        <w:rPr>
          <w:rFonts w:ascii="Arial" w:cs="Arial" w:eastAsia="Arial" w:hAnsi="Arial"/>
          <w:sz w:val="18"/>
          <w:szCs w:val="18"/>
          <w:b w:val="1"/>
          <w:bCs w:val="1"/>
          <w:color w:val="auto"/>
        </w:rPr>
        <w:t>q Please detach along perforated line and mail in the envelope provided. q</w:t>
      </w:r>
    </w:p>
    <w:p>
      <w:pPr>
        <w:spacing w:after="0" w:line="94" w:lineRule="exact"/>
        <w:rPr>
          <w:sz w:val="20"/>
          <w:szCs w:val="20"/>
          <w:color w:val="auto"/>
        </w:rPr>
      </w:pPr>
    </w:p>
    <w:p>
      <w:pPr>
        <w:jc w:val="right"/>
        <w:spacing w:after="0"/>
        <w:rPr>
          <w:sz w:val="20"/>
          <w:szCs w:val="20"/>
          <w:color w:val="auto"/>
        </w:rPr>
      </w:pPr>
      <w:r>
        <w:rPr>
          <w:rFonts w:ascii="Arial" w:cs="Arial" w:eastAsia="Arial" w:hAnsi="Arial"/>
          <w:sz w:val="14"/>
          <w:szCs w:val="14"/>
          <w:color w:val="auto"/>
        </w:rPr>
        <w:t>M18208-P86988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-400685</wp:posOffset>
            </wp:positionH>
            <wp:positionV relativeFrom="paragraph">
              <wp:posOffset>127635</wp:posOffset>
            </wp:positionV>
            <wp:extent cx="7246620" cy="409892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46620" cy="40989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jc w:val="center"/>
        <w:ind w:right="380"/>
        <w:spacing w:after="0"/>
        <w:rPr>
          <w:sz w:val="20"/>
          <w:szCs w:val="20"/>
          <w:color w:val="auto"/>
        </w:rPr>
      </w:pPr>
      <w:r>
        <w:rPr>
          <w:rFonts w:ascii="Arial" w:cs="Arial" w:eastAsia="Arial" w:hAnsi="Arial"/>
          <w:sz w:val="18"/>
          <w:szCs w:val="18"/>
          <w:b w:val="1"/>
          <w:bCs w:val="1"/>
          <w:color w:val="auto"/>
        </w:rPr>
        <w:t>PENNANTPARK INVESTMENT CORPORATION</w:t>
      </w:r>
    </w:p>
    <w:p>
      <w:pPr>
        <w:spacing w:after="0" w:line="21" w:lineRule="exact"/>
        <w:rPr>
          <w:sz w:val="20"/>
          <w:szCs w:val="20"/>
          <w:color w:val="auto"/>
        </w:rPr>
      </w:pPr>
    </w:p>
    <w:p>
      <w:pPr>
        <w:jc w:val="center"/>
        <w:ind w:right="380"/>
        <w:spacing w:after="0"/>
        <w:rPr>
          <w:sz w:val="20"/>
          <w:szCs w:val="20"/>
          <w:color w:val="auto"/>
        </w:rPr>
      </w:pPr>
      <w:r>
        <w:rPr>
          <w:rFonts w:ascii="Arial" w:cs="Arial" w:eastAsia="Arial" w:hAnsi="Arial"/>
          <w:sz w:val="18"/>
          <w:szCs w:val="18"/>
          <w:b w:val="1"/>
          <w:bCs w:val="1"/>
          <w:color w:val="auto"/>
        </w:rPr>
        <w:t>ANNUAL MEETING OF STOCKHOLDERS to be held at</w:t>
      </w:r>
    </w:p>
    <w:p>
      <w:pPr>
        <w:spacing w:after="0" w:line="199" w:lineRule="exact"/>
        <w:rPr>
          <w:sz w:val="20"/>
          <w:szCs w:val="20"/>
          <w:color w:val="auto"/>
        </w:rPr>
      </w:pPr>
    </w:p>
    <w:p>
      <w:pPr>
        <w:jc w:val="center"/>
        <w:ind w:right="380"/>
        <w:spacing w:after="0"/>
        <w:rPr>
          <w:sz w:val="20"/>
          <w:szCs w:val="20"/>
          <w:color w:val="auto"/>
        </w:rPr>
      </w:pPr>
      <w:r>
        <w:rPr>
          <w:rFonts w:ascii="Arial" w:cs="Arial" w:eastAsia="Arial" w:hAnsi="Arial"/>
          <w:sz w:val="18"/>
          <w:szCs w:val="18"/>
          <w:b w:val="1"/>
          <w:bCs w:val="1"/>
          <w:color w:val="auto"/>
        </w:rPr>
        <w:t>The Offices of Dechert LLP</w:t>
      </w:r>
    </w:p>
    <w:p>
      <w:pPr>
        <w:spacing w:after="0" w:line="21" w:lineRule="exact"/>
        <w:rPr>
          <w:sz w:val="20"/>
          <w:szCs w:val="20"/>
          <w:color w:val="auto"/>
        </w:rPr>
      </w:pPr>
    </w:p>
    <w:p>
      <w:pPr>
        <w:jc w:val="center"/>
        <w:ind w:right="380"/>
        <w:spacing w:after="0"/>
        <w:rPr>
          <w:sz w:val="20"/>
          <w:szCs w:val="20"/>
          <w:color w:val="auto"/>
        </w:rPr>
      </w:pPr>
      <w:r>
        <w:rPr>
          <w:rFonts w:ascii="Arial" w:cs="Arial" w:eastAsia="Arial" w:hAnsi="Arial"/>
          <w:sz w:val="18"/>
          <w:szCs w:val="18"/>
          <w:b w:val="1"/>
          <w:bCs w:val="1"/>
          <w:color w:val="auto"/>
        </w:rPr>
        <w:t>1095 Avenue of the Americas</w:t>
      </w:r>
    </w:p>
    <w:p>
      <w:pPr>
        <w:spacing w:after="0" w:line="9" w:lineRule="exact"/>
        <w:rPr>
          <w:sz w:val="20"/>
          <w:szCs w:val="20"/>
          <w:color w:val="auto"/>
        </w:rPr>
      </w:pPr>
    </w:p>
    <w:p>
      <w:pPr>
        <w:jc w:val="center"/>
        <w:ind w:right="380"/>
        <w:spacing w:after="0"/>
        <w:rPr>
          <w:sz w:val="20"/>
          <w:szCs w:val="20"/>
          <w:color w:val="auto"/>
        </w:rPr>
      </w:pPr>
      <w:r>
        <w:rPr>
          <w:rFonts w:ascii="Arial" w:cs="Arial" w:eastAsia="Arial" w:hAnsi="Arial"/>
          <w:sz w:val="18"/>
          <w:szCs w:val="18"/>
          <w:b w:val="1"/>
          <w:bCs w:val="1"/>
          <w:color w:val="auto"/>
        </w:rPr>
        <w:t>New York, NY 10036</w:t>
      </w:r>
    </w:p>
    <w:p>
      <w:pPr>
        <w:spacing w:after="0" w:line="9" w:lineRule="exact"/>
        <w:rPr>
          <w:sz w:val="20"/>
          <w:szCs w:val="20"/>
          <w:color w:val="auto"/>
        </w:rPr>
      </w:pPr>
    </w:p>
    <w:p>
      <w:pPr>
        <w:jc w:val="center"/>
        <w:ind w:right="380"/>
        <w:spacing w:after="0"/>
        <w:rPr>
          <w:sz w:val="20"/>
          <w:szCs w:val="20"/>
          <w:color w:val="auto"/>
        </w:rPr>
      </w:pPr>
      <w:r>
        <w:rPr>
          <w:rFonts w:ascii="Arial" w:cs="Arial" w:eastAsia="Arial" w:hAnsi="Arial"/>
          <w:sz w:val="18"/>
          <w:szCs w:val="18"/>
          <w:b w:val="1"/>
          <w:bCs w:val="1"/>
          <w:color w:val="auto"/>
        </w:rPr>
        <w:t>February 2, 2010</w:t>
      </w:r>
    </w:p>
    <w:p>
      <w:pPr>
        <w:spacing w:after="0" w:line="205" w:lineRule="exact"/>
        <w:rPr>
          <w:sz w:val="20"/>
          <w:szCs w:val="20"/>
          <w:color w:val="auto"/>
        </w:rPr>
      </w:pPr>
    </w:p>
    <w:p>
      <w:pPr>
        <w:ind w:right="540" w:firstLine="432"/>
        <w:spacing w:after="0" w:line="255" w:lineRule="auto"/>
        <w:rPr>
          <w:sz w:val="20"/>
          <w:szCs w:val="20"/>
          <w:color w:val="auto"/>
        </w:rPr>
      </w:pPr>
      <w:r>
        <w:rPr>
          <w:rFonts w:ascii="Arial" w:cs="Arial" w:eastAsia="Arial" w:hAnsi="Arial"/>
          <w:sz w:val="18"/>
          <w:szCs w:val="18"/>
          <w:color w:val="auto"/>
        </w:rPr>
        <w:t>The undersigned hereby appoints Marshall Brozost and Samuel L. Katz, or either one of them, and each with full power of substitution, to act as proxies for the undersigned to vote all the shares of Common Stock of PennantPark Investment Corporation (the “Company”) which the undersigned is entitled to vote at the Annual Meeting of Stockholders of the Company to be held at the offices of Dechert LLP, located at 1095 Avenue of the Americas, New York, New York, on February 2, 2010 at 9:30 a.m., Eastern Time, and at all adjournments thereof, as indicated on this proxy.</w:t>
      </w: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ind w:left="520"/>
        <w:spacing w:after="0"/>
        <w:rPr>
          <w:sz w:val="20"/>
          <w:szCs w:val="20"/>
          <w:color w:val="auto"/>
        </w:rPr>
      </w:pPr>
      <w:r>
        <w:rPr>
          <w:rFonts w:ascii="Arial" w:cs="Arial" w:eastAsia="Arial" w:hAnsi="Arial"/>
          <w:sz w:val="14"/>
          <w:szCs w:val="14"/>
          <w:b w:val="1"/>
          <w:bCs w:val="1"/>
          <w:color w:val="auto"/>
        </w:rPr>
        <w:t>Address Changes/Comments: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2" w:lineRule="exact"/>
        <w:rPr>
          <w:sz w:val="20"/>
          <w:szCs w:val="20"/>
          <w:color w:val="auto"/>
        </w:rPr>
      </w:pPr>
    </w:p>
    <w:p>
      <w:pPr>
        <w:jc w:val="center"/>
        <w:ind w:right="380"/>
        <w:spacing w:after="0"/>
        <w:rPr>
          <w:sz w:val="20"/>
          <w:szCs w:val="20"/>
          <w:color w:val="auto"/>
        </w:rPr>
      </w:pPr>
      <w:r>
        <w:rPr>
          <w:rFonts w:ascii="Arial" w:cs="Arial" w:eastAsia="Arial" w:hAnsi="Arial"/>
          <w:sz w:val="14"/>
          <w:szCs w:val="14"/>
          <w:color w:val="auto"/>
        </w:rPr>
        <w:t>(If you noted any Address Changes/Comments above, please mark corresponding box on the reverse side.)</w:t>
      </w:r>
    </w:p>
    <w:p>
      <w:pPr>
        <w:spacing w:after="0" w:line="187" w:lineRule="exact"/>
        <w:rPr>
          <w:sz w:val="20"/>
          <w:szCs w:val="20"/>
          <w:color w:val="auto"/>
        </w:rPr>
      </w:pPr>
    </w:p>
    <w:p>
      <w:pPr>
        <w:jc w:val="center"/>
        <w:ind w:right="380"/>
        <w:spacing w:after="0"/>
        <w:rPr>
          <w:sz w:val="20"/>
          <w:szCs w:val="20"/>
          <w:color w:val="auto"/>
        </w:rPr>
      </w:pPr>
      <w:r>
        <w:rPr>
          <w:rFonts w:ascii="Arial" w:cs="Arial" w:eastAsia="Arial" w:hAnsi="Arial"/>
          <w:sz w:val="18"/>
          <w:szCs w:val="18"/>
          <w:b w:val="1"/>
          <w:bCs w:val="1"/>
          <w:color w:val="auto"/>
        </w:rPr>
        <w:t>PLEASE MARK, SIGN, DATE AND RETURN THIS PROXY PROMPTLY USING THE ENCLOSED ENVELOPE.</w:t>
      </w:r>
    </w:p>
    <w:p>
      <w:pPr>
        <w:spacing w:after="0" w:line="212" w:lineRule="exact"/>
        <w:rPr>
          <w:sz w:val="20"/>
          <w:szCs w:val="20"/>
          <w:color w:val="auto"/>
        </w:rPr>
      </w:pPr>
    </w:p>
    <w:p>
      <w:pPr>
        <w:ind w:left="3260"/>
        <w:spacing w:after="0"/>
        <w:rPr>
          <w:sz w:val="20"/>
          <w:szCs w:val="20"/>
          <w:color w:val="auto"/>
        </w:rPr>
      </w:pPr>
      <w:r>
        <w:rPr>
          <w:rFonts w:ascii="Arial" w:cs="Arial" w:eastAsia="Arial" w:hAnsi="Arial"/>
          <w:sz w:val="18"/>
          <w:szCs w:val="18"/>
          <w:b w:val="1"/>
          <w:bCs w:val="1"/>
          <w:color w:val="auto"/>
        </w:rPr>
        <w:t>(Continued and to be signed on the reverse side)</w:t>
      </w:r>
    </w:p>
    <w:p>
      <w:pPr>
        <w:sectPr>
          <w:pgSz w:w="11900" w:h="16838" w:orient="portrait"/>
          <w:cols w:equalWidth="0" w:num="1">
            <w:col w:w="10500"/>
          </w:cols>
          <w:pgMar w:left="880" w:top="274" w:right="519" w:bottom="1440" w:gutter="0" w:footer="0" w:header="0"/>
        </w:sectPr>
      </w:pPr>
    </w:p>
    <w:bookmarkStart w:id="32" w:name="page33"/>
    <w:bookmarkEnd w:id="32"/>
    <w:p>
      <w:pPr>
        <w:jc w:val="center"/>
        <w:ind w:right="100"/>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 xml:space="preserve">*** Exercise Your </w:t>
      </w:r>
      <w:r>
        <w:rPr>
          <w:rFonts w:ascii="Arial" w:cs="Arial" w:eastAsia="Arial" w:hAnsi="Arial"/>
          <w:sz w:val="32"/>
          <w:szCs w:val="32"/>
          <w:b w:val="1"/>
          <w:bCs w:val="1"/>
          <w:i w:val="1"/>
          <w:iCs w:val="1"/>
          <w:color w:val="auto"/>
        </w:rPr>
        <w:t>Right</w:t>
      </w:r>
      <w:r>
        <w:rPr>
          <w:rFonts w:ascii="Arial" w:cs="Arial" w:eastAsia="Arial" w:hAnsi="Arial"/>
          <w:sz w:val="32"/>
          <w:szCs w:val="32"/>
          <w:b w:val="1"/>
          <w:bCs w:val="1"/>
          <w:color w:val="auto"/>
        </w:rPr>
        <w:t xml:space="preserve"> to Vote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-72390</wp:posOffset>
            </wp:positionH>
            <wp:positionV relativeFrom="paragraph">
              <wp:posOffset>150495</wp:posOffset>
            </wp:positionV>
            <wp:extent cx="7250430" cy="135890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50430" cy="1358900"/>
                    </a:xfrm>
                    <a:prstGeom prst="rect">
                      <a:avLst/>
                    </a:prstGeom>
                    <a:noFill/>
                  </pic:spPr>
                </pic:pic>
              </a:graphicData>
            </a:graphic>
          </wp:anchor>
        </w:drawing>
      </w:r>
    </w:p>
    <w:p>
      <w:pPr>
        <w:spacing w:after="0" w:line="288" w:lineRule="exact"/>
        <w:rPr>
          <w:sz w:val="20"/>
          <w:szCs w:val="20"/>
          <w:color w:val="auto"/>
        </w:rPr>
      </w:pPr>
    </w:p>
    <w:p>
      <w:pPr>
        <w:ind w:right="240"/>
        <w:spacing w:after="0" w:line="256" w:lineRule="auto"/>
        <w:rPr>
          <w:sz w:val="20"/>
          <w:szCs w:val="20"/>
          <w:color w:val="auto"/>
        </w:rPr>
      </w:pPr>
      <w:r>
        <w:rPr>
          <w:rFonts w:ascii="Arial" w:cs="Arial" w:eastAsia="Arial" w:hAnsi="Arial"/>
          <w:sz w:val="22"/>
          <w:szCs w:val="22"/>
          <w:b w:val="1"/>
          <w:bCs w:val="1"/>
          <w:color w:val="auto"/>
        </w:rPr>
        <w:t>Important Notice Regarding the Availability of Proxy Materials for the Shareholder Meeting To Be Held on February 2, 2010.</w:t>
      </w:r>
    </w:p>
    <w:p>
      <w:pPr>
        <w:spacing w:after="0" w:line="162" w:lineRule="exact"/>
        <w:rPr>
          <w:sz w:val="20"/>
          <w:szCs w:val="20"/>
          <w:color w:val="auto"/>
        </w:rPr>
      </w:pPr>
    </w:p>
    <w:p>
      <w:pPr>
        <w:ind w:left="440" w:right="380" w:hanging="430"/>
        <w:spacing w:after="0" w:line="334" w:lineRule="auto"/>
        <w:tabs>
          <w:tab w:leader="none" w:pos="400" w:val="left"/>
        </w:tabs>
        <w:numPr>
          <w:ilvl w:val="0"/>
          <w:numId w:val="25"/>
        </w:numPr>
        <w:rPr>
          <w:rFonts w:ascii="Arial" w:cs="Arial" w:eastAsia="Arial" w:hAnsi="Arial"/>
          <w:sz w:val="16"/>
          <w:szCs w:val="16"/>
          <w:b w:val="1"/>
          <w:bCs w:val="1"/>
          <w:color w:val="auto"/>
        </w:rPr>
      </w:pPr>
      <w:r>
        <w:rPr>
          <w:rFonts w:ascii="Arial" w:cs="Arial" w:eastAsia="Arial" w:hAnsi="Arial"/>
          <w:sz w:val="16"/>
          <w:szCs w:val="16"/>
          <w:b w:val="1"/>
          <w:bCs w:val="1"/>
          <w:color w:val="auto"/>
        </w:rPr>
        <w:t>This communication presents only an overview of the more complete proxy materials that are available to you on the Internet. We encourage you to access and review all of the important information contained in the proxy materials before voting.</w:t>
      </w:r>
    </w:p>
    <w:p>
      <w:pPr>
        <w:spacing w:after="0" w:line="1" w:lineRule="exact"/>
        <w:rPr>
          <w:rFonts w:ascii="Arial" w:cs="Arial" w:eastAsia="Arial" w:hAnsi="Arial"/>
          <w:sz w:val="16"/>
          <w:szCs w:val="16"/>
          <w:b w:val="1"/>
          <w:bCs w:val="1"/>
          <w:color w:val="auto"/>
        </w:rPr>
      </w:pPr>
    </w:p>
    <w:p>
      <w:pPr>
        <w:ind w:left="400" w:hanging="390"/>
        <w:spacing w:after="0"/>
        <w:tabs>
          <w:tab w:leader="none" w:pos="400" w:val="left"/>
        </w:tabs>
        <w:numPr>
          <w:ilvl w:val="0"/>
          <w:numId w:val="25"/>
        </w:numPr>
        <w:rPr>
          <w:rFonts w:ascii="Arial" w:cs="Arial" w:eastAsia="Arial" w:hAnsi="Arial"/>
          <w:sz w:val="18"/>
          <w:szCs w:val="18"/>
          <w:b w:val="1"/>
          <w:bCs w:val="1"/>
          <w:color w:val="auto"/>
        </w:rPr>
      </w:pPr>
      <w:r>
        <w:rPr>
          <w:rFonts w:ascii="Arial" w:cs="Arial" w:eastAsia="Arial" w:hAnsi="Arial"/>
          <w:sz w:val="18"/>
          <w:szCs w:val="18"/>
          <w:b w:val="1"/>
          <w:bCs w:val="1"/>
          <w:color w:val="auto"/>
        </w:rPr>
        <w:t>The proxy statement and annual report to security holders are available at www.proxyvote.com.</w:t>
      </w:r>
    </w:p>
    <w:p>
      <w:pPr>
        <w:spacing w:after="0" w:line="90" w:lineRule="exact"/>
        <w:rPr>
          <w:rFonts w:ascii="Arial" w:cs="Arial" w:eastAsia="Arial" w:hAnsi="Arial"/>
          <w:sz w:val="18"/>
          <w:szCs w:val="18"/>
          <w:b w:val="1"/>
          <w:bCs w:val="1"/>
          <w:color w:val="auto"/>
        </w:rPr>
      </w:pPr>
    </w:p>
    <w:p>
      <w:pPr>
        <w:ind w:left="440" w:right="240" w:hanging="430"/>
        <w:spacing w:after="0" w:line="339" w:lineRule="auto"/>
        <w:tabs>
          <w:tab w:leader="none" w:pos="403" w:val="left"/>
        </w:tabs>
        <w:numPr>
          <w:ilvl w:val="0"/>
          <w:numId w:val="25"/>
        </w:numPr>
        <w:rPr>
          <w:rFonts w:ascii="Arial" w:cs="Arial" w:eastAsia="Arial" w:hAnsi="Arial"/>
          <w:sz w:val="16"/>
          <w:szCs w:val="16"/>
          <w:b w:val="1"/>
          <w:bCs w:val="1"/>
          <w:color w:val="auto"/>
        </w:rPr>
      </w:pPr>
      <w:r>
        <w:rPr>
          <w:rFonts w:ascii="Arial" w:cs="Arial" w:eastAsia="Arial" w:hAnsi="Arial"/>
          <w:sz w:val="16"/>
          <w:szCs w:val="16"/>
          <w:b w:val="1"/>
          <w:bCs w:val="1"/>
          <w:color w:val="auto"/>
        </w:rPr>
        <w:t>If you want to receive a paper or e-mail copy of these documents, you must request one. There is no charge to you for requesting a copy. Please make your request for a copy as instructed below on or before January 19, 2010 to facilitate timely delivery.</w:t>
      </w:r>
    </w:p>
    <w:p>
      <w:pPr>
        <w:sectPr>
          <w:pgSz w:w="11900" w:h="16838" w:orient="portrait"/>
          <w:cols w:equalWidth="0" w:num="1">
            <w:col w:w="11300"/>
          </w:cols>
          <w:pgMar w:left="360" w:top="247" w:right="239" w:bottom="1440" w:gutter="0" w:footer="0" w:header="0"/>
        </w:sectPr>
      </w:pPr>
    </w:p>
    <w:p>
      <w:pPr>
        <w:spacing w:after="0" w:line="200" w:lineRule="exact"/>
        <w:rPr>
          <w:sz w:val="20"/>
          <w:szCs w:val="20"/>
          <w:color w:val="auto"/>
        </w:rPr>
      </w:pPr>
    </w:p>
    <w:p>
      <w:pPr>
        <w:spacing w:after="0" w:line="262" w:lineRule="exact"/>
        <w:rPr>
          <w:sz w:val="20"/>
          <w:szCs w:val="20"/>
          <w:color w:val="auto"/>
        </w:rPr>
      </w:pPr>
    </w:p>
    <w:p>
      <w:pPr>
        <w:jc w:val="center"/>
        <w:ind w:left="620"/>
        <w:spacing w:after="0"/>
        <w:rPr>
          <w:sz w:val="20"/>
          <w:szCs w:val="20"/>
          <w:color w:val="auto"/>
        </w:rPr>
      </w:pPr>
      <w:r>
        <w:rPr>
          <w:rFonts w:ascii="Arial" w:cs="Arial" w:eastAsia="Arial" w:hAnsi="Arial"/>
          <w:sz w:val="21"/>
          <w:szCs w:val="21"/>
          <w:b w:val="1"/>
          <w:bCs w:val="1"/>
          <w:color w:val="auto"/>
        </w:rPr>
        <w:t>PENNANTPARK INVESTMENT</w:t>
      </w:r>
    </w:p>
    <w:p>
      <w:pPr>
        <w:spacing w:after="0" w:line="28" w:lineRule="exact"/>
        <w:rPr>
          <w:sz w:val="20"/>
          <w:szCs w:val="20"/>
          <w:color w:val="auto"/>
        </w:rPr>
      </w:pPr>
    </w:p>
    <w:p>
      <w:pPr>
        <w:jc w:val="center"/>
        <w:ind w:left="620"/>
        <w:spacing w:after="0"/>
        <w:rPr>
          <w:sz w:val="20"/>
          <w:szCs w:val="20"/>
          <w:color w:val="auto"/>
        </w:rPr>
      </w:pPr>
      <w:r>
        <w:rPr>
          <w:rFonts w:ascii="Arial" w:cs="Arial" w:eastAsia="Arial" w:hAnsi="Arial"/>
          <w:sz w:val="22"/>
          <w:szCs w:val="22"/>
          <w:b w:val="1"/>
          <w:bCs w:val="1"/>
          <w:color w:val="auto"/>
        </w:rPr>
        <w:t>CORPORATION</w:t>
      </w:r>
    </w:p>
    <w:p>
      <w:pPr>
        <w:spacing w:after="0" w:line="20" w:lineRule="exact"/>
        <w:rPr>
          <w:sz w:val="20"/>
          <w:szCs w:val="20"/>
          <w:color w:val="auto"/>
        </w:rPr>
      </w:pPr>
      <w:r>
        <w:rPr>
          <w:sz w:val="20"/>
          <w:szCs w:val="20"/>
          <w:color w:val="auto"/>
        </w:rPr>
        <w:br w:type="column"/>
      </w:r>
    </w:p>
    <w:p>
      <w:pPr>
        <w:spacing w:after="0" w:line="197" w:lineRule="exact"/>
        <w:rPr>
          <w:sz w:val="20"/>
          <w:szCs w:val="20"/>
          <w:color w:val="auto"/>
        </w:rPr>
      </w:pPr>
    </w:p>
    <w:p>
      <w:pPr>
        <w:spacing w:after="0" w:line="1" w:lineRule="exact"/>
        <w:rPr>
          <w:sz w:val="1"/>
          <w:szCs w:val="1"/>
          <w:color w:val="auto"/>
        </w:rPr>
      </w:pPr>
    </w:p>
    <w:tbl>
      <w:tblPr>
        <w:tblLayout w:type="fixed"/>
        <w:tblInd w:w="10" w:type="dxa"/>
        <w:tblCellMar>
          <w:top w:w="0" w:type="dxa"/>
          <w:left w:w="0" w:type="dxa"/>
          <w:bottom w:w="0" w:type="dxa"/>
          <w:right w:w="0" w:type="dxa"/>
        </w:tblCellMar>
      </w:tblPr>
      <w:tr>
        <w:trPr>
          <w:trHeight w:val="216"/>
        </w:trPr>
        <w:tc>
          <w:tcPr>
            <w:tcW w:w="1400" w:type="dxa"/>
            <w:vAlign w:val="bottom"/>
            <w:tcBorders>
              <w:top w:val="single" w:sz="8" w:color="auto"/>
              <w:left w:val="single" w:sz="8" w:color="auto"/>
            </w:tcBorders>
            <w:vMerge w:val="restart"/>
          </w:tcPr>
          <w:p>
            <w:pPr>
              <w:ind w:left="120"/>
              <w:spacing w:after="0"/>
              <w:rPr>
                <w:sz w:val="20"/>
                <w:szCs w:val="20"/>
                <w:color w:val="auto"/>
              </w:rPr>
            </w:pPr>
            <w:r>
              <w:rPr>
                <w:rFonts w:ascii="Arial" w:cs="Arial" w:eastAsia="Arial" w:hAnsi="Arial"/>
                <w:sz w:val="18"/>
                <w:szCs w:val="18"/>
                <w:b w:val="1"/>
                <w:bCs w:val="1"/>
                <w:color w:val="auto"/>
              </w:rPr>
              <w:t>Meeting Type:</w:t>
            </w:r>
          </w:p>
        </w:tc>
        <w:tc>
          <w:tcPr>
            <w:tcW w:w="380" w:type="dxa"/>
            <w:vAlign w:val="bottom"/>
            <w:tcBorders>
              <w:top w:val="single" w:sz="8" w:color="auto"/>
            </w:tcBorders>
          </w:tcPr>
          <w:p>
            <w:pPr>
              <w:spacing w:after="0"/>
              <w:rPr>
                <w:sz w:val="18"/>
                <w:szCs w:val="18"/>
                <w:color w:val="auto"/>
              </w:rPr>
            </w:pPr>
          </w:p>
        </w:tc>
        <w:tc>
          <w:tcPr>
            <w:tcW w:w="440" w:type="dxa"/>
            <w:vAlign w:val="bottom"/>
            <w:tcBorders>
              <w:top w:val="single" w:sz="8" w:color="auto"/>
            </w:tcBorders>
          </w:tcPr>
          <w:p>
            <w:pPr>
              <w:spacing w:after="0"/>
              <w:rPr>
                <w:sz w:val="18"/>
                <w:szCs w:val="18"/>
                <w:color w:val="auto"/>
              </w:rPr>
            </w:pPr>
          </w:p>
        </w:tc>
        <w:tc>
          <w:tcPr>
            <w:tcW w:w="4280" w:type="dxa"/>
            <w:vAlign w:val="bottom"/>
            <w:tcBorders>
              <w:top w:val="single" w:sz="8" w:color="auto"/>
              <w:right w:val="single" w:sz="8" w:color="auto"/>
            </w:tcBorders>
            <w:gridSpan w:val="3"/>
          </w:tcPr>
          <w:p>
            <w:pPr>
              <w:spacing w:after="0" w:line="217" w:lineRule="exact"/>
              <w:rPr>
                <w:sz w:val="20"/>
                <w:szCs w:val="20"/>
                <w:color w:val="auto"/>
              </w:rPr>
            </w:pPr>
            <w:r>
              <w:rPr>
                <w:rFonts w:ascii="Arial" w:cs="Arial" w:eastAsia="Arial" w:hAnsi="Arial"/>
                <w:sz w:val="22"/>
                <w:szCs w:val="22"/>
                <w:b w:val="1"/>
                <w:bCs w:val="1"/>
                <w:color w:val="auto"/>
              </w:rPr>
              <w:t>Meeting Information</w:t>
            </w:r>
          </w:p>
        </w:tc>
        <w:tc>
          <w:tcPr>
            <w:tcW w:w="0" w:type="dxa"/>
            <w:vAlign w:val="bottom"/>
          </w:tcPr>
          <w:p>
            <w:pPr>
              <w:spacing w:after="0"/>
              <w:rPr>
                <w:sz w:val="1"/>
                <w:szCs w:val="1"/>
                <w:color w:val="auto"/>
              </w:rPr>
            </w:pPr>
          </w:p>
        </w:tc>
      </w:tr>
      <w:tr>
        <w:trPr>
          <w:trHeight w:val="20"/>
        </w:trPr>
        <w:tc>
          <w:tcPr>
            <w:tcW w:w="1400" w:type="dxa"/>
            <w:vAlign w:val="bottom"/>
            <w:tcBorders>
              <w:left w:val="single" w:sz="8" w:color="auto"/>
            </w:tcBorders>
            <w:vMerge w:val="continue"/>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800" w:type="dxa"/>
            <w:vAlign w:val="bottom"/>
            <w:shd w:val="clear" w:color="auto" w:fill="000000"/>
          </w:tcPr>
          <w:p>
            <w:pPr>
              <w:spacing w:after="0" w:line="20" w:lineRule="exact"/>
              <w:rPr>
                <w:sz w:val="1"/>
                <w:szCs w:val="1"/>
                <w:color w:val="auto"/>
              </w:rPr>
            </w:pPr>
          </w:p>
        </w:tc>
        <w:tc>
          <w:tcPr>
            <w:tcW w:w="2220" w:type="dxa"/>
            <w:vAlign w:val="bottom"/>
            <w:tcBorders>
              <w:right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5"/>
        </w:trPr>
        <w:tc>
          <w:tcPr>
            <w:tcW w:w="1400" w:type="dxa"/>
            <w:vAlign w:val="bottom"/>
            <w:tcBorders>
              <w:left w:val="single" w:sz="8" w:color="auto"/>
            </w:tcBorders>
            <w:vMerge w:val="continue"/>
          </w:tcPr>
          <w:p>
            <w:pPr>
              <w:spacing w:after="0"/>
              <w:rPr>
                <w:sz w:val="20"/>
                <w:szCs w:val="20"/>
                <w:color w:val="auto"/>
              </w:rPr>
            </w:pPr>
          </w:p>
        </w:tc>
        <w:tc>
          <w:tcPr>
            <w:tcW w:w="380" w:type="dxa"/>
            <w:vAlign w:val="bottom"/>
          </w:tcPr>
          <w:p>
            <w:pPr>
              <w:spacing w:after="0"/>
              <w:rPr>
                <w:sz w:val="20"/>
                <w:szCs w:val="20"/>
                <w:color w:val="auto"/>
              </w:rPr>
            </w:pPr>
          </w:p>
        </w:tc>
        <w:tc>
          <w:tcPr>
            <w:tcW w:w="700" w:type="dxa"/>
            <w:vAlign w:val="bottom"/>
            <w:gridSpan w:val="2"/>
          </w:tcPr>
          <w:p>
            <w:pPr>
              <w:ind w:left="160"/>
              <w:spacing w:after="0"/>
              <w:rPr>
                <w:sz w:val="20"/>
                <w:szCs w:val="20"/>
                <w:color w:val="auto"/>
              </w:rPr>
            </w:pPr>
            <w:r>
              <w:rPr>
                <w:rFonts w:ascii="Arial" w:cs="Arial" w:eastAsia="Arial" w:hAnsi="Arial"/>
                <w:sz w:val="18"/>
                <w:szCs w:val="18"/>
                <w:color w:val="auto"/>
                <w:w w:val="92"/>
              </w:rPr>
              <w:t>Annual</w:t>
            </w:r>
          </w:p>
        </w:tc>
        <w:tc>
          <w:tcPr>
            <w:tcW w:w="1800" w:type="dxa"/>
            <w:vAlign w:val="bottom"/>
          </w:tcPr>
          <w:p>
            <w:pPr>
              <w:spacing w:after="0"/>
              <w:rPr>
                <w:sz w:val="20"/>
                <w:szCs w:val="20"/>
                <w:color w:val="auto"/>
              </w:rPr>
            </w:pPr>
          </w:p>
        </w:tc>
        <w:tc>
          <w:tcPr>
            <w:tcW w:w="22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1780" w:type="dxa"/>
            <w:vAlign w:val="bottom"/>
            <w:tcBorders>
              <w:left w:val="single" w:sz="8" w:color="auto"/>
            </w:tcBorders>
            <w:gridSpan w:val="2"/>
          </w:tcPr>
          <w:p>
            <w:pPr>
              <w:ind w:left="120"/>
              <w:spacing w:after="0"/>
              <w:rPr>
                <w:sz w:val="20"/>
                <w:szCs w:val="20"/>
                <w:color w:val="auto"/>
              </w:rPr>
            </w:pPr>
            <w:r>
              <w:rPr>
                <w:rFonts w:ascii="Arial" w:cs="Arial" w:eastAsia="Arial" w:hAnsi="Arial"/>
                <w:sz w:val="18"/>
                <w:szCs w:val="18"/>
                <w:b w:val="1"/>
                <w:bCs w:val="1"/>
                <w:color w:val="auto"/>
              </w:rPr>
              <w:t>For holders as of:</w:t>
            </w:r>
          </w:p>
        </w:tc>
        <w:tc>
          <w:tcPr>
            <w:tcW w:w="4720" w:type="dxa"/>
            <w:vAlign w:val="bottom"/>
            <w:tcBorders>
              <w:right w:val="single" w:sz="8" w:color="auto"/>
            </w:tcBorders>
            <w:gridSpan w:val="4"/>
          </w:tcPr>
          <w:p>
            <w:pPr>
              <w:ind w:left="160"/>
              <w:spacing w:after="0"/>
              <w:rPr>
                <w:sz w:val="20"/>
                <w:szCs w:val="20"/>
                <w:color w:val="auto"/>
              </w:rPr>
            </w:pPr>
            <w:r>
              <w:rPr>
                <w:rFonts w:ascii="Arial" w:cs="Arial" w:eastAsia="Arial" w:hAnsi="Arial"/>
                <w:sz w:val="18"/>
                <w:szCs w:val="18"/>
                <w:color w:val="auto"/>
              </w:rPr>
              <w:t>December 15, 2009</w:t>
            </w:r>
          </w:p>
        </w:tc>
        <w:tc>
          <w:tcPr>
            <w:tcW w:w="0" w:type="dxa"/>
            <w:vAlign w:val="bottom"/>
          </w:tcPr>
          <w:p>
            <w:pPr>
              <w:spacing w:after="0"/>
              <w:rPr>
                <w:sz w:val="1"/>
                <w:szCs w:val="1"/>
                <w:color w:val="auto"/>
              </w:rPr>
            </w:pPr>
          </w:p>
        </w:tc>
      </w:tr>
      <w:tr>
        <w:trPr>
          <w:trHeight w:val="213"/>
        </w:trPr>
        <w:tc>
          <w:tcPr>
            <w:tcW w:w="2480" w:type="dxa"/>
            <w:vAlign w:val="bottom"/>
            <w:tcBorders>
              <w:left w:val="single" w:sz="8" w:color="auto"/>
            </w:tcBorders>
            <w:gridSpan w:val="4"/>
          </w:tcPr>
          <w:p>
            <w:pPr>
              <w:ind w:left="120"/>
              <w:spacing w:after="0"/>
              <w:rPr>
                <w:sz w:val="20"/>
                <w:szCs w:val="20"/>
                <w:color w:val="auto"/>
              </w:rPr>
            </w:pPr>
            <w:r>
              <w:rPr>
                <w:rFonts w:ascii="Arial" w:cs="Arial" w:eastAsia="Arial" w:hAnsi="Arial"/>
                <w:sz w:val="18"/>
                <w:szCs w:val="18"/>
                <w:b w:val="1"/>
                <w:bCs w:val="1"/>
                <w:color w:val="auto"/>
              </w:rPr>
              <w:t xml:space="preserve">Date:  </w:t>
            </w:r>
            <w:r>
              <w:rPr>
                <w:rFonts w:ascii="Arial" w:cs="Arial" w:eastAsia="Arial" w:hAnsi="Arial"/>
                <w:sz w:val="18"/>
                <w:szCs w:val="18"/>
                <w:color w:val="auto"/>
              </w:rPr>
              <w:t>February 2, 2010</w:t>
            </w:r>
          </w:p>
        </w:tc>
        <w:tc>
          <w:tcPr>
            <w:tcW w:w="4020" w:type="dxa"/>
            <w:vAlign w:val="bottom"/>
            <w:tcBorders>
              <w:right w:val="single" w:sz="8" w:color="auto"/>
            </w:tcBorders>
            <w:gridSpan w:val="2"/>
          </w:tcPr>
          <w:p>
            <w:pPr>
              <w:spacing w:after="0"/>
              <w:rPr>
                <w:sz w:val="20"/>
                <w:szCs w:val="20"/>
                <w:color w:val="auto"/>
              </w:rPr>
            </w:pPr>
            <w:r>
              <w:rPr>
                <w:rFonts w:ascii="Arial" w:cs="Arial" w:eastAsia="Arial" w:hAnsi="Arial"/>
                <w:sz w:val="18"/>
                <w:szCs w:val="18"/>
                <w:b w:val="1"/>
                <w:bCs w:val="1"/>
                <w:color w:val="auto"/>
              </w:rPr>
              <w:t xml:space="preserve">Time:  </w:t>
            </w:r>
            <w:r>
              <w:rPr>
                <w:rFonts w:ascii="Arial" w:cs="Arial" w:eastAsia="Arial" w:hAnsi="Arial"/>
                <w:sz w:val="18"/>
                <w:szCs w:val="18"/>
                <w:color w:val="auto"/>
              </w:rPr>
              <w:t>9:30 A.M., EST</w:t>
            </w:r>
          </w:p>
        </w:tc>
        <w:tc>
          <w:tcPr>
            <w:tcW w:w="0" w:type="dxa"/>
            <w:vAlign w:val="bottom"/>
          </w:tcPr>
          <w:p>
            <w:pPr>
              <w:spacing w:after="0"/>
              <w:rPr>
                <w:sz w:val="1"/>
                <w:szCs w:val="1"/>
                <w:color w:val="auto"/>
              </w:rPr>
            </w:pPr>
          </w:p>
        </w:tc>
      </w:tr>
      <w:tr>
        <w:trPr>
          <w:trHeight w:val="225"/>
        </w:trPr>
        <w:tc>
          <w:tcPr>
            <w:tcW w:w="1400" w:type="dxa"/>
            <w:vAlign w:val="bottom"/>
            <w:tcBorders>
              <w:left w:val="single" w:sz="8" w:color="auto"/>
            </w:tcBorders>
          </w:tcPr>
          <w:p>
            <w:pPr>
              <w:ind w:left="120"/>
              <w:spacing w:after="0"/>
              <w:rPr>
                <w:sz w:val="20"/>
                <w:szCs w:val="20"/>
                <w:color w:val="auto"/>
              </w:rPr>
            </w:pPr>
            <w:r>
              <w:rPr>
                <w:rFonts w:ascii="Arial" w:cs="Arial" w:eastAsia="Arial" w:hAnsi="Arial"/>
                <w:sz w:val="18"/>
                <w:szCs w:val="18"/>
                <w:b w:val="1"/>
                <w:bCs w:val="1"/>
                <w:color w:val="auto"/>
              </w:rPr>
              <w:t>Location:</w:t>
            </w:r>
          </w:p>
        </w:tc>
        <w:tc>
          <w:tcPr>
            <w:tcW w:w="1080" w:type="dxa"/>
            <w:vAlign w:val="bottom"/>
            <w:gridSpan w:val="3"/>
          </w:tcPr>
          <w:p>
            <w:pPr>
              <w:ind w:left="80"/>
              <w:spacing w:after="0"/>
              <w:rPr>
                <w:sz w:val="20"/>
                <w:szCs w:val="20"/>
                <w:color w:val="auto"/>
              </w:rPr>
            </w:pPr>
            <w:r>
              <w:rPr>
                <w:rFonts w:ascii="Arial" w:cs="Arial" w:eastAsia="Arial" w:hAnsi="Arial"/>
                <w:sz w:val="18"/>
                <w:szCs w:val="18"/>
                <w:color w:val="auto"/>
                <w:w w:val="97"/>
              </w:rPr>
              <w:t>Dechert LLP</w:t>
            </w:r>
          </w:p>
        </w:tc>
        <w:tc>
          <w:tcPr>
            <w:tcW w:w="1800" w:type="dxa"/>
            <w:vAlign w:val="bottom"/>
          </w:tcPr>
          <w:p>
            <w:pPr>
              <w:spacing w:after="0"/>
              <w:rPr>
                <w:sz w:val="19"/>
                <w:szCs w:val="19"/>
                <w:color w:val="auto"/>
              </w:rPr>
            </w:pPr>
          </w:p>
        </w:tc>
        <w:tc>
          <w:tcPr>
            <w:tcW w:w="222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03"/>
        </w:trPr>
        <w:tc>
          <w:tcPr>
            <w:tcW w:w="1400" w:type="dxa"/>
            <w:vAlign w:val="bottom"/>
            <w:tcBorders>
              <w:left w:val="single" w:sz="8" w:color="auto"/>
            </w:tcBorders>
          </w:tcPr>
          <w:p>
            <w:pPr>
              <w:spacing w:after="0"/>
              <w:rPr>
                <w:sz w:val="17"/>
                <w:szCs w:val="17"/>
                <w:color w:val="auto"/>
              </w:rPr>
            </w:pPr>
          </w:p>
        </w:tc>
        <w:tc>
          <w:tcPr>
            <w:tcW w:w="5100" w:type="dxa"/>
            <w:vAlign w:val="bottom"/>
            <w:tcBorders>
              <w:right w:val="single" w:sz="8" w:color="auto"/>
            </w:tcBorders>
            <w:gridSpan w:val="5"/>
          </w:tcPr>
          <w:p>
            <w:pPr>
              <w:ind w:left="80"/>
              <w:spacing w:after="0" w:line="202" w:lineRule="exact"/>
              <w:rPr>
                <w:sz w:val="20"/>
                <w:szCs w:val="20"/>
                <w:color w:val="auto"/>
              </w:rPr>
            </w:pPr>
            <w:r>
              <w:rPr>
                <w:rFonts w:ascii="Arial" w:cs="Arial" w:eastAsia="Arial" w:hAnsi="Arial"/>
                <w:sz w:val="18"/>
                <w:szCs w:val="18"/>
                <w:color w:val="auto"/>
              </w:rPr>
              <w:t>1095 Avenue of the Americas</w:t>
            </w:r>
          </w:p>
        </w:tc>
        <w:tc>
          <w:tcPr>
            <w:tcW w:w="0" w:type="dxa"/>
            <w:vAlign w:val="bottom"/>
          </w:tcPr>
          <w:p>
            <w:pPr>
              <w:spacing w:after="0"/>
              <w:rPr>
                <w:sz w:val="1"/>
                <w:szCs w:val="1"/>
                <w:color w:val="auto"/>
              </w:rPr>
            </w:pPr>
          </w:p>
        </w:tc>
      </w:tr>
      <w:tr>
        <w:trPr>
          <w:trHeight w:val="211"/>
        </w:trPr>
        <w:tc>
          <w:tcPr>
            <w:tcW w:w="1400" w:type="dxa"/>
            <w:vAlign w:val="bottom"/>
            <w:tcBorders>
              <w:left w:val="single" w:sz="8" w:color="auto"/>
            </w:tcBorders>
          </w:tcPr>
          <w:p>
            <w:pPr>
              <w:spacing w:after="0"/>
              <w:rPr>
                <w:sz w:val="18"/>
                <w:szCs w:val="18"/>
                <w:color w:val="auto"/>
              </w:rPr>
            </w:pPr>
          </w:p>
        </w:tc>
        <w:tc>
          <w:tcPr>
            <w:tcW w:w="5100" w:type="dxa"/>
            <w:vAlign w:val="bottom"/>
            <w:tcBorders>
              <w:right w:val="single" w:sz="8" w:color="auto"/>
            </w:tcBorders>
            <w:gridSpan w:val="5"/>
          </w:tcPr>
          <w:p>
            <w:pPr>
              <w:ind w:left="80"/>
              <w:spacing w:after="0"/>
              <w:rPr>
                <w:sz w:val="20"/>
                <w:szCs w:val="20"/>
                <w:color w:val="auto"/>
              </w:rPr>
            </w:pPr>
            <w:r>
              <w:rPr>
                <w:rFonts w:ascii="Arial" w:cs="Arial" w:eastAsia="Arial" w:hAnsi="Arial"/>
                <w:sz w:val="18"/>
                <w:szCs w:val="18"/>
                <w:color w:val="auto"/>
              </w:rPr>
              <w:t>New York, NY 10036</w:t>
            </w:r>
          </w:p>
        </w:tc>
        <w:tc>
          <w:tcPr>
            <w:tcW w:w="0" w:type="dxa"/>
            <w:vAlign w:val="bottom"/>
          </w:tcPr>
          <w:p>
            <w:pPr>
              <w:spacing w:after="0"/>
              <w:rPr>
                <w:sz w:val="1"/>
                <w:szCs w:val="1"/>
                <w:color w:val="auto"/>
              </w:rPr>
            </w:pPr>
          </w:p>
        </w:tc>
      </w:tr>
      <w:tr>
        <w:trPr>
          <w:trHeight w:val="623"/>
        </w:trPr>
        <w:tc>
          <w:tcPr>
            <w:tcW w:w="1400" w:type="dxa"/>
            <w:vAlign w:val="bottom"/>
            <w:tcBorders>
              <w:left w:val="single" w:sz="8" w:color="auto"/>
              <w:bottom w:val="single" w:sz="8" w:color="auto"/>
            </w:tcBorders>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800" w:type="dxa"/>
            <w:vAlign w:val="bottom"/>
            <w:tcBorders>
              <w:bottom w:val="single" w:sz="8" w:color="auto"/>
            </w:tcBorders>
          </w:tcPr>
          <w:p>
            <w:pPr>
              <w:spacing w:after="0"/>
              <w:rPr>
                <w:sz w:val="24"/>
                <w:szCs w:val="24"/>
                <w:color w:val="auto"/>
              </w:rPr>
            </w:pPr>
          </w:p>
        </w:tc>
        <w:tc>
          <w:tcPr>
            <w:tcW w:w="222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3" w:lineRule="exact"/>
        <w:rPr>
          <w:sz w:val="20"/>
          <w:szCs w:val="20"/>
          <w:color w:val="auto"/>
        </w:rPr>
      </w:pPr>
    </w:p>
    <w:p>
      <w:pPr>
        <w:sectPr>
          <w:pgSz w:w="11900" w:h="16838" w:orient="portrait"/>
          <w:cols w:equalWidth="0" w:num="2">
            <w:col w:w="4080" w:space="720"/>
            <w:col w:w="6500"/>
          </w:cols>
          <w:pgMar w:left="360" w:top="247" w:right="239" w:bottom="1440" w:gutter="0" w:footer="0" w:header="0"/>
          <w:type w:val="continuous"/>
        </w:sectPr>
      </w:pPr>
    </w:p>
    <w:p>
      <w:pPr>
        <w:ind w:left="4920" w:right="460"/>
        <w:spacing w:after="0" w:line="239" w:lineRule="auto"/>
        <w:rPr>
          <w:sz w:val="20"/>
          <w:szCs w:val="20"/>
          <w:color w:val="auto"/>
        </w:rPr>
      </w:pPr>
      <w:r>
        <w:rPr>
          <w:rFonts w:ascii="Arial" w:cs="Arial" w:eastAsia="Arial" w:hAnsi="Arial"/>
          <w:sz w:val="18"/>
          <w:szCs w:val="18"/>
          <w:color w:val="auto"/>
        </w:rPr>
        <w:t>You are receiving this communication because you hold shares in the above named company.</w:t>
      </w:r>
    </w:p>
    <w:p>
      <w:pPr>
        <w:spacing w:after="0" w:line="101" w:lineRule="exact"/>
        <w:rPr>
          <w:sz w:val="20"/>
          <w:szCs w:val="20"/>
          <w:color w:val="auto"/>
        </w:rPr>
      </w:pPr>
    </w:p>
    <w:p>
      <w:pPr>
        <w:ind w:left="4920" w:right="100"/>
        <w:spacing w:after="0" w:line="275" w:lineRule="auto"/>
        <w:rPr>
          <w:sz w:val="20"/>
          <w:szCs w:val="20"/>
          <w:color w:val="auto"/>
        </w:rPr>
      </w:pPr>
      <w:r>
        <w:rPr>
          <w:rFonts w:ascii="Arial" w:cs="Arial" w:eastAsia="Arial" w:hAnsi="Arial"/>
          <w:sz w:val="16"/>
          <w:szCs w:val="16"/>
          <w:color w:val="auto"/>
        </w:rPr>
        <w:t xml:space="preserve">This is not a ballot. You cannot use this notice to vote these shares. This communication presents only an overview of the more complete proxy materials that are available to you on the Internet. You may view the proxy materials online at </w:t>
      </w:r>
      <w:r>
        <w:rPr>
          <w:rFonts w:ascii="Arial" w:cs="Arial" w:eastAsia="Arial" w:hAnsi="Arial"/>
          <w:sz w:val="16"/>
          <w:szCs w:val="16"/>
          <w:i w:val="1"/>
          <w:iCs w:val="1"/>
          <w:color w:val="auto"/>
        </w:rPr>
        <w:t>www.proxyvote.com</w:t>
      </w:r>
      <w:r>
        <w:rPr>
          <w:rFonts w:ascii="Arial" w:cs="Arial" w:eastAsia="Arial" w:hAnsi="Arial"/>
          <w:sz w:val="16"/>
          <w:szCs w:val="16"/>
          <w:color w:val="auto"/>
        </w:rPr>
        <w:t xml:space="preserve"> or easily request a paper copy (see reverse side).</w:t>
      </w:r>
    </w:p>
    <w:p>
      <w:pPr>
        <w:spacing w:after="0" w:line="71" w:lineRule="exact"/>
        <w:rPr>
          <w:sz w:val="20"/>
          <w:szCs w:val="20"/>
          <w:color w:val="auto"/>
        </w:rPr>
      </w:pPr>
    </w:p>
    <w:p>
      <w:pPr>
        <w:ind w:left="4920"/>
        <w:spacing w:after="0"/>
        <w:rPr>
          <w:sz w:val="20"/>
          <w:szCs w:val="20"/>
          <w:color w:val="auto"/>
        </w:rPr>
      </w:pPr>
      <w:r>
        <w:rPr>
          <w:rFonts w:ascii="Arial" w:cs="Arial" w:eastAsia="Arial" w:hAnsi="Arial"/>
          <w:sz w:val="18"/>
          <w:szCs w:val="18"/>
          <w:color w:val="auto"/>
        </w:rPr>
        <w:t>We encourage you to access and review all of the important information</w:t>
      </w:r>
    </w:p>
    <w:p>
      <w:pPr>
        <w:ind w:left="4920"/>
        <w:spacing w:after="0"/>
        <w:rPr>
          <w:sz w:val="20"/>
          <w:szCs w:val="20"/>
          <w:color w:val="auto"/>
        </w:rPr>
      </w:pPr>
      <w:r>
        <w:rPr>
          <w:rFonts w:ascii="Arial" w:cs="Arial" w:eastAsia="Arial" w:hAnsi="Arial"/>
          <w:sz w:val="18"/>
          <w:szCs w:val="18"/>
          <w:color w:val="auto"/>
        </w:rPr>
        <w:t>contained in the proxy materials before voting.</w:t>
      </w:r>
    </w:p>
    <w:p>
      <w:pPr>
        <w:spacing w:after="0" w:line="68" w:lineRule="exact"/>
        <w:rPr>
          <w:sz w:val="20"/>
          <w:szCs w:val="20"/>
          <w:color w:val="auto"/>
        </w:rPr>
      </w:pPr>
    </w:p>
    <w:p>
      <w:pPr>
        <w:ind w:left="4920" w:right="460"/>
        <w:spacing w:after="0" w:line="264" w:lineRule="auto"/>
        <w:rPr>
          <w:sz w:val="20"/>
          <w:szCs w:val="20"/>
          <w:color w:val="auto"/>
        </w:rPr>
      </w:pPr>
      <w:r>
        <w:rPr>
          <w:rFonts w:ascii="Arial" w:cs="Arial" w:eastAsia="Arial" w:hAnsi="Arial"/>
          <w:sz w:val="18"/>
          <w:szCs w:val="18"/>
          <w:b w:val="1"/>
          <w:bCs w:val="1"/>
          <w:color w:val="FFFFFF"/>
        </w:rPr>
        <w:t>See the reverse side of this notice to obtain proxy materials and voting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3050540</wp:posOffset>
            </wp:positionH>
            <wp:positionV relativeFrom="paragraph">
              <wp:posOffset>-276860</wp:posOffset>
            </wp:positionV>
            <wp:extent cx="4124960" cy="25717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4124960" cy="257175"/>
                    </a:xfrm>
                    <a:prstGeom prst="rect">
                      <a:avLst/>
                    </a:prstGeom>
                    <a:noFill/>
                  </pic:spPr>
                </pic:pic>
              </a:graphicData>
            </a:graphic>
          </wp:anchor>
        </w:drawing>
      </w:r>
    </w:p>
    <w:p>
      <w:pPr>
        <w:spacing w:after="0" w:line="272" w:lineRule="exact"/>
        <w:rPr>
          <w:sz w:val="20"/>
          <w:szCs w:val="20"/>
          <w:color w:val="auto"/>
        </w:rPr>
      </w:pPr>
    </w:p>
    <w:p>
      <w:pPr>
        <w:jc w:val="center"/>
        <w:ind w:right="120"/>
        <w:spacing w:after="0"/>
        <w:rPr>
          <w:sz w:val="20"/>
          <w:szCs w:val="20"/>
          <w:color w:val="auto"/>
        </w:rPr>
      </w:pPr>
      <w:r>
        <w:rPr>
          <w:rFonts w:ascii="Arial" w:cs="Arial" w:eastAsia="Arial" w:hAnsi="Arial"/>
          <w:sz w:val="14"/>
          <w:szCs w:val="14"/>
          <w:color w:val="auto"/>
        </w:rPr>
        <w:t>M18209-P86951</w:t>
      </w:r>
    </w:p>
    <w:p>
      <w:pPr>
        <w:sectPr>
          <w:pgSz w:w="11900" w:h="16838" w:orient="portrait"/>
          <w:cols w:equalWidth="0" w:num="1">
            <w:col w:w="11300"/>
          </w:cols>
          <w:pgMar w:left="360" w:top="247" w:right="239" w:bottom="1440" w:gutter="0" w:footer="0" w:header="0"/>
          <w:type w:val="continuous"/>
        </w:sectPr>
      </w:pPr>
    </w:p>
    <w:bookmarkStart w:id="33" w:name="page34"/>
    <w:bookmarkEnd w:id="33"/>
    <w:tbl>
      <w:tblPr>
        <w:tblLayout w:type="fixed"/>
        <w:tblInd w:w="0" w:type="dxa"/>
        <w:tblCellMar>
          <w:top w:w="0" w:type="dxa"/>
          <w:left w:w="0" w:type="dxa"/>
          <w:bottom w:w="0" w:type="dxa"/>
          <w:right w:w="0" w:type="dxa"/>
        </w:tblCellMar>
      </w:tblPr>
      <w:tr>
        <w:trPr>
          <w:trHeight w:val="399"/>
        </w:trPr>
        <w:tc>
          <w:tcPr>
            <w:tcW w:w="3360" w:type="dxa"/>
            <w:vAlign w:val="bottom"/>
          </w:tcPr>
          <w:p>
            <w:pPr>
              <w:spacing w:after="0"/>
              <w:rPr>
                <w:sz w:val="24"/>
                <w:szCs w:val="24"/>
                <w:color w:val="auto"/>
              </w:rPr>
            </w:pPr>
          </w:p>
        </w:tc>
        <w:tc>
          <w:tcPr>
            <w:tcW w:w="8100" w:type="dxa"/>
            <w:vAlign w:val="bottom"/>
          </w:tcPr>
          <w:p>
            <w:pPr>
              <w:jc w:val="center"/>
              <w:ind w:right="3261"/>
              <w:spacing w:after="0"/>
              <w:rPr>
                <w:sz w:val="20"/>
                <w:szCs w:val="20"/>
                <w:color w:val="auto"/>
              </w:rPr>
            </w:pPr>
            <w:r>
              <w:rPr>
                <w:rFonts w:ascii="Arial" w:cs="Arial" w:eastAsia="Arial" w:hAnsi="Arial"/>
                <w:sz w:val="32"/>
                <w:szCs w:val="32"/>
                <w:b w:val="1"/>
                <w:bCs w:val="1"/>
                <w:color w:val="auto"/>
                <w:w w:val="91"/>
              </w:rPr>
              <w:t>— Before You Vote —</w:t>
            </w:r>
          </w:p>
        </w:tc>
      </w:tr>
      <w:tr>
        <w:trPr>
          <w:trHeight w:val="260"/>
        </w:trPr>
        <w:tc>
          <w:tcPr>
            <w:tcW w:w="3360" w:type="dxa"/>
            <w:vAlign w:val="bottom"/>
          </w:tcPr>
          <w:p>
            <w:pPr>
              <w:spacing w:after="0"/>
              <w:rPr>
                <w:sz w:val="22"/>
                <w:szCs w:val="22"/>
                <w:color w:val="auto"/>
              </w:rPr>
            </w:pPr>
          </w:p>
        </w:tc>
        <w:tc>
          <w:tcPr>
            <w:tcW w:w="8100" w:type="dxa"/>
            <w:vAlign w:val="bottom"/>
          </w:tcPr>
          <w:p>
            <w:pPr>
              <w:jc w:val="center"/>
              <w:ind w:right="3281"/>
              <w:spacing w:after="0"/>
              <w:rPr>
                <w:sz w:val="20"/>
                <w:szCs w:val="20"/>
                <w:color w:val="auto"/>
              </w:rPr>
            </w:pPr>
            <w:r>
              <w:rPr>
                <w:rFonts w:ascii="Arial" w:cs="Arial" w:eastAsia="Arial" w:hAnsi="Arial"/>
                <w:sz w:val="22"/>
                <w:szCs w:val="22"/>
                <w:color w:val="auto"/>
                <w:w w:val="98"/>
              </w:rPr>
              <w:t>How to Access the Proxy Materials</w:t>
            </w:r>
          </w:p>
        </w:tc>
      </w:tr>
      <w:tr>
        <w:trPr>
          <w:trHeight w:val="68"/>
        </w:trPr>
        <w:tc>
          <w:tcPr>
            <w:tcW w:w="11460" w:type="dxa"/>
            <w:vAlign w:val="bottom"/>
            <w:tcBorders>
              <w:bottom w:val="single" w:sz="8" w:color="auto"/>
            </w:tcBorders>
            <w:gridSpan w:val="2"/>
          </w:tcPr>
          <w:p>
            <w:pPr>
              <w:spacing w:after="0"/>
              <w:rPr>
                <w:sz w:val="5"/>
                <w:szCs w:val="5"/>
                <w:color w:val="auto"/>
              </w:rPr>
            </w:pPr>
          </w:p>
        </w:tc>
      </w:tr>
      <w:tr>
        <w:trPr>
          <w:trHeight w:val="238"/>
        </w:trPr>
        <w:tc>
          <w:tcPr>
            <w:tcW w:w="11460" w:type="dxa"/>
            <w:vAlign w:val="bottom"/>
            <w:gridSpan w:val="2"/>
          </w:tcPr>
          <w:p>
            <w:pPr>
              <w:ind w:left="140"/>
              <w:spacing w:after="0"/>
              <w:rPr>
                <w:sz w:val="20"/>
                <w:szCs w:val="20"/>
                <w:color w:val="auto"/>
              </w:rPr>
            </w:pPr>
            <w:r>
              <w:rPr>
                <w:rFonts w:ascii="Arial" w:cs="Arial" w:eastAsia="Arial" w:hAnsi="Arial"/>
                <w:sz w:val="18"/>
                <w:szCs w:val="18"/>
                <w:b w:val="1"/>
                <w:bCs w:val="1"/>
                <w:color w:val="auto"/>
              </w:rPr>
              <w:t>Proxy Materials Available to VIEW or RECEIVE:</w:t>
            </w:r>
          </w:p>
        </w:tc>
      </w:tr>
      <w:tr>
        <w:trPr>
          <w:trHeight w:val="284"/>
        </w:trPr>
        <w:tc>
          <w:tcPr>
            <w:tcW w:w="3360" w:type="dxa"/>
            <w:vAlign w:val="bottom"/>
          </w:tcPr>
          <w:p>
            <w:pPr>
              <w:ind w:left="140"/>
              <w:spacing w:after="0"/>
              <w:rPr>
                <w:sz w:val="20"/>
                <w:szCs w:val="20"/>
                <w:color w:val="auto"/>
              </w:rPr>
            </w:pPr>
            <w:r>
              <w:rPr>
                <w:rFonts w:ascii="Arial" w:cs="Arial" w:eastAsia="Arial" w:hAnsi="Arial"/>
                <w:sz w:val="18"/>
                <w:szCs w:val="18"/>
                <w:color w:val="auto"/>
              </w:rPr>
              <w:t>NOTICE AND PROXY STATEMENT</w:t>
            </w:r>
          </w:p>
        </w:tc>
        <w:tc>
          <w:tcPr>
            <w:tcW w:w="8100" w:type="dxa"/>
            <w:vAlign w:val="bottom"/>
          </w:tcPr>
          <w:p>
            <w:pPr>
              <w:ind w:left="380"/>
              <w:spacing w:after="0"/>
              <w:rPr>
                <w:sz w:val="20"/>
                <w:szCs w:val="20"/>
                <w:color w:val="auto"/>
              </w:rPr>
            </w:pPr>
            <w:r>
              <w:rPr>
                <w:rFonts w:ascii="Arial" w:cs="Arial" w:eastAsia="Arial" w:hAnsi="Arial"/>
                <w:sz w:val="18"/>
                <w:szCs w:val="18"/>
                <w:color w:val="auto"/>
              </w:rPr>
              <w:t>ANNUAL REPORT COMBO DOC</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89165" cy="3873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-342900</wp:posOffset>
            </wp:positionV>
            <wp:extent cx="7276465" cy="218249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276465" cy="2182495"/>
                    </a:xfrm>
                    <a:prstGeom prst="rect">
                      <a:avLst/>
                    </a:prstGeom>
                    <a:noFill/>
                  </pic:spPr>
                </pic:pic>
              </a:graphicData>
            </a:graphic>
          </wp:anchor>
        </w:drawing>
      </w:r>
    </w:p>
    <w:p>
      <w:pPr>
        <w:spacing w:after="0" w:line="31" w:lineRule="exact"/>
        <w:rPr>
          <w:sz w:val="20"/>
          <w:szCs w:val="20"/>
          <w:color w:val="auto"/>
        </w:rPr>
      </w:pPr>
    </w:p>
    <w:p>
      <w:pPr>
        <w:ind w:left="140"/>
        <w:spacing w:after="0"/>
        <w:rPr>
          <w:sz w:val="20"/>
          <w:szCs w:val="20"/>
          <w:color w:val="auto"/>
        </w:rPr>
      </w:pPr>
      <w:r>
        <w:rPr>
          <w:rFonts w:ascii="Arial" w:cs="Arial" w:eastAsia="Arial" w:hAnsi="Arial"/>
          <w:sz w:val="18"/>
          <w:szCs w:val="18"/>
          <w:b w:val="1"/>
          <w:bCs w:val="1"/>
          <w:color w:val="auto"/>
        </w:rPr>
        <w:t>How to View Online:</w:t>
      </w:r>
    </w:p>
    <w:p>
      <w:pPr>
        <w:spacing w:after="0" w:line="18" w:lineRule="exact"/>
        <w:rPr>
          <w:sz w:val="20"/>
          <w:szCs w:val="20"/>
          <w:color w:val="auto"/>
        </w:rPr>
      </w:pPr>
    </w:p>
    <w:p>
      <w:pPr>
        <w:ind w:left="140"/>
        <w:spacing w:after="0"/>
        <w:rPr>
          <w:sz w:val="20"/>
          <w:szCs w:val="20"/>
          <w:color w:val="auto"/>
        </w:rPr>
      </w:pPr>
      <w:r>
        <w:rPr>
          <w:rFonts w:ascii="Arial" w:cs="Arial" w:eastAsia="Arial" w:hAnsi="Arial"/>
          <w:sz w:val="18"/>
          <w:szCs w:val="18"/>
          <w:color w:val="auto"/>
        </w:rPr>
        <w:t xml:space="preserve">Have the 12-Digit Control Number available (located on the following page) and visit: </w:t>
      </w:r>
      <w:r>
        <w:rPr>
          <w:rFonts w:ascii="Arial" w:cs="Arial" w:eastAsia="Arial" w:hAnsi="Arial"/>
          <w:sz w:val="18"/>
          <w:szCs w:val="18"/>
          <w:i w:val="1"/>
          <w:iCs w:val="1"/>
          <w:color w:val="auto"/>
        </w:rPr>
        <w:t>www.proxyvote.com</w:t>
      </w:r>
      <w:r>
        <w:rPr>
          <w:rFonts w:ascii="Arial" w:cs="Arial" w:eastAsia="Arial" w:hAnsi="Arial"/>
          <w:sz w:val="18"/>
          <w:szCs w:val="18"/>
          <w:color w:val="auto"/>
        </w:rPr>
        <w:t>.</w:t>
      </w:r>
    </w:p>
    <w:p>
      <w:pPr>
        <w:spacing w:after="0" w:line="55" w:lineRule="exact"/>
        <w:rPr>
          <w:sz w:val="20"/>
          <w:szCs w:val="20"/>
          <w:color w:val="auto"/>
        </w:rPr>
      </w:pPr>
    </w:p>
    <w:p>
      <w:pPr>
        <w:ind w:left="140"/>
        <w:spacing w:after="0"/>
        <w:rPr>
          <w:sz w:val="20"/>
          <w:szCs w:val="20"/>
          <w:color w:val="auto"/>
        </w:rPr>
      </w:pPr>
      <w:r>
        <w:rPr>
          <w:rFonts w:ascii="Arial" w:cs="Arial" w:eastAsia="Arial" w:hAnsi="Arial"/>
          <w:sz w:val="18"/>
          <w:szCs w:val="18"/>
          <w:b w:val="1"/>
          <w:bCs w:val="1"/>
          <w:color w:val="auto"/>
        </w:rPr>
        <w:t>How to Request and Receive a PAPER or E-MAIL Copy:</w:t>
      </w:r>
    </w:p>
    <w:p>
      <w:pPr>
        <w:spacing w:after="0" w:line="18" w:lineRule="exact"/>
        <w:rPr>
          <w:sz w:val="20"/>
          <w:szCs w:val="20"/>
          <w:color w:val="auto"/>
        </w:rPr>
      </w:pPr>
    </w:p>
    <w:p>
      <w:pPr>
        <w:ind w:left="140" w:right="560"/>
        <w:spacing w:after="0" w:line="239" w:lineRule="auto"/>
        <w:rPr>
          <w:sz w:val="20"/>
          <w:szCs w:val="20"/>
          <w:color w:val="auto"/>
        </w:rPr>
      </w:pPr>
      <w:r>
        <w:rPr>
          <w:rFonts w:ascii="Arial" w:cs="Arial" w:eastAsia="Arial" w:hAnsi="Arial"/>
          <w:sz w:val="18"/>
          <w:szCs w:val="18"/>
          <w:color w:val="auto"/>
        </w:rPr>
        <w:t>If you want to receive a paper or e-mail copy of these documents, you must request one. There is NO charge for requesting a copy. Please choose one of the following methods to make your request:</w:t>
      </w:r>
    </w:p>
    <w:p>
      <w:pPr>
        <w:spacing w:after="0" w:line="52" w:lineRule="exact"/>
        <w:rPr>
          <w:sz w:val="20"/>
          <w:szCs w:val="20"/>
          <w:color w:val="auto"/>
        </w:rPr>
      </w:pPr>
    </w:p>
    <w:tbl>
      <w:tblPr>
        <w:tblLayout w:type="fixed"/>
        <w:tblInd w:w="1860" w:type="dxa"/>
        <w:tblCellMar>
          <w:top w:w="0" w:type="dxa"/>
          <w:left w:w="0" w:type="dxa"/>
          <w:bottom w:w="0" w:type="dxa"/>
          <w:right w:w="0" w:type="dxa"/>
        </w:tblCellMar>
      </w:tblPr>
      <w:tr>
        <w:trPr>
          <w:trHeight w:val="207"/>
        </w:trPr>
        <w:tc>
          <w:tcPr>
            <w:tcW w:w="240" w:type="dxa"/>
            <w:vAlign w:val="bottom"/>
          </w:tcPr>
          <w:p>
            <w:pPr>
              <w:jc w:val="right"/>
              <w:spacing w:after="0"/>
              <w:rPr>
                <w:sz w:val="20"/>
                <w:szCs w:val="20"/>
                <w:color w:val="auto"/>
              </w:rPr>
            </w:pPr>
            <w:r>
              <w:rPr>
                <w:rFonts w:ascii="Arial" w:cs="Arial" w:eastAsia="Arial" w:hAnsi="Arial"/>
                <w:sz w:val="18"/>
                <w:szCs w:val="18"/>
                <w:color w:val="auto"/>
                <w:w w:val="87"/>
              </w:rPr>
              <w:t>1)</w:t>
            </w:r>
          </w:p>
        </w:tc>
        <w:tc>
          <w:tcPr>
            <w:tcW w:w="1740" w:type="dxa"/>
            <w:vAlign w:val="bottom"/>
          </w:tcPr>
          <w:p>
            <w:pPr>
              <w:ind w:left="80"/>
              <w:spacing w:after="0"/>
              <w:rPr>
                <w:sz w:val="20"/>
                <w:szCs w:val="20"/>
                <w:color w:val="auto"/>
              </w:rPr>
            </w:pPr>
            <w:r>
              <w:rPr>
                <w:rFonts w:ascii="Arial" w:cs="Arial" w:eastAsia="Arial" w:hAnsi="Arial"/>
                <w:sz w:val="18"/>
                <w:szCs w:val="18"/>
                <w:i w:val="1"/>
                <w:iCs w:val="1"/>
                <w:color w:val="auto"/>
              </w:rPr>
              <w:t>BY INTERNET</w:t>
            </w:r>
            <w:r>
              <w:rPr>
                <w:rFonts w:ascii="Arial" w:cs="Arial" w:eastAsia="Arial" w:hAnsi="Arial"/>
                <w:sz w:val="18"/>
                <w:szCs w:val="18"/>
                <w:color w:val="auto"/>
              </w:rPr>
              <w:t>:</w:t>
            </w:r>
          </w:p>
        </w:tc>
        <w:tc>
          <w:tcPr>
            <w:tcW w:w="2600" w:type="dxa"/>
            <w:vAlign w:val="bottom"/>
          </w:tcPr>
          <w:p>
            <w:pPr>
              <w:ind w:left="280"/>
              <w:spacing w:after="0"/>
              <w:rPr>
                <w:sz w:val="20"/>
                <w:szCs w:val="20"/>
                <w:color w:val="auto"/>
              </w:rPr>
            </w:pPr>
            <w:r>
              <w:rPr>
                <w:rFonts w:ascii="Arial" w:cs="Arial" w:eastAsia="Arial" w:hAnsi="Arial"/>
                <w:sz w:val="18"/>
                <w:szCs w:val="18"/>
                <w:color w:val="auto"/>
              </w:rPr>
              <w:t>www.proxyvote.com</w:t>
            </w:r>
          </w:p>
        </w:tc>
      </w:tr>
      <w:tr>
        <w:trPr>
          <w:trHeight w:val="203"/>
        </w:trPr>
        <w:tc>
          <w:tcPr>
            <w:tcW w:w="240" w:type="dxa"/>
            <w:vAlign w:val="bottom"/>
          </w:tcPr>
          <w:p>
            <w:pPr>
              <w:jc w:val="right"/>
              <w:spacing w:after="0" w:line="202" w:lineRule="exact"/>
              <w:rPr>
                <w:sz w:val="20"/>
                <w:szCs w:val="20"/>
                <w:color w:val="auto"/>
              </w:rPr>
            </w:pPr>
            <w:r>
              <w:rPr>
                <w:rFonts w:ascii="Arial" w:cs="Arial" w:eastAsia="Arial" w:hAnsi="Arial"/>
                <w:sz w:val="18"/>
                <w:szCs w:val="18"/>
                <w:color w:val="auto"/>
                <w:w w:val="87"/>
              </w:rPr>
              <w:t>2)</w:t>
            </w:r>
          </w:p>
        </w:tc>
        <w:tc>
          <w:tcPr>
            <w:tcW w:w="1740" w:type="dxa"/>
            <w:vAlign w:val="bottom"/>
          </w:tcPr>
          <w:p>
            <w:pPr>
              <w:ind w:left="80"/>
              <w:spacing w:after="0" w:line="202" w:lineRule="exact"/>
              <w:rPr>
                <w:sz w:val="20"/>
                <w:szCs w:val="20"/>
                <w:color w:val="auto"/>
              </w:rPr>
            </w:pPr>
            <w:r>
              <w:rPr>
                <w:rFonts w:ascii="Arial" w:cs="Arial" w:eastAsia="Arial" w:hAnsi="Arial"/>
                <w:sz w:val="18"/>
                <w:szCs w:val="18"/>
                <w:i w:val="1"/>
                <w:iCs w:val="1"/>
                <w:color w:val="auto"/>
              </w:rPr>
              <w:t>BY TELEPHONE</w:t>
            </w:r>
            <w:r>
              <w:rPr>
                <w:rFonts w:ascii="Arial" w:cs="Arial" w:eastAsia="Arial" w:hAnsi="Arial"/>
                <w:sz w:val="18"/>
                <w:szCs w:val="18"/>
                <w:color w:val="auto"/>
              </w:rPr>
              <w:t>:</w:t>
            </w:r>
          </w:p>
        </w:tc>
        <w:tc>
          <w:tcPr>
            <w:tcW w:w="2600" w:type="dxa"/>
            <w:vAlign w:val="bottom"/>
          </w:tcPr>
          <w:p>
            <w:pPr>
              <w:ind w:left="280"/>
              <w:spacing w:after="0" w:line="202" w:lineRule="exact"/>
              <w:rPr>
                <w:sz w:val="20"/>
                <w:szCs w:val="20"/>
                <w:color w:val="auto"/>
              </w:rPr>
            </w:pPr>
            <w:r>
              <w:rPr>
                <w:rFonts w:ascii="Arial" w:cs="Arial" w:eastAsia="Arial" w:hAnsi="Arial"/>
                <w:sz w:val="18"/>
                <w:szCs w:val="18"/>
                <w:color w:val="auto"/>
              </w:rPr>
              <w:t>1-800-579-1639</w:t>
            </w:r>
          </w:p>
        </w:tc>
      </w:tr>
      <w:tr>
        <w:trPr>
          <w:trHeight w:val="229"/>
        </w:trPr>
        <w:tc>
          <w:tcPr>
            <w:tcW w:w="240" w:type="dxa"/>
            <w:vAlign w:val="bottom"/>
          </w:tcPr>
          <w:p>
            <w:pPr>
              <w:jc w:val="right"/>
              <w:spacing w:after="0"/>
              <w:rPr>
                <w:sz w:val="20"/>
                <w:szCs w:val="20"/>
                <w:color w:val="auto"/>
              </w:rPr>
            </w:pPr>
            <w:r>
              <w:rPr>
                <w:rFonts w:ascii="Arial" w:cs="Arial" w:eastAsia="Arial" w:hAnsi="Arial"/>
                <w:sz w:val="18"/>
                <w:szCs w:val="18"/>
                <w:color w:val="auto"/>
                <w:w w:val="87"/>
              </w:rPr>
              <w:t>3)</w:t>
            </w:r>
          </w:p>
        </w:tc>
        <w:tc>
          <w:tcPr>
            <w:tcW w:w="1740" w:type="dxa"/>
            <w:vAlign w:val="bottom"/>
          </w:tcPr>
          <w:p>
            <w:pPr>
              <w:ind w:left="80"/>
              <w:spacing w:after="0"/>
              <w:rPr>
                <w:sz w:val="20"/>
                <w:szCs w:val="20"/>
                <w:color w:val="auto"/>
              </w:rPr>
            </w:pPr>
            <w:r>
              <w:rPr>
                <w:rFonts w:ascii="Arial" w:cs="Arial" w:eastAsia="Arial" w:hAnsi="Arial"/>
                <w:sz w:val="18"/>
                <w:szCs w:val="18"/>
                <w:i w:val="1"/>
                <w:iCs w:val="1"/>
                <w:color w:val="auto"/>
              </w:rPr>
              <w:t>BY E-MAIL*</w:t>
            </w:r>
            <w:r>
              <w:rPr>
                <w:rFonts w:ascii="Arial" w:cs="Arial" w:eastAsia="Arial" w:hAnsi="Arial"/>
                <w:sz w:val="18"/>
                <w:szCs w:val="18"/>
                <w:color w:val="auto"/>
              </w:rPr>
              <w:t>:</w:t>
            </w:r>
          </w:p>
        </w:tc>
        <w:tc>
          <w:tcPr>
            <w:tcW w:w="2600" w:type="dxa"/>
            <w:vAlign w:val="bottom"/>
          </w:tcPr>
          <w:p>
            <w:pPr>
              <w:ind w:left="280"/>
              <w:spacing w:after="0"/>
              <w:rPr>
                <w:sz w:val="20"/>
                <w:szCs w:val="20"/>
                <w:color w:val="auto"/>
              </w:rPr>
            </w:pPr>
            <w:r>
              <w:rPr>
                <w:rFonts w:ascii="Arial" w:cs="Arial" w:eastAsia="Arial" w:hAnsi="Arial"/>
                <w:sz w:val="18"/>
                <w:szCs w:val="18"/>
                <w:color w:val="auto"/>
                <w:w w:val="96"/>
              </w:rPr>
              <w:t>sendmaterial@proxyvote.com</w:t>
            </w:r>
          </w:p>
        </w:tc>
      </w:tr>
    </w:tbl>
    <w:p>
      <w:pPr>
        <w:spacing w:after="0" w:line="73" w:lineRule="exact"/>
        <w:rPr>
          <w:sz w:val="20"/>
          <w:szCs w:val="20"/>
          <w:color w:val="auto"/>
        </w:rPr>
      </w:pPr>
    </w:p>
    <w:p>
      <w:pPr>
        <w:ind w:left="360" w:right="320" w:hanging="219"/>
        <w:spacing w:after="0" w:line="239" w:lineRule="auto"/>
        <w:tabs>
          <w:tab w:leader="none" w:pos="340" w:val="left"/>
        </w:tabs>
        <w:rPr>
          <w:sz w:val="20"/>
          <w:szCs w:val="20"/>
          <w:color w:val="auto"/>
        </w:rPr>
      </w:pPr>
      <w:r>
        <w:rPr>
          <w:rFonts w:ascii="Arial" w:cs="Arial" w:eastAsia="Arial" w:hAnsi="Arial"/>
          <w:sz w:val="18"/>
          <w:szCs w:val="18"/>
          <w:color w:val="auto"/>
        </w:rPr>
        <w:t>*</w:t>
        <w:tab/>
        <w:t>If requesting materials by e-mail, please send a blank e-mail with the 12-Digit Control Number (located on the following page) in the subject line.</w:t>
      </w:r>
    </w:p>
    <w:p>
      <w:pPr>
        <w:spacing w:after="0" w:line="74" w:lineRule="exact"/>
        <w:rPr>
          <w:sz w:val="20"/>
          <w:szCs w:val="20"/>
          <w:color w:val="auto"/>
        </w:rPr>
      </w:pPr>
    </w:p>
    <w:p>
      <w:pPr>
        <w:ind w:left="140" w:right="720"/>
        <w:spacing w:after="0" w:line="239" w:lineRule="auto"/>
        <w:rPr>
          <w:sz w:val="20"/>
          <w:szCs w:val="20"/>
          <w:color w:val="auto"/>
        </w:rPr>
      </w:pPr>
      <w:r>
        <w:rPr>
          <w:rFonts w:ascii="Arial" w:cs="Arial" w:eastAsia="Arial" w:hAnsi="Arial"/>
          <w:sz w:val="18"/>
          <w:szCs w:val="18"/>
          <w:color w:val="auto"/>
        </w:rPr>
        <w:t>Requests, instructions and other inquiries sent to this e-mail address will NOT be forwarded to your investment advisor. Please make the request as instructed above on or before January 19, 2010 to facilitate timely delivery.</w:t>
      </w:r>
    </w:p>
    <w:p>
      <w:pPr>
        <w:spacing w:after="0" w:line="178" w:lineRule="exact"/>
        <w:rPr>
          <w:sz w:val="20"/>
          <w:szCs w:val="20"/>
          <w:color w:val="auto"/>
        </w:rPr>
      </w:pPr>
    </w:p>
    <w:p>
      <w:pPr>
        <w:jc w:val="center"/>
        <w:ind w:right="40"/>
        <w:spacing w:after="0"/>
        <w:rPr>
          <w:sz w:val="20"/>
          <w:szCs w:val="20"/>
          <w:color w:val="auto"/>
        </w:rPr>
      </w:pPr>
      <w:r>
        <w:rPr>
          <w:rFonts w:ascii="Arial" w:cs="Arial" w:eastAsia="Arial" w:hAnsi="Arial"/>
          <w:sz w:val="32"/>
          <w:szCs w:val="32"/>
          <w:b w:val="1"/>
          <w:bCs w:val="1"/>
          <w:color w:val="auto"/>
        </w:rPr>
        <w:t>— How To Vote —</w:t>
      </w:r>
    </w:p>
    <w:p>
      <w:pPr>
        <w:spacing w:after="0" w:line="31" w:lineRule="exact"/>
        <w:rPr>
          <w:sz w:val="20"/>
          <w:szCs w:val="20"/>
          <w:color w:val="auto"/>
        </w:rPr>
      </w:pPr>
    </w:p>
    <w:p>
      <w:pPr>
        <w:jc w:val="center"/>
        <w:ind w:right="40"/>
        <w:spacing w:after="0"/>
        <w:rPr>
          <w:sz w:val="20"/>
          <w:szCs w:val="20"/>
          <w:color w:val="auto"/>
        </w:rPr>
      </w:pPr>
      <w:r>
        <w:rPr>
          <w:rFonts w:ascii="Arial" w:cs="Arial" w:eastAsia="Arial" w:hAnsi="Arial"/>
          <w:sz w:val="22"/>
          <w:szCs w:val="22"/>
          <w:color w:val="auto"/>
        </w:rPr>
        <w:t>Please Choose One of the Following Voting Methods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46990</wp:posOffset>
            </wp:positionV>
            <wp:extent cx="7276465" cy="93916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276465" cy="939165"/>
                    </a:xfrm>
                    <a:prstGeom prst="rect">
                      <a:avLst/>
                    </a:prstGeom>
                    <a:noFill/>
                  </pic:spPr>
                </pic:pic>
              </a:graphicData>
            </a:graphic>
          </wp:anchor>
        </w:drawing>
      </w:r>
    </w:p>
    <w:p>
      <w:pPr>
        <w:spacing w:after="0" w:line="79" w:lineRule="exact"/>
        <w:rPr>
          <w:sz w:val="20"/>
          <w:szCs w:val="20"/>
          <w:color w:val="auto"/>
        </w:rPr>
      </w:pPr>
    </w:p>
    <w:p>
      <w:pPr>
        <w:ind w:left="140" w:right="380"/>
        <w:spacing w:after="0" w:line="244" w:lineRule="auto"/>
        <w:rPr>
          <w:sz w:val="20"/>
          <w:szCs w:val="20"/>
          <w:color w:val="auto"/>
        </w:rPr>
      </w:pPr>
      <w:r>
        <w:rPr>
          <w:rFonts w:ascii="Arial" w:cs="Arial" w:eastAsia="Arial" w:hAnsi="Arial"/>
          <w:sz w:val="18"/>
          <w:szCs w:val="18"/>
          <w:b w:val="1"/>
          <w:bCs w:val="1"/>
          <w:color w:val="auto"/>
        </w:rPr>
        <w:t xml:space="preserve">Vote In Person: </w:t>
      </w:r>
      <w:r>
        <w:rPr>
          <w:rFonts w:ascii="Arial" w:cs="Arial" w:eastAsia="Arial" w:hAnsi="Arial"/>
          <w:sz w:val="18"/>
          <w:szCs w:val="18"/>
          <w:color w:val="auto"/>
        </w:rPr>
        <w:t>If you choose to vote these shares in person at the meeting, you must request a “</w:t>
      </w:r>
      <w:r>
        <w:rPr>
          <w:rFonts w:ascii="Arial" w:cs="Arial" w:eastAsia="Arial" w:hAnsi="Arial"/>
          <w:sz w:val="18"/>
          <w:szCs w:val="18"/>
          <w:i w:val="1"/>
          <w:iCs w:val="1"/>
          <w:color w:val="auto"/>
        </w:rPr>
        <w:t>legal proxy.</w:t>
      </w:r>
      <w:r>
        <w:rPr>
          <w:rFonts w:ascii="Arial" w:cs="Arial" w:eastAsia="Arial" w:hAnsi="Arial"/>
          <w:sz w:val="18"/>
          <w:szCs w:val="18"/>
          <w:color w:val="auto"/>
        </w:rPr>
        <w:t>” To do so, please follow the</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instructions at </w:t>
      </w:r>
      <w:r>
        <w:rPr>
          <w:rFonts w:ascii="Arial" w:cs="Arial" w:eastAsia="Arial" w:hAnsi="Arial"/>
          <w:sz w:val="18"/>
          <w:szCs w:val="18"/>
          <w:i w:val="1"/>
          <w:iCs w:val="1"/>
          <w:color w:val="auto"/>
        </w:rPr>
        <w:t>www.proxyvote.com</w:t>
      </w:r>
      <w:r>
        <w:rPr>
          <w:rFonts w:ascii="Arial" w:cs="Arial" w:eastAsia="Arial" w:hAnsi="Arial"/>
          <w:sz w:val="18"/>
          <w:szCs w:val="18"/>
          <w:color w:val="auto"/>
        </w:rPr>
        <w:t xml:space="preserve"> or request a paper copy of the materials, which will contain the appropriate instructions. Many stockholder meetings have attendance requirements including, but not limited to, the possession of an attendance ticket issued by the entity holding the meeting. Please check the meeting materials for any special requirements for meeting attendance.</w:t>
      </w:r>
    </w:p>
    <w:p>
      <w:pPr>
        <w:spacing w:after="0" w:line="50" w:lineRule="exact"/>
        <w:rPr>
          <w:sz w:val="20"/>
          <w:szCs w:val="20"/>
          <w:color w:val="auto"/>
        </w:rPr>
      </w:pPr>
    </w:p>
    <w:p>
      <w:pPr>
        <w:ind w:left="140"/>
        <w:spacing w:after="0"/>
        <w:rPr>
          <w:sz w:val="20"/>
          <w:szCs w:val="20"/>
          <w:color w:val="auto"/>
        </w:rPr>
      </w:pPr>
      <w:r>
        <w:rPr>
          <w:rFonts w:ascii="Arial" w:cs="Arial" w:eastAsia="Arial" w:hAnsi="Arial"/>
          <w:sz w:val="18"/>
          <w:szCs w:val="18"/>
          <w:b w:val="1"/>
          <w:bCs w:val="1"/>
          <w:color w:val="auto"/>
        </w:rPr>
        <w:t xml:space="preserve">Vote By Internet: </w:t>
      </w:r>
      <w:r>
        <w:rPr>
          <w:rFonts w:ascii="Arial" w:cs="Arial" w:eastAsia="Arial" w:hAnsi="Arial"/>
          <w:sz w:val="18"/>
          <w:szCs w:val="18"/>
          <w:color w:val="auto"/>
        </w:rPr>
        <w:t>To vote now by Internet, go to</w:t>
      </w:r>
      <w:r>
        <w:rPr>
          <w:rFonts w:ascii="Arial" w:cs="Arial" w:eastAsia="Arial" w:hAnsi="Arial"/>
          <w:sz w:val="18"/>
          <w:szCs w:val="18"/>
          <w:b w:val="1"/>
          <w:bCs w:val="1"/>
          <w:color w:val="auto"/>
        </w:rPr>
        <w:t xml:space="preserve"> </w:t>
      </w:r>
      <w:r>
        <w:rPr>
          <w:rFonts w:ascii="Arial" w:cs="Arial" w:eastAsia="Arial" w:hAnsi="Arial"/>
          <w:sz w:val="18"/>
          <w:szCs w:val="18"/>
          <w:i w:val="1"/>
          <w:iCs w:val="1"/>
          <w:color w:val="auto"/>
        </w:rPr>
        <w:t>www.proxyvote.com.</w:t>
      </w:r>
      <w:r>
        <w:rPr>
          <w:rFonts w:ascii="Arial" w:cs="Arial" w:eastAsia="Arial" w:hAnsi="Arial"/>
          <w:sz w:val="18"/>
          <w:szCs w:val="18"/>
          <w:b w:val="1"/>
          <w:bCs w:val="1"/>
          <w:color w:val="auto"/>
        </w:rPr>
        <w:t xml:space="preserve"> </w:t>
      </w:r>
      <w:r>
        <w:rPr>
          <w:rFonts w:ascii="Arial" w:cs="Arial" w:eastAsia="Arial" w:hAnsi="Arial"/>
          <w:sz w:val="18"/>
          <w:szCs w:val="18"/>
          <w:color w:val="auto"/>
        </w:rPr>
        <w:t>Have the 12 Digit Control Number available and follow the instructions.</w:t>
      </w:r>
    </w:p>
    <w:p>
      <w:pPr>
        <w:spacing w:after="0" w:line="77" w:lineRule="exact"/>
        <w:rPr>
          <w:sz w:val="20"/>
          <w:szCs w:val="20"/>
          <w:color w:val="auto"/>
        </w:rPr>
      </w:pPr>
    </w:p>
    <w:p>
      <w:pPr>
        <w:ind w:left="140"/>
        <w:spacing w:after="0"/>
        <w:rPr>
          <w:sz w:val="20"/>
          <w:szCs w:val="20"/>
          <w:color w:val="auto"/>
        </w:rPr>
      </w:pPr>
      <w:r>
        <w:rPr>
          <w:rFonts w:ascii="Arial" w:cs="Arial" w:eastAsia="Arial" w:hAnsi="Arial"/>
          <w:sz w:val="18"/>
          <w:szCs w:val="18"/>
          <w:b w:val="1"/>
          <w:bCs w:val="1"/>
          <w:color w:val="auto"/>
        </w:rPr>
        <w:t xml:space="preserve">Vote By Mail: </w:t>
      </w:r>
      <w:r>
        <w:rPr>
          <w:rFonts w:ascii="Arial" w:cs="Arial" w:eastAsia="Arial" w:hAnsi="Arial"/>
          <w:sz w:val="18"/>
          <w:szCs w:val="18"/>
          <w:color w:val="auto"/>
        </w:rPr>
        <w:t>You can vote by mail by requesting a paper copy of the materials, which will include a voting instruction form.</w:t>
      </w:r>
    </w:p>
    <w:p>
      <w:pPr>
        <w:spacing w:after="0" w:line="392" w:lineRule="exact"/>
        <w:rPr>
          <w:sz w:val="20"/>
          <w:szCs w:val="20"/>
          <w:color w:val="auto"/>
        </w:rPr>
      </w:pPr>
    </w:p>
    <w:p>
      <w:pPr>
        <w:jc w:val="center"/>
        <w:ind w:right="40"/>
        <w:spacing w:after="0"/>
        <w:rPr>
          <w:sz w:val="20"/>
          <w:szCs w:val="20"/>
          <w:color w:val="auto"/>
        </w:rPr>
      </w:pPr>
      <w:r>
        <w:rPr>
          <w:rFonts w:ascii="Arial" w:cs="Arial" w:eastAsia="Arial" w:hAnsi="Arial"/>
          <w:sz w:val="14"/>
          <w:szCs w:val="14"/>
          <w:color w:val="auto"/>
        </w:rPr>
        <w:t>M18210-P86951</w:t>
      </w:r>
    </w:p>
    <w:p>
      <w:pPr>
        <w:sectPr>
          <w:pgSz w:w="11900" w:h="16838" w:orient="portrait"/>
          <w:cols w:equalWidth="0" w:num="1">
            <w:col w:w="11460"/>
          </w:cols>
          <w:pgMar w:left="240" w:top="247" w:right="199" w:bottom="1440" w:gutter="0" w:footer="0" w:header="0"/>
        </w:sectPr>
      </w:pPr>
    </w:p>
    <w:bookmarkStart w:id="34" w:name="page35"/>
    <w:bookmarkEnd w:id="34"/>
    <w:p>
      <w:pPr>
        <w:jc w:val="center"/>
        <w:ind w:right="638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289165" cy="38735"/>
                    </a:xfrm>
                    <a:prstGeom prst="rect">
                      <a:avLst/>
                    </a:prstGeom>
                    <a:noFill/>
                  </pic:spPr>
                </pic:pic>
              </a:graphicData>
            </a:graphic>
          </wp:anchor>
        </w:drawing>
        <w:t>Voting Items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-129540</wp:posOffset>
            </wp:positionV>
            <wp:extent cx="3142615" cy="17589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3142615" cy="175895"/>
                    </a:xfrm>
                    <a:prstGeom prst="rect">
                      <a:avLst/>
                    </a:prstGeom>
                    <a:noFill/>
                  </pic:spPr>
                </pic:pic>
              </a:graphicData>
            </a:graphic>
          </wp:anchor>
        </w:drawing>
        <w:drawing>
          <wp:anchor simplePos="0" relativeHeight="251657728" behindDoc="1" locked="0" layoutInCell="0" allowOverlap="1">
            <wp:simplePos x="0" y="0"/>
            <wp:positionH relativeFrom="column">
              <wp:posOffset>6823075</wp:posOffset>
            </wp:positionH>
            <wp:positionV relativeFrom="paragraph">
              <wp:posOffset>43180</wp:posOffset>
            </wp:positionV>
            <wp:extent cx="428625" cy="30861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428625" cy="308610"/>
                    </a:xfrm>
                    <a:prstGeom prst="rect">
                      <a:avLst/>
                    </a:prstGeom>
                    <a:noFill/>
                  </pic:spPr>
                </pic:pic>
              </a:graphicData>
            </a:graphic>
          </wp:anchor>
        </w:drawing>
      </w:r>
    </w:p>
    <w:p>
      <w:pPr>
        <w:spacing w:after="0" w:line="9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The Board of Directors recommends that you vote FOR the</w:t>
      </w:r>
    </w:p>
    <w:p>
      <w:pPr>
        <w:spacing w:after="0" w:line="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following:</w:t>
      </w:r>
    </w:p>
    <w:p>
      <w:pPr>
        <w:spacing w:after="0" w:line="117" w:lineRule="exact"/>
        <w:rPr>
          <w:sz w:val="20"/>
          <w:szCs w:val="20"/>
          <w:color w:val="auto"/>
        </w:rPr>
      </w:pPr>
    </w:p>
    <w:p>
      <w:pPr>
        <w:ind w:left="500" w:right="6420" w:hanging="492"/>
        <w:spacing w:after="0" w:line="275" w:lineRule="auto"/>
        <w:tabs>
          <w:tab w:leader="none" w:pos="500" w:val="left"/>
        </w:tabs>
        <w:numPr>
          <w:ilvl w:val="0"/>
          <w:numId w:val="26"/>
        </w:numPr>
        <w:rPr>
          <w:rFonts w:ascii="Arial" w:cs="Arial" w:eastAsia="Arial" w:hAnsi="Arial"/>
          <w:sz w:val="16"/>
          <w:szCs w:val="16"/>
          <w:color w:val="auto"/>
        </w:rPr>
      </w:pPr>
      <w:r>
        <w:rPr>
          <w:rFonts w:ascii="Arial" w:cs="Arial" w:eastAsia="Arial" w:hAnsi="Arial"/>
          <w:sz w:val="16"/>
          <w:szCs w:val="16"/>
          <w:color w:val="auto"/>
        </w:rPr>
        <w:t>To elect the following person (except as marked to the contrary) as Class III director of PennantPark Investment Corporation, who will serve for a term of three years or until his successor is duly elected and qualified.</w:t>
      </w:r>
    </w:p>
    <w:p>
      <w:pPr>
        <w:spacing w:after="0" w:line="26" w:lineRule="exact"/>
        <w:rPr>
          <w:rFonts w:ascii="Arial" w:cs="Arial" w:eastAsia="Arial" w:hAnsi="Arial"/>
          <w:sz w:val="16"/>
          <w:szCs w:val="16"/>
          <w:color w:val="auto"/>
        </w:rPr>
      </w:pPr>
    </w:p>
    <w:p>
      <w:pPr>
        <w:ind w:left="500"/>
        <w:spacing w:after="0"/>
        <w:rPr>
          <w:rFonts w:ascii="Arial" w:cs="Arial" w:eastAsia="Arial" w:hAnsi="Arial"/>
          <w:sz w:val="16"/>
          <w:szCs w:val="16"/>
          <w:color w:val="auto"/>
        </w:rPr>
      </w:pPr>
      <w:r>
        <w:rPr>
          <w:rFonts w:ascii="Arial" w:cs="Arial" w:eastAsia="Arial" w:hAnsi="Arial"/>
          <w:sz w:val="18"/>
          <w:szCs w:val="18"/>
          <w:b w:val="1"/>
          <w:bCs w:val="1"/>
          <w:color w:val="auto"/>
        </w:rPr>
        <w:t>Nominee:</w:t>
      </w:r>
    </w:p>
    <w:p>
      <w:pPr>
        <w:spacing w:after="0" w:line="98" w:lineRule="exact"/>
        <w:rPr>
          <w:rFonts w:ascii="Arial" w:cs="Arial" w:eastAsia="Arial" w:hAnsi="Arial"/>
          <w:sz w:val="16"/>
          <w:szCs w:val="16"/>
          <w:color w:val="auto"/>
        </w:rPr>
      </w:pPr>
    </w:p>
    <w:p>
      <w:pPr>
        <w:ind w:left="900" w:hanging="392"/>
        <w:spacing w:after="0"/>
        <w:tabs>
          <w:tab w:leader="none" w:pos="900" w:val="left"/>
        </w:tabs>
        <w:numPr>
          <w:ilvl w:val="1"/>
          <w:numId w:val="26"/>
        </w:numPr>
        <w:rPr>
          <w:rFonts w:ascii="Arial" w:cs="Arial" w:eastAsia="Arial" w:hAnsi="Arial"/>
          <w:sz w:val="18"/>
          <w:szCs w:val="18"/>
          <w:color w:val="auto"/>
        </w:rPr>
      </w:pPr>
      <w:r>
        <w:rPr>
          <w:rFonts w:ascii="Arial" w:cs="Arial" w:eastAsia="Arial" w:hAnsi="Arial"/>
          <w:sz w:val="18"/>
          <w:szCs w:val="18"/>
          <w:color w:val="auto"/>
        </w:rPr>
        <w:t>Arthur H. Penn</w:t>
      </w: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The Board of Directors recommends you vote FOR the following proposal(s):</w:t>
      </w:r>
    </w:p>
    <w:p>
      <w:pPr>
        <w:spacing w:after="0" w:line="99" w:lineRule="exact"/>
        <w:rPr>
          <w:sz w:val="20"/>
          <w:szCs w:val="20"/>
          <w:color w:val="auto"/>
        </w:rPr>
      </w:pPr>
    </w:p>
    <w:p>
      <w:pPr>
        <w:ind w:left="460" w:hanging="452"/>
        <w:spacing w:after="0" w:line="239" w:lineRule="auto"/>
        <w:tabs>
          <w:tab w:leader="none" w:pos="4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To ratify the selection of KPMG LLP to serve as PennantPark Investment Corporation’s independent registered public accounting firm for the fiscal year ending September 30, 2010.</w:t>
      </w:r>
    </w:p>
    <w:p>
      <w:pPr>
        <w:spacing w:after="0" w:line="73" w:lineRule="exact"/>
        <w:rPr>
          <w:rFonts w:ascii="Arial" w:cs="Arial" w:eastAsia="Arial" w:hAnsi="Arial"/>
          <w:sz w:val="18"/>
          <w:szCs w:val="18"/>
          <w:color w:val="auto"/>
        </w:rPr>
      </w:pPr>
    </w:p>
    <w:p>
      <w:pPr>
        <w:ind w:left="460" w:right="20" w:hanging="452"/>
        <w:spacing w:after="0" w:line="238" w:lineRule="auto"/>
        <w:tabs>
          <w:tab w:leader="none" w:pos="4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To consider and vote upon a proposal to authorize flexibility for us, with the approval of our Board of Directors, to sell shares of our Common Stock (during the next 12 months) at a price below our then current net asset value per share, subject to certain limitations described in the proxy statement;</w:t>
      </w:r>
    </w:p>
    <w:p>
      <w:pPr>
        <w:spacing w:after="0" w:line="72" w:lineRule="exact"/>
        <w:rPr>
          <w:rFonts w:ascii="Arial" w:cs="Arial" w:eastAsia="Arial" w:hAnsi="Arial"/>
          <w:sz w:val="18"/>
          <w:szCs w:val="18"/>
          <w:color w:val="auto"/>
        </w:rPr>
      </w:pPr>
    </w:p>
    <w:p>
      <w:pPr>
        <w:ind w:left="460" w:hanging="452"/>
        <w:spacing w:after="0"/>
        <w:tabs>
          <w:tab w:leader="none" w:pos="4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To transact such other business as may properly come before the Meeting or any adjournments or postponements thereof.</w:t>
      </w:r>
    </w:p>
    <w:p>
      <w:pPr>
        <w:spacing w:after="0" w:line="316" w:lineRule="exact"/>
        <w:rPr>
          <w:sz w:val="20"/>
          <w:szCs w:val="20"/>
          <w:color w:val="auto"/>
        </w:rPr>
      </w:pPr>
    </w:p>
    <w:p>
      <w:pPr>
        <w:jc w:val="center"/>
        <w:ind w:right="-99"/>
        <w:spacing w:after="0"/>
        <w:rPr>
          <w:sz w:val="20"/>
          <w:szCs w:val="20"/>
          <w:color w:val="auto"/>
        </w:rPr>
      </w:pPr>
      <w:r>
        <w:rPr>
          <w:rFonts w:ascii="Arial" w:cs="Arial" w:eastAsia="Arial" w:hAnsi="Arial"/>
          <w:sz w:val="14"/>
          <w:szCs w:val="14"/>
          <w:color w:val="auto"/>
        </w:rPr>
        <w:t>M18211-P86951</w:t>
      </w:r>
    </w:p>
    <w:p>
      <w:pPr>
        <w:sectPr>
          <w:pgSz w:w="11900" w:h="16838" w:orient="portrait"/>
          <w:cols w:equalWidth="0" w:num="1">
            <w:col w:w="11340"/>
          </w:cols>
          <w:pgMar w:left="240" w:top="283" w:right="319" w:bottom="1440" w:gutter="0" w:footer="0" w:header="0"/>
        </w:sectPr>
      </w:pPr>
    </w:p>
    <w:bookmarkStart w:id="35" w:name="page36"/>
    <w:bookmarkEnd w:id="35"/>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289165" cy="38735"/>
                    </a:xfrm>
                    <a:prstGeom prst="rect">
                      <a:avLst/>
                    </a:prstGeom>
                    <a:noFill/>
                  </pic:spPr>
                </pic:pic>
              </a:graphicData>
            </a:graphic>
          </wp:anchor>
        </w:drawing>
        <w:drawing>
          <wp:anchor simplePos="0" relativeHeight="251657728" behindDoc="1" locked="0" layoutInCell="0" allowOverlap="1">
            <wp:simplePos x="0" y="0"/>
            <wp:positionH relativeFrom="page">
              <wp:posOffset>6958330</wp:posOffset>
            </wp:positionH>
            <wp:positionV relativeFrom="page">
              <wp:posOffset>183515</wp:posOffset>
            </wp:positionV>
            <wp:extent cx="445770" cy="25717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445770" cy="257175"/>
                    </a:xfrm>
                    <a:prstGeom prst="rect">
                      <a:avLst/>
                    </a:prstGeom>
                    <a:noFill/>
                  </pic:spPr>
                </pic:pic>
              </a:graphicData>
            </a:graphic>
          </wp:anchor>
        </w:drawing>
        <w:t>Voting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-262890</wp:posOffset>
            </wp:positionH>
            <wp:positionV relativeFrom="paragraph">
              <wp:posOffset>-129540</wp:posOffset>
            </wp:positionV>
            <wp:extent cx="1461770" cy="17589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1461770" cy="175895"/>
                    </a:xfrm>
                    <a:prstGeom prst="rect">
                      <a:avLst/>
                    </a:prstGeom>
                    <a:noFill/>
                  </pic:spPr>
                </pic:pic>
              </a:graphicData>
            </a:graphic>
          </wp:anchor>
        </w:drawing>
      </w:r>
    </w:p>
    <w:p>
      <w:pPr>
        <w:spacing w:after="0" w:line="372" w:lineRule="exact"/>
        <w:rPr>
          <w:sz w:val="20"/>
          <w:szCs w:val="20"/>
          <w:color w:val="auto"/>
        </w:rPr>
      </w:pPr>
    </w:p>
    <w:p>
      <w:pPr>
        <w:jc w:val="right"/>
        <w:ind w:right="3979"/>
        <w:spacing w:after="0"/>
        <w:rPr>
          <w:sz w:val="20"/>
          <w:szCs w:val="20"/>
          <w:color w:val="auto"/>
        </w:rPr>
      </w:pPr>
      <w:r>
        <w:rPr>
          <w:rFonts w:ascii="Arial" w:cs="Arial" w:eastAsia="Arial" w:hAnsi="Arial"/>
          <w:sz w:val="14"/>
          <w:szCs w:val="14"/>
          <w:color w:val="auto"/>
        </w:rPr>
        <w:t>M18212 -P86951</w:t>
      </w:r>
    </w:p>
    <w:sectPr>
      <w:pgSz w:w="11900" w:h="16838" w:orient="portrait"/>
      <w:cols w:equalWidth="0" w:num="1">
        <w:col w:w="9799"/>
      </w:cols>
      <w:pgMar w:left="660" w:top="1417"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DED7263"/>
    <w:multiLevelType w:val="hybridMultilevel"/>
    <w:lvl w:ilvl="0">
      <w:lvlJc w:val="left"/>
      <w:lvlText w:val="☐"/>
      <w:numFmt w:val="bullet"/>
      <w:start w:val="1"/>
    </w:lvl>
  </w:abstractNum>
  <w:abstractNum w:abstractNumId="1">
    <w:nsid w:val="7FDCC233"/>
    <w:multiLevelType w:val="hybridMultilevel"/>
    <w:lvl w:ilvl="0">
      <w:lvlJc w:val="left"/>
      <w:lvlText w:val="☒"/>
      <w:numFmt w:val="bullet"/>
      <w:start w:val="1"/>
    </w:lvl>
  </w:abstractNum>
  <w:abstractNum w:abstractNumId="2">
    <w:nsid w:val="1BEFD79F"/>
    <w:multiLevelType w:val="hybridMultilevel"/>
    <w:lvl w:ilvl="0">
      <w:lvlJc w:val="left"/>
      <w:lvlText w:val="☐"/>
      <w:numFmt w:val="bullet"/>
      <w:start w:val="1"/>
    </w:lvl>
    <w:lvl w:ilvl="1">
      <w:lvlJc w:val="left"/>
      <w:lvlText w:val="(%2)"/>
      <w:numFmt w:val="decimal"/>
      <w:start w:val="1"/>
    </w:lvl>
  </w:abstractNum>
  <w:abstractNum w:abstractNumId="3">
    <w:nsid w:val="41A7C4C9"/>
    <w:multiLevelType w:val="hybridMultilevel"/>
    <w:lvl w:ilvl="0">
      <w:lvlJc w:val="left"/>
      <w:lvlText w:val="%1."/>
      <w:numFmt w:val="decimal"/>
      <w:start w:val="1"/>
    </w:lvl>
  </w:abstractNum>
  <w:abstractNum w:abstractNumId="4">
    <w:nsid w:val="6B68079A"/>
    <w:multiLevelType w:val="hybridMultilevel"/>
    <w:lvl w:ilvl="0">
      <w:lvlJc w:val="left"/>
      <w:lvlText w:val="(%1)"/>
      <w:numFmt w:val="decimal"/>
      <w:start w:val="212"/>
    </w:lvl>
  </w:abstractNum>
  <w:abstractNum w:abstractNumId="5">
    <w:nsid w:val="4E6AFB66"/>
    <w:multiLevelType w:val="hybridMultilevel"/>
    <w:lvl w:ilvl="0">
      <w:lvlJc w:val="left"/>
      <w:lvlText w:val="%1."/>
      <w:numFmt w:val="decimal"/>
      <w:start w:val="1"/>
    </w:lvl>
  </w:abstractNum>
  <w:abstractNum w:abstractNumId="6">
    <w:nsid w:val="25E45D32"/>
    <w:multiLevelType w:val="hybridMultilevel"/>
    <w:lvl w:ilvl="0">
      <w:lvlJc w:val="left"/>
      <w:lvlText w:val="%1."/>
      <w:numFmt w:val="decimal"/>
      <w:start w:val="4"/>
    </w:lvl>
  </w:abstractNum>
  <w:abstractNum w:abstractNumId="7">
    <w:nsid w:val="519B500D"/>
    <w:multiLevelType w:val="hybridMultilevel"/>
    <w:lvl w:ilvl="0">
      <w:lvlJc w:val="left"/>
      <w:lvlText w:val="(%1)"/>
      <w:numFmt w:val="decimal"/>
      <w:start w:val="1"/>
    </w:lvl>
  </w:abstractNum>
  <w:abstractNum w:abstractNumId="8">
    <w:nsid w:val="431BD7B7"/>
    <w:multiLevelType w:val="hybridMultilevel"/>
    <w:lvl w:ilvl="0">
      <w:lvlJc w:val="left"/>
      <w:lvlText w:val="*"/>
      <w:numFmt w:val="bullet"/>
      <w:start w:val="1"/>
    </w:lvl>
  </w:abstractNum>
  <w:abstractNum w:abstractNumId="9">
    <w:nsid w:val="3F2DBA31"/>
    <w:multiLevelType w:val="hybridMultilevel"/>
    <w:lvl w:ilvl="0">
      <w:lvlJc w:val="left"/>
      <w:lvlText w:val="(%1)"/>
      <w:numFmt w:val="decimal"/>
      <w:start w:val="1"/>
    </w:lvl>
  </w:abstractNum>
  <w:abstractNum w:abstractNumId="10">
    <w:nsid w:val="7C83E458"/>
    <w:multiLevelType w:val="hybridMultilevel"/>
    <w:lvl w:ilvl="0">
      <w:lvlJc w:val="left"/>
      <w:lvlText w:val="(%1)"/>
      <w:numFmt w:val="decimal"/>
      <w:start w:val="1"/>
    </w:lvl>
  </w:abstractNum>
  <w:abstractNum w:abstractNumId="11">
    <w:nsid w:val="257130A3"/>
    <w:multiLevelType w:val="hybridMultilevel"/>
    <w:lvl w:ilvl="0">
      <w:lvlJc w:val="left"/>
      <w:lvlText w:val="(%1)"/>
      <w:numFmt w:val="decimal"/>
      <w:start w:val="1"/>
    </w:lvl>
  </w:abstractNum>
  <w:abstractNum w:abstractNumId="12">
    <w:nsid w:val="62BBD95A"/>
    <w:multiLevelType w:val="hybridMultilevel"/>
    <w:lvl w:ilvl="0">
      <w:lvlJc w:val="left"/>
      <w:lvlText w:val="(%1)"/>
      <w:numFmt w:val="decimal"/>
      <w:start w:val="1"/>
    </w:lvl>
  </w:abstractNum>
  <w:abstractNum w:abstractNumId="13">
    <w:nsid w:val="436C6125"/>
    <w:multiLevelType w:val="hybridMultilevel"/>
    <w:lvl w:ilvl="0">
      <w:lvlJc w:val="left"/>
      <w:lvlText w:val="(%1)"/>
      <w:numFmt w:val="decimal"/>
      <w:start w:val="1"/>
    </w:lvl>
  </w:abstractNum>
  <w:abstractNum w:abstractNumId="14">
    <w:nsid w:val="628C895D"/>
    <w:multiLevelType w:val="hybridMultilevel"/>
    <w:lvl w:ilvl="0">
      <w:lvlJc w:val="left"/>
      <w:lvlText w:val="(%1)"/>
      <w:numFmt w:val="decimal"/>
      <w:start w:val="1"/>
    </w:lvl>
  </w:abstractNum>
  <w:abstractNum w:abstractNumId="15">
    <w:nsid w:val="333AB105"/>
    <w:multiLevelType w:val="hybridMultilevel"/>
    <w:lvl w:ilvl="0">
      <w:lvlJc w:val="left"/>
      <w:lvlText w:val="•"/>
      <w:numFmt w:val="bullet"/>
      <w:start w:val="1"/>
    </w:lvl>
  </w:abstractNum>
  <w:abstractNum w:abstractNumId="16">
    <w:nsid w:val="721DA317"/>
    <w:multiLevelType w:val="hybridMultilevel"/>
    <w:lvl w:ilvl="0">
      <w:lvlJc w:val="left"/>
      <w:lvlText w:val="•"/>
      <w:numFmt w:val="bullet"/>
      <w:start w:val="1"/>
    </w:lvl>
  </w:abstractNum>
  <w:abstractNum w:abstractNumId="17">
    <w:nsid w:val="2443A858"/>
    <w:multiLevelType w:val="hybridMultilevel"/>
    <w:lvl w:ilvl="0">
      <w:lvlJc w:val="left"/>
      <w:lvlText w:val="(%1)"/>
      <w:numFmt w:val="decimal"/>
      <w:start w:val="1"/>
    </w:lvl>
  </w:abstractNum>
  <w:abstractNum w:abstractNumId="18">
    <w:nsid w:val="2D1D5AE9"/>
    <w:multiLevelType w:val="hybridMultilevel"/>
    <w:lvl w:ilvl="0">
      <w:lvlJc w:val="left"/>
      <w:lvlText w:val="*"/>
      <w:numFmt w:val="bullet"/>
      <w:start w:val="1"/>
    </w:lvl>
  </w:abstractNum>
  <w:abstractNum w:abstractNumId="19">
    <w:nsid w:val="6763845E"/>
    <w:multiLevelType w:val="hybridMultilevel"/>
    <w:lvl w:ilvl="0">
      <w:lvlJc w:val="left"/>
      <w:lvlText w:val="•"/>
      <w:numFmt w:val="bullet"/>
      <w:start w:val="1"/>
    </w:lvl>
  </w:abstractNum>
  <w:abstractNum w:abstractNumId="20">
    <w:nsid w:val="75A2A8D4"/>
    <w:multiLevelType w:val="hybridMultilevel"/>
    <w:lvl w:ilvl="0">
      <w:lvlJc w:val="left"/>
      <w:lvlText w:val="•"/>
      <w:numFmt w:val="bullet"/>
      <w:start w:val="1"/>
    </w:lvl>
  </w:abstractNum>
  <w:abstractNum w:abstractNumId="21">
    <w:nsid w:val="8EDBDAB"/>
    <w:multiLevelType w:val="hybridMultilevel"/>
    <w:lvl w:ilvl="0">
      <w:lvlJc w:val="left"/>
      <w:lvlText w:val="(%1)"/>
      <w:numFmt w:val="decimal"/>
      <w:start w:val="2"/>
    </w:lvl>
  </w:abstractNum>
  <w:abstractNum w:abstractNumId="22">
    <w:nsid w:val="79838CB2"/>
    <w:multiLevelType w:val="hybridMultilevel"/>
    <w:lvl w:ilvl="0">
      <w:lvlJc w:val="left"/>
      <w:lvlText w:val="%1."/>
      <w:numFmt w:val="decimal"/>
      <w:start w:val="1"/>
    </w:lvl>
  </w:abstractNum>
  <w:abstractNum w:abstractNumId="23">
    <w:nsid w:val="4353D0CD"/>
    <w:multiLevelType w:val="hybridMultilevel"/>
    <w:lvl w:ilvl="0">
      <w:lvlJc w:val="left"/>
      <w:lvlText w:val="%1."/>
      <w:numFmt w:val="decimal"/>
      <w:start w:val="4"/>
    </w:lvl>
  </w:abstractNum>
  <w:abstractNum w:abstractNumId="24">
    <w:nsid w:val="B03E0C6"/>
    <w:multiLevelType w:val="hybridMultilevel"/>
    <w:lvl w:ilvl="0">
      <w:lvlJc w:val="left"/>
      <w:lvlText w:val="%1."/>
      <w:numFmt w:val="decimal"/>
      <w:start w:val="1"/>
    </w:lvl>
  </w:abstractNum>
  <w:abstractNum w:abstractNumId="25">
    <w:nsid w:val="189A769B"/>
    <w:multiLevelType w:val="hybridMultilevel"/>
    <w:lvl w:ilvl="0">
      <w:lvlJc w:val="left"/>
      <w:lvlText w:val="%1."/>
      <w:numFmt w:val="decimal"/>
      <w:start w:val="1"/>
    </w:lvl>
    <w:lvl w:ilvl="1">
      <w:lvlJc w:val="left"/>
      <w:lvlText w:val="%2)"/>
      <w:numFmt w:val="decimal"/>
      <w:start w:val="1"/>
    </w:lvl>
  </w:abstractNum>
  <w:abstractNum w:abstractNumId="26">
    <w:nsid w:val="54E49EB4"/>
    <w:multiLevelType w:val="hybridMultilevel"/>
    <w:lvl w:ilvl="0">
      <w:lvlJc w:val="left"/>
      <w:lvlText w:val="%1."/>
      <w:numFmt w:val="decimal"/>
      <w:start w:val="2"/>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jpeg"/><Relationship Id="rId19" Type="http://schemas.openxmlformats.org/officeDocument/2006/relationships/image" Target="media/image12.png"/><Relationship Id="rId20" Type="http://schemas.openxmlformats.org/officeDocument/2006/relationships/image" Target="media/image13.jpe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jpeg"/><Relationship Id="rId63" Type="http://schemas.openxmlformats.org/officeDocument/2006/relationships/image" Target="media/image56.png"/><Relationship Id="rId64" Type="http://schemas.openxmlformats.org/officeDocument/2006/relationships/image" Target="media/image57.jpe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2019-12-11T03:41:43Z</dcterms:created>
  <dcterms:modified xsi:type="dcterms:W3CDTF">2019-12-11T03:41:43Z</dcterms:modified>
</cp:coreProperties>
</file>