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480" w:right="260" w:hanging="459"/>
        <w:spacing w:after="0" w:line="227"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2021</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480" w:right="260" w:hanging="459"/>
        <w:spacing w:after="0" w:line="235"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4" w:lineRule="exact"/>
        <w:rPr>
          <w:sz w:val="24"/>
          <w:szCs w:val="24"/>
          <w:color w:val="auto"/>
        </w:rPr>
      </w:pPr>
    </w:p>
    <w:p>
      <w:pPr>
        <w:ind w:left="322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-7620</wp:posOffset>
            </wp:positionV>
            <wp:extent cx="3429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60" w:type="dxa"/>
        <w:tblCellMar>
          <w:top w:w="0" w:type="dxa"/>
          <w:left w:w="0" w:type="dxa"/>
          <w:bottom w:w="0" w:type="dxa"/>
          <w:right w:w="0" w:type="dxa"/>
        </w:tblCellMar>
      </w:tblPr>
      <w:tr>
        <w:trPr>
          <w:trHeight w:val="212"/>
        </w:trPr>
        <w:tc>
          <w:tcPr>
            <w:tcW w:w="5100" w:type="dxa"/>
            <w:vAlign w:val="bottom"/>
          </w:tcPr>
          <w:p>
            <w:pPr>
              <w:jc w:val="center"/>
              <w:ind w:right="1277"/>
              <w:spacing w:after="0"/>
              <w:rPr>
                <w:sz w:val="20"/>
                <w:szCs w:val="20"/>
                <w:color w:val="auto"/>
              </w:rPr>
            </w:pPr>
            <w:r>
              <w:rPr>
                <w:rFonts w:ascii="Arial" w:cs="Arial" w:eastAsia="Arial" w:hAnsi="Arial"/>
                <w:sz w:val="18"/>
                <w:szCs w:val="18"/>
                <w:b w:val="1"/>
                <w:bCs w:val="1"/>
                <w:color w:val="auto"/>
              </w:rPr>
              <w:t>MARYLAND</w:t>
            </w:r>
          </w:p>
        </w:tc>
        <w:tc>
          <w:tcPr>
            <w:tcW w:w="3580" w:type="dxa"/>
            <w:vAlign w:val="bottom"/>
          </w:tcPr>
          <w:p>
            <w:pPr>
              <w:jc w:val="right"/>
              <w:ind w:right="579"/>
              <w:spacing w:after="0"/>
              <w:rPr>
                <w:sz w:val="20"/>
                <w:szCs w:val="20"/>
                <w:color w:val="auto"/>
              </w:rPr>
            </w:pPr>
            <w:r>
              <w:rPr>
                <w:rFonts w:ascii="Arial" w:cs="Arial" w:eastAsia="Arial" w:hAnsi="Arial"/>
                <w:sz w:val="18"/>
                <w:szCs w:val="18"/>
                <w:b w:val="1"/>
                <w:bCs w:val="1"/>
                <w:color w:val="auto"/>
              </w:rPr>
              <w:t>20-8250744</w:t>
            </w:r>
          </w:p>
        </w:tc>
        <w:tc>
          <w:tcPr>
            <w:tcW w:w="0" w:type="dxa"/>
            <w:vAlign w:val="bottom"/>
          </w:tcPr>
          <w:p>
            <w:pPr>
              <w:spacing w:after="0"/>
              <w:rPr>
                <w:sz w:val="1"/>
                <w:szCs w:val="1"/>
                <w:color w:val="auto"/>
              </w:rPr>
            </w:pPr>
          </w:p>
        </w:tc>
      </w:tr>
      <w:tr>
        <w:trPr>
          <w:trHeight w:val="186"/>
        </w:trPr>
        <w:tc>
          <w:tcPr>
            <w:tcW w:w="5100" w:type="dxa"/>
            <w:vAlign w:val="bottom"/>
          </w:tcPr>
          <w:p>
            <w:pPr>
              <w:jc w:val="center"/>
              <w:ind w:right="1297"/>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580" w:type="dxa"/>
            <w:vAlign w:val="bottom"/>
          </w:tcPr>
          <w:p>
            <w:pPr>
              <w:jc w:val="center"/>
              <w:ind w:left="1299"/>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350"/>
        </w:trPr>
        <w:tc>
          <w:tcPr>
            <w:tcW w:w="5100" w:type="dxa"/>
            <w:vAlign w:val="bottom"/>
          </w:tcPr>
          <w:p>
            <w:pPr>
              <w:jc w:val="center"/>
              <w:ind w:right="1337"/>
              <w:spacing w:after="0"/>
              <w:rPr>
                <w:sz w:val="20"/>
                <w:szCs w:val="20"/>
                <w:color w:val="auto"/>
              </w:rPr>
            </w:pPr>
            <w:r>
              <w:rPr>
                <w:rFonts w:ascii="Arial" w:cs="Arial" w:eastAsia="Arial" w:hAnsi="Arial"/>
                <w:sz w:val="18"/>
                <w:szCs w:val="18"/>
                <w:b w:val="1"/>
                <w:bCs w:val="1"/>
                <w:color w:val="auto"/>
                <w:w w:val="90"/>
              </w:rPr>
              <w:t>1691 Michigan Avenue,</w:t>
            </w:r>
          </w:p>
        </w:tc>
        <w:tc>
          <w:tcPr>
            <w:tcW w:w="3580" w:type="dxa"/>
            <w:vAlign w:val="bottom"/>
            <w:vMerge w:val="restart"/>
          </w:tcPr>
          <w:p>
            <w:pPr>
              <w:jc w:val="right"/>
              <w:ind w:right="779"/>
              <w:spacing w:after="0"/>
              <w:rPr>
                <w:sz w:val="20"/>
                <w:szCs w:val="20"/>
                <w:color w:val="auto"/>
              </w:rPr>
            </w:pPr>
            <w:r>
              <w:rPr>
                <w:rFonts w:ascii="Arial" w:cs="Arial" w:eastAsia="Arial" w:hAnsi="Arial"/>
                <w:sz w:val="18"/>
                <w:szCs w:val="18"/>
                <w:b w:val="1"/>
                <w:bCs w:val="1"/>
                <w:color w:val="auto"/>
              </w:rPr>
              <w:t>33319</w:t>
            </w:r>
          </w:p>
        </w:tc>
        <w:tc>
          <w:tcPr>
            <w:tcW w:w="0" w:type="dxa"/>
            <w:vAlign w:val="bottom"/>
          </w:tcPr>
          <w:p>
            <w:pPr>
              <w:spacing w:after="0"/>
              <w:rPr>
                <w:sz w:val="1"/>
                <w:szCs w:val="1"/>
                <w:color w:val="auto"/>
              </w:rPr>
            </w:pPr>
          </w:p>
        </w:tc>
      </w:tr>
      <w:tr>
        <w:trPr>
          <w:trHeight w:val="207"/>
        </w:trPr>
        <w:tc>
          <w:tcPr>
            <w:tcW w:w="5100" w:type="dxa"/>
            <w:vAlign w:val="bottom"/>
          </w:tcPr>
          <w:p>
            <w:pPr>
              <w:jc w:val="center"/>
              <w:ind w:right="1297"/>
              <w:spacing w:after="0"/>
              <w:rPr>
                <w:sz w:val="20"/>
                <w:szCs w:val="20"/>
                <w:color w:val="auto"/>
              </w:rPr>
            </w:pPr>
            <w:r>
              <w:rPr>
                <w:rFonts w:ascii="Arial" w:cs="Arial" w:eastAsia="Arial" w:hAnsi="Arial"/>
                <w:sz w:val="18"/>
                <w:szCs w:val="18"/>
                <w:b w:val="1"/>
                <w:bCs w:val="1"/>
                <w:color w:val="auto"/>
                <w:w w:val="93"/>
              </w:rPr>
              <w:t>Miami Beach, Florida</w:t>
            </w:r>
          </w:p>
        </w:tc>
        <w:tc>
          <w:tcPr>
            <w:tcW w:w="3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100" w:type="dxa"/>
            <w:vAlign w:val="bottom"/>
          </w:tcPr>
          <w:p>
            <w:pPr>
              <w:jc w:val="center"/>
              <w:ind w:right="127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80" w:type="dxa"/>
            <w:vAlign w:val="bottom"/>
          </w:tcPr>
          <w:p>
            <w:pPr>
              <w:jc w:val="center"/>
              <w:ind w:left="1319"/>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(212) 905-1000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590 Madison Avenue, 15th Floor</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New York, New York 10022</w:t>
      </w: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476" w:right="339" w:bottom="1440" w:gutter="0" w:footer="0" w:header="0"/>
        </w:sectPr>
      </w:pPr>
    </w:p>
    <w:p>
      <w:pPr>
        <w:spacing w:after="0" w:line="68" w:lineRule="exact"/>
        <w:rPr>
          <w:sz w:val="24"/>
          <w:szCs w:val="24"/>
          <w:color w:val="auto"/>
        </w:rPr>
      </w:pPr>
    </w:p>
    <w:p>
      <w:pPr>
        <w:ind w:left="124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49" w:lineRule="exact"/>
        <w:rPr>
          <w:sz w:val="24"/>
          <w:szCs w:val="24"/>
          <w:color w:val="auto"/>
        </w:rPr>
      </w:pPr>
    </w:p>
    <w:p>
      <w:pPr>
        <w:sectPr>
          <w:pgSz w:w="11900" w:h="16838" w:orient="portrait"/>
          <w:cols w:equalWidth="0" w:num="3">
            <w:col w:w="4260" w:space="720"/>
            <w:col w:w="2080" w:space="720"/>
            <w:col w:w="3460"/>
          </w:cols>
          <w:pgMar w:left="320" w:top="476" w:right="339" w:bottom="1440" w:gutter="0" w:footer="0" w:header="0"/>
          <w:type w:val="continuous"/>
        </w:sectPr>
      </w:pPr>
    </w:p>
    <w:p>
      <w:pPr>
        <w:ind w:left="480"/>
        <w:spacing w:after="0"/>
        <w:rPr>
          <w:sz w:val="20"/>
          <w:szCs w:val="20"/>
          <w:color w:val="auto"/>
        </w:rPr>
      </w:pPr>
      <w:r>
        <w:rPr>
          <w:rFonts w:ascii="Arial" w:cs="Arial" w:eastAsia="Arial" w:hAnsi="Arial"/>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PNNT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The Nasdaq Stock Market LLC</w:t>
      </w:r>
    </w:p>
    <w:p>
      <w:pPr>
        <w:spacing w:after="0" w:line="67" w:lineRule="exact"/>
        <w:rPr>
          <w:sz w:val="24"/>
          <w:szCs w:val="24"/>
          <w:color w:val="auto"/>
        </w:rPr>
      </w:pPr>
    </w:p>
    <w:p>
      <w:pPr>
        <w:sectPr>
          <w:pgSz w:w="11900" w:h="16838" w:orient="portrait"/>
          <w:cols w:equalWidth="0" w:num="3">
            <w:col w:w="4700" w:space="720"/>
            <w:col w:w="2200" w:space="720"/>
            <w:col w:w="2900"/>
          </w:cols>
          <w:pgMar w:left="320" w:top="476" w:right="339" w:bottom="1440" w:gutter="0" w:footer="0" w:header="0"/>
          <w:type w:val="continuous"/>
        </w:sectPr>
      </w:pPr>
    </w:p>
    <w:p>
      <w:pPr>
        <w:ind w:firstLine="509"/>
        <w:spacing w:after="0" w:line="24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49" w:lineRule="exact"/>
        <w:rPr>
          <w:sz w:val="24"/>
          <w:szCs w:val="24"/>
          <w:color w:val="auto"/>
        </w:rPr>
      </w:pPr>
    </w:p>
    <w:p>
      <w:pPr>
        <w:ind w:right="180" w:firstLine="509"/>
        <w:spacing w:after="0" w:line="29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No</w:t>
      </w:r>
    </w:p>
    <w:p>
      <w:pPr>
        <w:jc w:val="both"/>
        <w:ind w:right="240" w:firstLine="50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76" w:right="339" w:bottom="1440" w:gutter="0" w:footer="0" w:header="0"/>
          <w:type w:val="continuous"/>
        </w:sectPr>
      </w:pPr>
    </w:p>
    <w:p>
      <w:pPr>
        <w:spacing w:after="0" w:line="346"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179" w:lineRule="exact"/>
        <w:rPr>
          <w:sz w:val="24"/>
          <w:szCs w:val="24"/>
          <w:color w:val="auto"/>
        </w:rPr>
      </w:pPr>
    </w:p>
    <w:p>
      <w:pPr>
        <w:sectPr>
          <w:pgSz w:w="11900" w:h="16838" w:orient="portrait"/>
          <w:cols w:equalWidth="0" w:num="2">
            <w:col w:w="8100" w:space="720"/>
            <w:col w:w="2420"/>
          </w:cols>
          <w:pgMar w:left="320" w:top="476" w:right="3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45" w:lineRule="exact"/>
        <w:rPr>
          <w:sz w:val="24"/>
          <w:szCs w:val="24"/>
          <w:color w:val="auto"/>
        </w:rPr>
      </w:pPr>
    </w:p>
    <w:p>
      <w:pPr>
        <w:sectPr>
          <w:pgSz w:w="11900" w:h="16838" w:orient="portrait"/>
          <w:cols w:equalWidth="0" w:num="2">
            <w:col w:w="8100" w:space="720"/>
            <w:col w:w="2420"/>
          </w:cols>
          <w:pgMar w:left="320" w:top="476" w:right="3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Emerging growth company</w:t>
      </w:r>
    </w:p>
    <w:p>
      <w:pPr>
        <w:sectPr>
          <w:pgSz w:w="11900" w:h="16838" w:orient="portrait"/>
          <w:cols w:equalWidth="0" w:num="1">
            <w:col w:w="11240"/>
          </w:cols>
          <w:pgMar w:left="320" w:top="476" w:right="339" w:bottom="1440" w:gutter="0" w:footer="0" w:header="0"/>
          <w:type w:val="continuous"/>
        </w:sectPr>
      </w:pPr>
    </w:p>
    <w:p>
      <w:pPr>
        <w:spacing w:after="0" w:line="78" w:lineRule="exact"/>
        <w:rPr>
          <w:sz w:val="24"/>
          <w:szCs w:val="24"/>
          <w:color w:val="auto"/>
        </w:rPr>
      </w:pPr>
    </w:p>
    <w:p>
      <w:pPr>
        <w:ind w:right="80" w:firstLine="509"/>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4" w:lineRule="exact"/>
        <w:rPr>
          <w:sz w:val="24"/>
          <w:szCs w:val="24"/>
          <w:color w:val="auto"/>
        </w:rPr>
      </w:pPr>
    </w:p>
    <w:p>
      <w:pPr>
        <w:ind w:left="520"/>
        <w:spacing w:after="0"/>
        <w:tabs>
          <w:tab w:leader="none" w:pos="8020" w:val="left"/>
          <w:tab w:leader="none" w:pos="85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w:t>
      </w:r>
      <w:r>
        <w:rPr>
          <w:sz w:val="20"/>
          <w:szCs w:val="20"/>
          <w:color w:val="auto"/>
        </w:rPr>
        <w:tab/>
      </w:r>
      <w:r>
        <w:rPr>
          <w:rFonts w:ascii="Arial" w:cs="Arial" w:eastAsia="Arial" w:hAnsi="Arial"/>
          <w:sz w:val="14"/>
          <w:szCs w:val="14"/>
          <w:color w:val="auto"/>
        </w:rPr>
        <w:t>No</w:t>
      </w:r>
    </w:p>
    <w:p>
      <w:pPr>
        <w:spacing w:after="0" w:line="59" w:lineRule="exact"/>
        <w:rPr>
          <w:sz w:val="24"/>
          <w:szCs w:val="24"/>
          <w:color w:val="auto"/>
        </w:rPr>
      </w:pPr>
    </w:p>
    <w:p>
      <w:pPr>
        <w:ind w:left="520"/>
        <w:spacing w:after="0"/>
        <w:rPr>
          <w:sz w:val="20"/>
          <w:szCs w:val="20"/>
          <w:color w:val="auto"/>
        </w:rPr>
      </w:pPr>
      <w:r>
        <w:rPr>
          <w:rFonts w:ascii="Arial" w:cs="Arial" w:eastAsia="Arial" w:hAnsi="Arial"/>
          <w:sz w:val="16"/>
          <w:szCs w:val="16"/>
          <w:color w:val="auto"/>
        </w:rPr>
        <w:t>The number of shares of the registrant’s common stock, $0.001 par value per share, outstanding as of February 9, 2022 was 67,045,105.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 w:name="page2"/>
    <w:bookmarkEnd w:id="1"/>
    <w:p>
      <w:pPr>
        <w:jc w:val="center"/>
        <w:ind w:left="460"/>
        <w:spacing w:after="0"/>
        <w:rPr>
          <w:sz w:val="20"/>
          <w:szCs w:val="20"/>
          <w:color w:val="auto"/>
        </w:rPr>
      </w:pPr>
      <w:r>
        <w:rPr>
          <w:rFonts w:ascii="Arial" w:cs="Arial" w:eastAsia="Arial" w:hAnsi="Arial"/>
          <w:sz w:val="14"/>
          <w:szCs w:val="14"/>
          <w:b w:val="1"/>
          <w:bCs w:val="1"/>
          <w:color w:val="auto"/>
        </w:rPr>
        <w:t>PENNANTPARK INVESTMENT CORPORATION</w:t>
      </w:r>
    </w:p>
    <w:p>
      <w:pPr>
        <w:spacing w:after="0" w:line="17" w:lineRule="exact"/>
        <w:rPr>
          <w:sz w:val="20"/>
          <w:szCs w:val="20"/>
          <w:color w:val="auto"/>
        </w:rPr>
      </w:pPr>
    </w:p>
    <w:p>
      <w:pPr>
        <w:jc w:val="center"/>
        <w:ind w:left="460"/>
        <w:spacing w:after="0"/>
        <w:rPr>
          <w:sz w:val="20"/>
          <w:szCs w:val="20"/>
          <w:color w:val="auto"/>
        </w:rPr>
      </w:pPr>
      <w:r>
        <w:rPr>
          <w:rFonts w:ascii="Arial" w:cs="Arial" w:eastAsia="Arial" w:hAnsi="Arial"/>
          <w:sz w:val="14"/>
          <w:szCs w:val="14"/>
          <w:b w:val="1"/>
          <w:bCs w:val="1"/>
          <w:color w:val="auto"/>
        </w:rPr>
        <w:t>FORM 10-Q FOR THE QUARTER ENDED DECEMBER 31, 2021</w:t>
      </w:r>
    </w:p>
    <w:p>
      <w:pPr>
        <w:spacing w:after="0" w:line="1" w:lineRule="exact"/>
        <w:rPr>
          <w:sz w:val="20"/>
          <w:szCs w:val="20"/>
          <w:color w:val="auto"/>
        </w:rPr>
      </w:pPr>
    </w:p>
    <w:p>
      <w:pPr>
        <w:jc w:val="center"/>
        <w:ind w:left="460"/>
        <w:spacing w:after="0"/>
        <w:rPr>
          <w:sz w:val="20"/>
          <w:szCs w:val="20"/>
          <w:color w:val="auto"/>
        </w:rPr>
      </w:pPr>
      <w:r>
        <w:rPr>
          <w:rFonts w:ascii="Arial" w:cs="Arial" w:eastAsia="Arial" w:hAnsi="Arial"/>
          <w:sz w:val="14"/>
          <w:szCs w:val="14"/>
          <w:b w:val="1"/>
          <w:bCs w:val="1"/>
          <w:color w:val="auto"/>
        </w:rPr>
        <w:t>TABLE OF CONTENTS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60" w:type="dxa"/>
            <w:vAlign w:val="bottom"/>
            <w:gridSpan w:val="14"/>
          </w:tcPr>
          <w:p>
            <w:pPr>
              <w:jc w:val="center"/>
              <w:ind w:right="2020"/>
              <w:spacing w:after="0"/>
              <w:rPr>
                <w:rFonts w:ascii="Arial" w:cs="Arial" w:eastAsia="Arial" w:hAnsi="Arial"/>
                <w:sz w:val="14"/>
                <w:szCs w:val="14"/>
                <w:b w:val="1"/>
                <w:bCs w:val="1"/>
                <w:color w:val="0000FF"/>
              </w:rPr>
            </w:pPr>
            <w:hyperlink w:anchor="page3">
              <w:r>
                <w:rPr>
                  <w:rFonts w:ascii="Arial" w:cs="Arial" w:eastAsia="Arial" w:hAnsi="Arial"/>
                  <w:sz w:val="14"/>
                  <w:szCs w:val="14"/>
                  <w:b w:val="1"/>
                  <w:bCs w:val="1"/>
                  <w:color w:val="0000FF"/>
                </w:rPr>
                <w:t>PART I. CONSOLIDATED FINANCIAL INFORMATION</w:t>
              </w:r>
            </w:hyperlink>
          </w:p>
        </w:tc>
        <w:tc>
          <w:tcPr>
            <w:tcW w:w="2060" w:type="dxa"/>
            <w:vAlign w:val="bottom"/>
          </w:tcPr>
          <w:p>
            <w:pPr>
              <w:spacing w:after="0"/>
              <w:rPr>
                <w:sz w:val="14"/>
                <w:szCs w:val="14"/>
                <w:color w:val="auto"/>
              </w:rPr>
            </w:pPr>
          </w:p>
        </w:tc>
      </w:tr>
      <w:tr>
        <w:trPr>
          <w:trHeight w:val="331"/>
        </w:trPr>
        <w:tc>
          <w:tcPr>
            <w:tcW w:w="20" w:type="dxa"/>
            <w:vAlign w:val="bottom"/>
          </w:tcPr>
          <w:p>
            <w:pPr>
              <w:spacing w:after="0"/>
              <w:rPr>
                <w:sz w:val="24"/>
                <w:szCs w:val="24"/>
                <w:color w:val="auto"/>
              </w:rPr>
            </w:pPr>
          </w:p>
        </w:tc>
        <w:tc>
          <w:tcPr>
            <w:tcW w:w="3500" w:type="dxa"/>
            <w:vAlign w:val="bottom"/>
            <w:gridSpan w:val="11"/>
          </w:tcPr>
          <w:p>
            <w:pPr>
              <w:spacing w:after="0"/>
              <w:rPr>
                <w:rFonts w:ascii="Arial" w:cs="Arial" w:eastAsia="Arial" w:hAnsi="Arial"/>
                <w:sz w:val="14"/>
                <w:szCs w:val="14"/>
                <w:b w:val="1"/>
                <w:bCs w:val="1"/>
                <w:color w:val="0000FF"/>
              </w:rPr>
            </w:pPr>
            <w:hyperlink w:anchor="page4">
              <w:r>
                <w:rPr>
                  <w:rFonts w:ascii="Arial" w:cs="Arial" w:eastAsia="Arial" w:hAnsi="Arial"/>
                  <w:sz w:val="14"/>
                  <w:szCs w:val="14"/>
                  <w:b w:val="1"/>
                  <w:bCs w:val="1"/>
                  <w:color w:val="0000FF"/>
                </w:rPr>
                <w:t>Item 1. Consolidated Financial Statements</w:t>
              </w:r>
            </w:hyperlink>
          </w:p>
        </w:tc>
        <w:tc>
          <w:tcPr>
            <w:tcW w:w="3640" w:type="dxa"/>
            <w:vAlign w:val="bottom"/>
            <w:tcBorders>
              <w:top w:val="single" w:sz="8" w:color="0000FF"/>
            </w:tcBorders>
            <w:gridSpan w:val="12"/>
          </w:tcPr>
          <w:p>
            <w:pPr>
              <w:spacing w:after="0"/>
              <w:rPr>
                <w:sz w:val="24"/>
                <w:szCs w:val="24"/>
                <w:color w:val="auto"/>
              </w:rPr>
            </w:pPr>
          </w:p>
        </w:tc>
        <w:tc>
          <w:tcPr>
            <w:tcW w:w="202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00" w:type="dxa"/>
            <w:vAlign w:val="bottom"/>
            <w:tcBorders>
              <w:bottom w:val="single" w:sz="8" w:color="0000FF"/>
            </w:tcBorders>
            <w:gridSpan w:val="21"/>
          </w:tcPr>
          <w:p>
            <w:pPr>
              <w:spacing w:after="0"/>
              <w:rPr>
                <w:rFonts w:ascii="Arial" w:cs="Arial" w:eastAsia="Arial" w:hAnsi="Arial"/>
                <w:sz w:val="14"/>
                <w:szCs w:val="14"/>
                <w:color w:val="0000FF"/>
                <w:w w:val="92"/>
              </w:rPr>
            </w:pPr>
            <w:hyperlink w:anchor="page4">
              <w:r>
                <w:rPr>
                  <w:rFonts w:ascii="Arial" w:cs="Arial" w:eastAsia="Arial" w:hAnsi="Arial"/>
                  <w:sz w:val="14"/>
                  <w:szCs w:val="14"/>
                  <w:color w:val="0000FF"/>
                  <w:w w:val="92"/>
                </w:rPr>
                <w:t>Consolidated Statements of Assets and Liabilities as of December 31, 2021 (unaudited) and September 30, 2021</w:t>
              </w:r>
            </w:hyperlink>
          </w:p>
        </w:tc>
        <w:tc>
          <w:tcPr>
            <w:tcW w:w="2300" w:type="dxa"/>
            <w:vAlign w:val="bottom"/>
            <w:gridSpan w:val="3"/>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60" w:type="dxa"/>
            <w:vAlign w:val="bottom"/>
            <w:tcBorders>
              <w:bottom w:val="single" w:sz="8" w:color="0000FF"/>
            </w:tcBorders>
            <w:gridSpan w:val="19"/>
          </w:tcPr>
          <w:p>
            <w:pPr>
              <w:spacing w:after="0"/>
              <w:rPr>
                <w:rFonts w:ascii="Arial" w:cs="Arial" w:eastAsia="Arial" w:hAnsi="Arial"/>
                <w:sz w:val="14"/>
                <w:szCs w:val="14"/>
                <w:color w:val="0000FF"/>
                <w:w w:val="91"/>
              </w:rPr>
            </w:pPr>
            <w:hyperlink w:anchor="page5">
              <w:r>
                <w:rPr>
                  <w:rFonts w:ascii="Arial" w:cs="Arial" w:eastAsia="Arial" w:hAnsi="Arial"/>
                  <w:sz w:val="14"/>
                  <w:szCs w:val="14"/>
                  <w:color w:val="0000FF"/>
                  <w:w w:val="91"/>
                </w:rPr>
                <w:t>Consolidated Statements of Operations for the three months ended December 31, 2021 and 2020 (unaudited)</w:t>
              </w:r>
            </w:hyperlink>
          </w:p>
        </w:tc>
        <w:tc>
          <w:tcPr>
            <w:tcW w:w="2540" w:type="dxa"/>
            <w:vAlign w:val="bottom"/>
            <w:gridSpan w:val="5"/>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0" w:type="dxa"/>
            <w:vAlign w:val="bottom"/>
            <w:gridSpan w:val="24"/>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Consolidated Statements of Changes in Net Assets for the three months ended December 31, 2021 and 2020(unaudited)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80" w:type="dxa"/>
            <w:vAlign w:val="bottom"/>
            <w:tcBorders>
              <w:top w:val="single" w:sz="8" w:color="0000FF"/>
            </w:tcBorders>
            <w:gridSpan w:val="23"/>
          </w:tcPr>
          <w:p>
            <w:pPr>
              <w:spacing w:after="0"/>
              <w:rPr>
                <w:rFonts w:ascii="Arial" w:cs="Arial" w:eastAsia="Arial" w:hAnsi="Arial"/>
                <w:sz w:val="14"/>
                <w:szCs w:val="14"/>
                <w:color w:val="0000FF"/>
              </w:rPr>
            </w:pPr>
            <w:hyperlink w:anchor="page7">
              <w:r>
                <w:rPr>
                  <w:rFonts w:ascii="Arial" w:cs="Arial" w:eastAsia="Arial" w:hAnsi="Arial"/>
                  <w:sz w:val="14"/>
                  <w:szCs w:val="14"/>
                  <w:color w:val="0000FF"/>
                </w:rPr>
                <w:t>Consolidated Statements of Cash Flows for the three months ended December 31, 2021 and 2020 (unaudited)</w:t>
              </w:r>
            </w:hyperlink>
          </w:p>
        </w:tc>
        <w:tc>
          <w:tcPr>
            <w:tcW w:w="19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80" w:type="dxa"/>
            <w:vAlign w:val="bottom"/>
            <w:tcBorders>
              <w:top w:val="single" w:sz="8" w:color="0000FF"/>
              <w:bottom w:val="single" w:sz="8" w:color="0000FF"/>
            </w:tcBorders>
            <w:gridSpan w:val="17"/>
          </w:tcPr>
          <w:p>
            <w:pPr>
              <w:spacing w:after="0"/>
              <w:rPr>
                <w:rFonts w:ascii="Arial" w:cs="Arial" w:eastAsia="Arial" w:hAnsi="Arial"/>
                <w:sz w:val="14"/>
                <w:szCs w:val="14"/>
                <w:color w:val="0000FF"/>
                <w:w w:val="91"/>
              </w:rPr>
            </w:pPr>
            <w:hyperlink w:anchor="page8">
              <w:r>
                <w:rPr>
                  <w:rFonts w:ascii="Arial" w:cs="Arial" w:eastAsia="Arial" w:hAnsi="Arial"/>
                  <w:sz w:val="14"/>
                  <w:szCs w:val="14"/>
                  <w:color w:val="0000FF"/>
                  <w:w w:val="91"/>
                </w:rPr>
                <w:t>Consolidated Schedules of Investments as of December 31, 2021 (unaudited) and September 30, 2021</w:t>
              </w:r>
            </w:hyperlink>
          </w:p>
        </w:tc>
        <w:tc>
          <w:tcPr>
            <w:tcW w:w="420" w:type="dxa"/>
            <w:vAlign w:val="bottom"/>
            <w:tcBorders>
              <w:top w:val="single" w:sz="8" w:color="0000FF"/>
            </w:tcBorders>
            <w:gridSpan w:val="3"/>
          </w:tcPr>
          <w:p>
            <w:pPr>
              <w:spacing w:after="0"/>
              <w:rPr>
                <w:sz w:val="24"/>
                <w:szCs w:val="24"/>
                <w:color w:val="auto"/>
              </w:rPr>
            </w:pPr>
          </w:p>
        </w:tc>
        <w:tc>
          <w:tcPr>
            <w:tcW w:w="2500" w:type="dxa"/>
            <w:vAlign w:val="bottom"/>
            <w:gridSpan w:val="4"/>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tcBorders>
              <w:bottom w:val="single" w:sz="8" w:color="0000FF"/>
            </w:tcBorders>
            <w:gridSpan w:val="11"/>
          </w:tcPr>
          <w:p>
            <w:pPr>
              <w:spacing w:after="0"/>
              <w:rPr>
                <w:rFonts w:ascii="Arial" w:cs="Arial" w:eastAsia="Arial" w:hAnsi="Arial"/>
                <w:sz w:val="14"/>
                <w:szCs w:val="14"/>
                <w:color w:val="0000FF"/>
                <w:w w:val="92"/>
              </w:rPr>
            </w:pPr>
            <w:hyperlink w:anchor="page18">
              <w:r>
                <w:rPr>
                  <w:rFonts w:ascii="Arial" w:cs="Arial" w:eastAsia="Arial" w:hAnsi="Arial"/>
                  <w:sz w:val="14"/>
                  <w:szCs w:val="14"/>
                  <w:color w:val="0000FF"/>
                  <w:w w:val="92"/>
                </w:rPr>
                <w:t>Notes to Consolidated Financial Statements (unaudited)</w:t>
              </w:r>
            </w:hyperlink>
          </w:p>
        </w:tc>
        <w:tc>
          <w:tcPr>
            <w:tcW w:w="5580" w:type="dxa"/>
            <w:vAlign w:val="bottom"/>
            <w:gridSpan w:val="13"/>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0" w:type="dxa"/>
            <w:vAlign w:val="bottom"/>
            <w:gridSpan w:val="24"/>
          </w:tcPr>
          <w:p>
            <w:pPr>
              <w:spacing w:after="0"/>
              <w:rPr>
                <w:rFonts w:ascii="Arial" w:cs="Arial" w:eastAsia="Arial" w:hAnsi="Arial"/>
                <w:sz w:val="14"/>
                <w:szCs w:val="14"/>
                <w:color w:val="0000FF"/>
              </w:rPr>
            </w:pPr>
            <w:hyperlink w:anchor="page33">
              <w:r>
                <w:rPr>
                  <w:rFonts w:ascii="Arial" w:cs="Arial" w:eastAsia="Arial" w:hAnsi="Arial"/>
                  <w:sz w:val="14"/>
                  <w:szCs w:val="14"/>
                  <w:color w:val="0000FF"/>
                </w:rPr>
                <w:t>Report of Independent Registered Public Accounting Firm</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5940" w:type="dxa"/>
            <w:vAlign w:val="bottom"/>
            <w:tcBorders>
              <w:bottom w:val="single" w:sz="8" w:color="0000FF"/>
            </w:tcBorders>
            <w:gridSpan w:val="17"/>
          </w:tcPr>
          <w:p>
            <w:pPr>
              <w:spacing w:after="0"/>
              <w:rPr>
                <w:rFonts w:ascii="Arial" w:cs="Arial" w:eastAsia="Arial" w:hAnsi="Arial"/>
                <w:sz w:val="14"/>
                <w:szCs w:val="14"/>
                <w:b w:val="1"/>
                <w:bCs w:val="1"/>
                <w:color w:val="0000FF"/>
                <w:w w:val="92"/>
              </w:rPr>
            </w:pPr>
            <w:hyperlink w:anchor="page34">
              <w:r>
                <w:rPr>
                  <w:rFonts w:ascii="Arial" w:cs="Arial" w:eastAsia="Arial" w:hAnsi="Arial"/>
                  <w:sz w:val="14"/>
                  <w:szCs w:val="14"/>
                  <w:b w:val="1"/>
                  <w:bCs w:val="1"/>
                  <w:color w:val="0000FF"/>
                  <w:w w:val="92"/>
                </w:rPr>
                <w:t>Item 2. Management’s Discussion and Analysis of Financial Condition and Results of Operations</w:t>
              </w:r>
            </w:hyperlink>
          </w:p>
        </w:tc>
        <w:tc>
          <w:tcPr>
            <w:tcW w:w="3220" w:type="dxa"/>
            <w:vAlign w:val="bottom"/>
            <w:gridSpan w:val="8"/>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1"/>
        </w:trPr>
        <w:tc>
          <w:tcPr>
            <w:tcW w:w="20" w:type="dxa"/>
            <w:vAlign w:val="bottom"/>
          </w:tcPr>
          <w:p>
            <w:pPr>
              <w:spacing w:after="0"/>
              <w:rPr>
                <w:sz w:val="24"/>
                <w:szCs w:val="24"/>
                <w:color w:val="auto"/>
              </w:rPr>
            </w:pPr>
          </w:p>
        </w:tc>
        <w:tc>
          <w:tcPr>
            <w:tcW w:w="4200" w:type="dxa"/>
            <w:vAlign w:val="bottom"/>
            <w:tcBorders>
              <w:bottom w:val="single" w:sz="8" w:color="0000FF"/>
            </w:tcBorders>
            <w:gridSpan w:val="15"/>
          </w:tcPr>
          <w:p>
            <w:pPr>
              <w:spacing w:after="0"/>
              <w:rPr>
                <w:rFonts w:ascii="Arial" w:cs="Arial" w:eastAsia="Arial" w:hAnsi="Arial"/>
                <w:sz w:val="14"/>
                <w:szCs w:val="14"/>
                <w:b w:val="1"/>
                <w:bCs w:val="1"/>
                <w:color w:val="0000FF"/>
                <w:w w:val="94"/>
              </w:rPr>
            </w:pPr>
            <w:hyperlink w:anchor="page46">
              <w:r>
                <w:rPr>
                  <w:rFonts w:ascii="Arial" w:cs="Arial" w:eastAsia="Arial" w:hAnsi="Arial"/>
                  <w:sz w:val="14"/>
                  <w:szCs w:val="14"/>
                  <w:b w:val="1"/>
                  <w:bCs w:val="1"/>
                  <w:color w:val="0000FF"/>
                  <w:w w:val="94"/>
                </w:rPr>
                <w:t>Item 3. Quantitative and Qualitative Disclosures About Market Risk</w:t>
              </w:r>
            </w:hyperlink>
          </w:p>
        </w:tc>
        <w:tc>
          <w:tcPr>
            <w:tcW w:w="4960" w:type="dxa"/>
            <w:vAlign w:val="bottom"/>
            <w:gridSpan w:val="10"/>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331"/>
        </w:trPr>
        <w:tc>
          <w:tcPr>
            <w:tcW w:w="20" w:type="dxa"/>
            <w:vAlign w:val="bottom"/>
          </w:tcPr>
          <w:p>
            <w:pPr>
              <w:spacing w:after="0"/>
              <w:rPr>
                <w:sz w:val="24"/>
                <w:szCs w:val="24"/>
                <w:color w:val="auto"/>
              </w:rPr>
            </w:pPr>
          </w:p>
        </w:tc>
        <w:tc>
          <w:tcPr>
            <w:tcW w:w="9160" w:type="dxa"/>
            <w:vAlign w:val="bottom"/>
            <w:gridSpan w:val="25"/>
          </w:tcPr>
          <w:p>
            <w:pPr>
              <w:spacing w:after="0"/>
              <w:rPr>
                <w:rFonts w:ascii="Arial" w:cs="Arial" w:eastAsia="Arial" w:hAnsi="Arial"/>
                <w:sz w:val="14"/>
                <w:szCs w:val="14"/>
                <w:b w:val="1"/>
                <w:bCs w:val="1"/>
                <w:color w:val="0000FF"/>
              </w:rPr>
            </w:pPr>
            <w:hyperlink w:anchor="page46">
              <w:r>
                <w:rPr>
                  <w:rFonts w:ascii="Arial" w:cs="Arial" w:eastAsia="Arial" w:hAnsi="Arial"/>
                  <w:sz w:val="14"/>
                  <w:szCs w:val="14"/>
                  <w:b w:val="1"/>
                  <w:bCs w:val="1"/>
                  <w:color w:val="0000FF"/>
                </w:rPr>
                <w:t>Item 4. Controls and Procedures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331"/>
        </w:trPr>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Borders>
              <w:bottom w:val="single" w:sz="8" w:color="0000FF"/>
            </w:tcBorders>
            <w:gridSpan w:val="3"/>
          </w:tcPr>
          <w:p>
            <w:pPr>
              <w:jc w:val="center"/>
              <w:spacing w:after="0"/>
              <w:rPr>
                <w:rFonts w:ascii="Arial" w:cs="Arial" w:eastAsia="Arial" w:hAnsi="Arial"/>
                <w:sz w:val="14"/>
                <w:szCs w:val="14"/>
                <w:b w:val="1"/>
                <w:bCs w:val="1"/>
                <w:color w:val="0000FF"/>
              </w:rPr>
            </w:pPr>
            <w:hyperlink w:anchor="page47">
              <w:r>
                <w:rPr>
                  <w:rFonts w:ascii="Arial" w:cs="Arial" w:eastAsia="Arial" w:hAnsi="Arial"/>
                  <w:sz w:val="14"/>
                  <w:szCs w:val="14"/>
                  <w:b w:val="1"/>
                  <w:bCs w:val="1"/>
                  <w:color w:val="0000FF"/>
                </w:rPr>
                <w:t>PART II. OTHER INFORMATION</w:t>
              </w:r>
            </w:hyperlink>
          </w:p>
        </w:tc>
        <w:tc>
          <w:tcPr>
            <w:tcW w:w="2720" w:type="dxa"/>
            <w:vAlign w:val="bottom"/>
            <w:gridSpan w:val="6"/>
          </w:tcPr>
          <w:p>
            <w:pPr>
              <w:spacing w:after="0"/>
              <w:rPr>
                <w:sz w:val="24"/>
                <w:szCs w:val="24"/>
                <w:color w:val="auto"/>
              </w:rPr>
            </w:pPr>
          </w:p>
        </w:tc>
        <w:tc>
          <w:tcPr>
            <w:tcW w:w="206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9160" w:type="dxa"/>
            <w:vAlign w:val="bottom"/>
            <w:gridSpan w:val="25"/>
          </w:tcPr>
          <w:p>
            <w:pPr>
              <w:spacing w:after="0"/>
              <w:rPr>
                <w:rFonts w:ascii="Arial" w:cs="Arial" w:eastAsia="Arial" w:hAnsi="Arial"/>
                <w:sz w:val="14"/>
                <w:szCs w:val="14"/>
                <w:b w:val="1"/>
                <w:bCs w:val="1"/>
                <w:color w:val="0000FF"/>
              </w:rPr>
            </w:pPr>
            <w:hyperlink w:anchor="page47">
              <w:r>
                <w:rPr>
                  <w:rFonts w:ascii="Arial" w:cs="Arial" w:eastAsia="Arial" w:hAnsi="Arial"/>
                  <w:sz w:val="14"/>
                  <w:szCs w:val="14"/>
                  <w:b w:val="1"/>
                  <w:bCs w:val="1"/>
                  <w:color w:val="0000FF"/>
                </w:rPr>
                <w:t>Item 1. Legal Proceedings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331"/>
        </w:trPr>
        <w:tc>
          <w:tcPr>
            <w:tcW w:w="20" w:type="dxa"/>
            <w:vAlign w:val="bottom"/>
          </w:tcPr>
          <w:p>
            <w:pPr>
              <w:spacing w:after="0"/>
              <w:rPr>
                <w:sz w:val="24"/>
                <w:szCs w:val="24"/>
                <w:color w:val="auto"/>
              </w:rPr>
            </w:pPr>
          </w:p>
        </w:tc>
        <w:tc>
          <w:tcPr>
            <w:tcW w:w="1360" w:type="dxa"/>
            <w:vAlign w:val="bottom"/>
            <w:tcBorders>
              <w:top w:val="single" w:sz="8" w:color="0000FF"/>
              <w:bottom w:val="single" w:sz="8" w:color="0000FF"/>
            </w:tcBorders>
            <w:gridSpan w:val="4"/>
          </w:tcPr>
          <w:p>
            <w:pPr>
              <w:spacing w:after="0"/>
              <w:rPr>
                <w:rFonts w:ascii="Arial" w:cs="Arial" w:eastAsia="Arial" w:hAnsi="Arial"/>
                <w:sz w:val="14"/>
                <w:szCs w:val="14"/>
                <w:b w:val="1"/>
                <w:bCs w:val="1"/>
                <w:color w:val="0000FF"/>
                <w:w w:val="94"/>
              </w:rPr>
            </w:pPr>
            <w:hyperlink w:anchor="page47">
              <w:r>
                <w:rPr>
                  <w:rFonts w:ascii="Arial" w:cs="Arial" w:eastAsia="Arial" w:hAnsi="Arial"/>
                  <w:sz w:val="14"/>
                  <w:szCs w:val="14"/>
                  <w:b w:val="1"/>
                  <w:bCs w:val="1"/>
                  <w:color w:val="0000FF"/>
                  <w:w w:val="94"/>
                </w:rPr>
                <w:t>Item 1A. Risk Factors</w:t>
              </w:r>
            </w:hyperlink>
          </w:p>
        </w:tc>
        <w:tc>
          <w:tcPr>
            <w:tcW w:w="220" w:type="dxa"/>
            <w:vAlign w:val="bottom"/>
            <w:tcBorders>
              <w:top w:val="single" w:sz="8" w:color="0000FF"/>
            </w:tcBorders>
          </w:tcPr>
          <w:p>
            <w:pPr>
              <w:spacing w:after="0"/>
              <w:rPr>
                <w:sz w:val="24"/>
                <w:szCs w:val="24"/>
                <w:color w:val="auto"/>
              </w:rPr>
            </w:pPr>
          </w:p>
        </w:tc>
        <w:tc>
          <w:tcPr>
            <w:tcW w:w="7580" w:type="dxa"/>
            <w:vAlign w:val="bottom"/>
            <w:gridSpan w:val="20"/>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331"/>
        </w:trPr>
        <w:tc>
          <w:tcPr>
            <w:tcW w:w="20" w:type="dxa"/>
            <w:vAlign w:val="bottom"/>
          </w:tcPr>
          <w:p>
            <w:pPr>
              <w:spacing w:after="0"/>
              <w:rPr>
                <w:sz w:val="24"/>
                <w:szCs w:val="24"/>
                <w:color w:val="auto"/>
              </w:rPr>
            </w:pPr>
          </w:p>
        </w:tc>
        <w:tc>
          <w:tcPr>
            <w:tcW w:w="9160" w:type="dxa"/>
            <w:vAlign w:val="bottom"/>
            <w:gridSpan w:val="25"/>
          </w:tcPr>
          <w:p>
            <w:pPr>
              <w:spacing w:after="0"/>
              <w:rPr>
                <w:rFonts w:ascii="Arial" w:cs="Arial" w:eastAsia="Arial" w:hAnsi="Arial"/>
                <w:sz w:val="14"/>
                <w:szCs w:val="14"/>
                <w:b w:val="1"/>
                <w:bCs w:val="1"/>
                <w:color w:val="0000FF"/>
              </w:rPr>
            </w:pPr>
            <w:hyperlink w:anchor="page48">
              <w:r>
                <w:rPr>
                  <w:rFonts w:ascii="Arial" w:cs="Arial" w:eastAsia="Arial" w:hAnsi="Arial"/>
                  <w:sz w:val="14"/>
                  <w:szCs w:val="14"/>
                  <w:b w:val="1"/>
                  <w:bCs w:val="1"/>
                  <w:color w:val="0000FF"/>
                </w:rPr>
                <w:t>Item 2. Unregistered Sales of Equity Securities and Use of Proceeds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331"/>
        </w:trPr>
        <w:tc>
          <w:tcPr>
            <w:tcW w:w="20" w:type="dxa"/>
            <w:vAlign w:val="bottom"/>
          </w:tcPr>
          <w:p>
            <w:pPr>
              <w:spacing w:after="0"/>
              <w:rPr>
                <w:sz w:val="24"/>
                <w:szCs w:val="24"/>
                <w:color w:val="auto"/>
              </w:rPr>
            </w:pPr>
          </w:p>
        </w:tc>
        <w:tc>
          <w:tcPr>
            <w:tcW w:w="4120" w:type="dxa"/>
            <w:vAlign w:val="bottom"/>
            <w:tcBorders>
              <w:top w:val="single" w:sz="8" w:color="0000FF"/>
            </w:tcBorders>
            <w:gridSpan w:val="14"/>
          </w:tcPr>
          <w:p>
            <w:pPr>
              <w:spacing w:after="0"/>
              <w:rPr>
                <w:rFonts w:ascii="Arial" w:cs="Arial" w:eastAsia="Arial" w:hAnsi="Arial"/>
                <w:sz w:val="14"/>
                <w:szCs w:val="14"/>
                <w:b w:val="1"/>
                <w:bCs w:val="1"/>
                <w:color w:val="0000FF"/>
              </w:rPr>
            </w:pPr>
            <w:hyperlink w:anchor="page48">
              <w:r>
                <w:rPr>
                  <w:rFonts w:ascii="Arial" w:cs="Arial" w:eastAsia="Arial" w:hAnsi="Arial"/>
                  <w:sz w:val="14"/>
                  <w:szCs w:val="14"/>
                  <w:b w:val="1"/>
                  <w:bCs w:val="1"/>
                  <w:color w:val="0000FF"/>
                </w:rPr>
                <w:t>Item 3. Defaults Upon Senior Securities</w:t>
              </w:r>
            </w:hyperlink>
          </w:p>
        </w:tc>
        <w:tc>
          <w:tcPr>
            <w:tcW w:w="5040" w:type="dxa"/>
            <w:vAlign w:val="bottom"/>
            <w:gridSpan w:val="11"/>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331"/>
        </w:trPr>
        <w:tc>
          <w:tcPr>
            <w:tcW w:w="20" w:type="dxa"/>
            <w:vAlign w:val="bottom"/>
          </w:tcPr>
          <w:p>
            <w:pPr>
              <w:spacing w:after="0"/>
              <w:rPr>
                <w:sz w:val="24"/>
                <w:szCs w:val="24"/>
                <w:color w:val="auto"/>
              </w:rPr>
            </w:pPr>
          </w:p>
        </w:tc>
        <w:tc>
          <w:tcPr>
            <w:tcW w:w="1940" w:type="dxa"/>
            <w:vAlign w:val="bottom"/>
            <w:tcBorders>
              <w:top w:val="single" w:sz="8" w:color="0000FF"/>
              <w:bottom w:val="single" w:sz="8" w:color="0000FF"/>
            </w:tcBorders>
            <w:gridSpan w:val="7"/>
          </w:tcPr>
          <w:p>
            <w:pPr>
              <w:spacing w:after="0"/>
              <w:rPr>
                <w:rFonts w:ascii="Arial" w:cs="Arial" w:eastAsia="Arial" w:hAnsi="Arial"/>
                <w:sz w:val="14"/>
                <w:szCs w:val="14"/>
                <w:b w:val="1"/>
                <w:bCs w:val="1"/>
                <w:color w:val="0000FF"/>
                <w:w w:val="91"/>
              </w:rPr>
            </w:pPr>
            <w:hyperlink w:anchor="page48">
              <w:r>
                <w:rPr>
                  <w:rFonts w:ascii="Arial" w:cs="Arial" w:eastAsia="Arial" w:hAnsi="Arial"/>
                  <w:sz w:val="14"/>
                  <w:szCs w:val="14"/>
                  <w:b w:val="1"/>
                  <w:bCs w:val="1"/>
                  <w:color w:val="0000FF"/>
                  <w:w w:val="91"/>
                </w:rPr>
                <w:t>Item 4. Mine Safety Disclosures</w:t>
              </w:r>
            </w:hyperlink>
          </w:p>
        </w:tc>
        <w:tc>
          <w:tcPr>
            <w:tcW w:w="480" w:type="dxa"/>
            <w:vAlign w:val="bottom"/>
            <w:tcBorders>
              <w:top w:val="single" w:sz="8" w:color="0000FF"/>
            </w:tcBorders>
            <w:gridSpan w:val="2"/>
          </w:tcPr>
          <w:p>
            <w:pPr>
              <w:spacing w:after="0"/>
              <w:rPr>
                <w:sz w:val="24"/>
                <w:szCs w:val="24"/>
                <w:color w:val="auto"/>
              </w:rPr>
            </w:pPr>
          </w:p>
        </w:tc>
        <w:tc>
          <w:tcPr>
            <w:tcW w:w="6740" w:type="dxa"/>
            <w:vAlign w:val="bottom"/>
            <w:gridSpan w:val="16"/>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331"/>
        </w:trPr>
        <w:tc>
          <w:tcPr>
            <w:tcW w:w="20" w:type="dxa"/>
            <w:vAlign w:val="bottom"/>
          </w:tcPr>
          <w:p>
            <w:pPr>
              <w:spacing w:after="0"/>
              <w:rPr>
                <w:sz w:val="24"/>
                <w:szCs w:val="24"/>
                <w:color w:val="auto"/>
              </w:rPr>
            </w:pPr>
          </w:p>
        </w:tc>
        <w:tc>
          <w:tcPr>
            <w:tcW w:w="9160" w:type="dxa"/>
            <w:vAlign w:val="bottom"/>
            <w:gridSpan w:val="25"/>
          </w:tcPr>
          <w:p>
            <w:pPr>
              <w:spacing w:after="0"/>
              <w:rPr>
                <w:rFonts w:ascii="Arial" w:cs="Arial" w:eastAsia="Arial" w:hAnsi="Arial"/>
                <w:sz w:val="14"/>
                <w:szCs w:val="14"/>
                <w:b w:val="1"/>
                <w:bCs w:val="1"/>
                <w:color w:val="0000FF"/>
              </w:rPr>
            </w:pPr>
            <w:hyperlink w:anchor="page48">
              <w:r>
                <w:rPr>
                  <w:rFonts w:ascii="Arial" w:cs="Arial" w:eastAsia="Arial" w:hAnsi="Arial"/>
                  <w:sz w:val="14"/>
                  <w:szCs w:val="14"/>
                  <w:b w:val="1"/>
                  <w:bCs w:val="1"/>
                  <w:color w:val="0000FF"/>
                </w:rPr>
                <w:t>Item 5. Other Information</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331"/>
        </w:trPr>
        <w:tc>
          <w:tcPr>
            <w:tcW w:w="20" w:type="dxa"/>
            <w:vAlign w:val="bottom"/>
          </w:tcPr>
          <w:p>
            <w:pPr>
              <w:spacing w:after="0"/>
              <w:rPr>
                <w:sz w:val="24"/>
                <w:szCs w:val="24"/>
                <w:color w:val="auto"/>
              </w:rPr>
            </w:pPr>
          </w:p>
        </w:tc>
        <w:tc>
          <w:tcPr>
            <w:tcW w:w="1620" w:type="dxa"/>
            <w:vAlign w:val="bottom"/>
            <w:tcBorders>
              <w:top w:val="single" w:sz="8" w:color="0000FF"/>
            </w:tcBorders>
            <w:gridSpan w:val="6"/>
          </w:tcPr>
          <w:p>
            <w:pPr>
              <w:spacing w:after="0"/>
              <w:rPr>
                <w:rFonts w:ascii="Arial" w:cs="Arial" w:eastAsia="Arial" w:hAnsi="Arial"/>
                <w:sz w:val="14"/>
                <w:szCs w:val="14"/>
                <w:b w:val="1"/>
                <w:bCs w:val="1"/>
                <w:color w:val="0000FF"/>
              </w:rPr>
            </w:pPr>
            <w:hyperlink w:anchor="page49">
              <w:r>
                <w:rPr>
                  <w:rFonts w:ascii="Arial" w:cs="Arial" w:eastAsia="Arial" w:hAnsi="Arial"/>
                  <w:sz w:val="14"/>
                  <w:szCs w:val="14"/>
                  <w:b w:val="1"/>
                  <w:bCs w:val="1"/>
                  <w:color w:val="0000FF"/>
                </w:rPr>
                <w:t>Item 6. Exhibits</w:t>
              </w:r>
            </w:hyperlink>
          </w:p>
        </w:tc>
        <w:tc>
          <w:tcPr>
            <w:tcW w:w="7540" w:type="dxa"/>
            <w:vAlign w:val="bottom"/>
            <w:gridSpan w:val="19"/>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331"/>
        </w:trPr>
        <w:tc>
          <w:tcPr>
            <w:tcW w:w="20" w:type="dxa"/>
            <w:vAlign w:val="bottom"/>
          </w:tcPr>
          <w:p>
            <w:pPr>
              <w:spacing w:after="0"/>
              <w:rPr>
                <w:sz w:val="24"/>
                <w:szCs w:val="24"/>
                <w:color w:val="auto"/>
              </w:rPr>
            </w:pPr>
          </w:p>
        </w:tc>
        <w:tc>
          <w:tcPr>
            <w:tcW w:w="980" w:type="dxa"/>
            <w:vAlign w:val="bottom"/>
            <w:tcBorders>
              <w:top w:val="single" w:sz="8" w:color="0000FF"/>
            </w:tcBorders>
            <w:gridSpan w:val="3"/>
          </w:tcPr>
          <w:p>
            <w:pPr>
              <w:spacing w:after="0"/>
              <w:rPr>
                <w:rFonts w:ascii="Arial" w:cs="Arial" w:eastAsia="Arial" w:hAnsi="Arial"/>
                <w:sz w:val="14"/>
                <w:szCs w:val="14"/>
                <w:b w:val="1"/>
                <w:bCs w:val="1"/>
                <w:color w:val="0000FF"/>
              </w:rPr>
            </w:pPr>
            <w:hyperlink w:anchor="page50">
              <w:r>
                <w:rPr>
                  <w:rFonts w:ascii="Arial" w:cs="Arial" w:eastAsia="Arial" w:hAnsi="Arial"/>
                  <w:sz w:val="14"/>
                  <w:szCs w:val="14"/>
                  <w:b w:val="1"/>
                  <w:bCs w:val="1"/>
                  <w:color w:val="0000FF"/>
                </w:rPr>
                <w:t>SIGNATURES</w:t>
              </w:r>
            </w:hyperlink>
          </w:p>
        </w:tc>
        <w:tc>
          <w:tcPr>
            <w:tcW w:w="8180" w:type="dxa"/>
            <w:vAlign w:val="bottom"/>
            <w:gridSpan w:val="22"/>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373"/>
        </w:trPr>
        <w:tc>
          <w:tcPr>
            <w:tcW w:w="20" w:type="dxa"/>
            <w:vAlign w:val="bottom"/>
          </w:tcPr>
          <w:p>
            <w:pPr>
              <w:spacing w:after="0"/>
              <w:rPr>
                <w:sz w:val="24"/>
                <w:szCs w:val="24"/>
                <w:color w:val="auto"/>
              </w:rPr>
            </w:pPr>
          </w:p>
        </w:tc>
        <w:tc>
          <w:tcPr>
            <w:tcW w:w="920" w:type="dxa"/>
            <w:vAlign w:val="bottom"/>
            <w:tcBorders>
              <w:top w:val="single" w:sz="8" w:color="0000FF"/>
            </w:tcBorders>
            <w:gridSpan w:val="2"/>
          </w:tcPr>
          <w:p>
            <w:pPr>
              <w:spacing w:after="0"/>
              <w:rPr>
                <w:sz w:val="24"/>
                <w:szCs w:val="24"/>
                <w:color w:val="auto"/>
              </w:rPr>
            </w:pPr>
          </w:p>
        </w:tc>
        <w:tc>
          <w:tcPr>
            <w:tcW w:w="5020" w:type="dxa"/>
            <w:vAlign w:val="bottom"/>
            <w:gridSpan w:val="15"/>
          </w:tcPr>
          <w:p>
            <w:pPr>
              <w:jc w:val="right"/>
              <w:ind w:right="228"/>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167" w:lineRule="exact"/>
        <w:rPr>
          <w:sz w:val="20"/>
          <w:szCs w:val="20"/>
          <w:color w:val="auto"/>
        </w:rPr>
      </w:pPr>
    </w:p>
    <w:p>
      <w:pPr>
        <w:ind w:firstLine="449"/>
        <w:spacing w:after="0" w:line="261" w:lineRule="auto"/>
        <w:rPr>
          <w:sz w:val="20"/>
          <w:szCs w:val="20"/>
          <w:color w:val="auto"/>
        </w:rPr>
      </w:pPr>
      <w:r>
        <w:rPr>
          <w:rFonts w:ascii="Arial" w:cs="Arial" w:eastAsia="Arial" w:hAnsi="Arial"/>
          <w:sz w:val="13"/>
          <w:szCs w:val="13"/>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context suggest otherwise, the terms “Company,” “we,” “our” or “us” refers to PennantPark Investment Corporation and its consolidated subsidiaries; “PennantPark Investment” refers to only PennantPark Investment Corporation; “our SBIC Fund” refers collectively to our consolidated subsidiaries, PennantPark SBIC II LP, or SBIC II, and its general partner, PennantPark SBIC GP II, LLC; “Funding I” refers to PennantPark Investment Funding I, LLC, a wholly-owned subsidiary prior to deconsolidation on July 31, 2020; “Taxable Subsidiary” refers to PNNT Investment Holdings, LLC; “PSLF” refers to PennantPark Senior Loan Fund, LLC, an unconsolidated joint venture;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prior to deconsolidation of Funding I; “Truist Credit Facility” refers to our multi-currency, senior secured revolving credit facility with Truist Bank (formerly SunTrust Bank), as amended and restated; “Credit Facilities” refers to the BNP Credit Facility and the Truist Credit Facility collectively; “2024 Notes” refers to our 5.50% Notes due 2024; “2026 Notes” refers to our 4.50% Notes due May 2026; “2026 Notes-2” refers to our 4.00% Notes due November 2026;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SBIC II and other consolidated subsidiaries.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19"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20"/>
                <w:szCs w:val="20"/>
                <w:color w:val="auto"/>
              </w:rPr>
            </w:pPr>
            <w:r>
              <w:rPr>
                <w:rFonts w:ascii="Arial" w:cs="Arial" w:eastAsia="Arial" w:hAnsi="Arial"/>
                <w:sz w:val="14"/>
                <w:szCs w:val="14"/>
                <w:b w:val="1"/>
                <w:bCs w:val="1"/>
                <w:color w:val="auto"/>
              </w:rPr>
              <w:t>Item 1.  Consolidated Financial Statements</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00"/>
        </w:trPr>
        <w:tc>
          <w:tcPr>
            <w:tcW w:w="7960" w:type="dxa"/>
            <w:vAlign w:val="bottom"/>
            <w:gridSpan w:val="2"/>
          </w:tcPr>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6"/>
        </w:trPr>
        <w:tc>
          <w:tcPr>
            <w:tcW w:w="7780" w:type="dxa"/>
            <w:vAlign w:val="bottom"/>
          </w:tcPr>
          <w:p>
            <w:pPr>
              <w:ind w:left="350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27"/>
        </w:trPr>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December 31, 2021</w:t>
            </w:r>
          </w:p>
        </w:tc>
        <w:tc>
          <w:tcPr>
            <w:tcW w:w="14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September 30, 2021</w:t>
            </w:r>
          </w:p>
        </w:tc>
      </w:tr>
      <w:tr>
        <w:trPr>
          <w:trHeight w:val="185"/>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78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auto"/>
            </w:tcBorders>
            <w:shd w:val="clear" w:color="auto" w:fill="CCECFF"/>
          </w:tcPr>
          <w:p>
            <w:pPr>
              <w:spacing w:after="0"/>
              <w:rPr>
                <w:sz w:val="14"/>
                <w:szCs w:val="14"/>
                <w:color w:val="auto"/>
              </w:rPr>
            </w:pPr>
          </w:p>
        </w:tc>
        <w:tc>
          <w:tcPr>
            <w:tcW w:w="140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spacing w:after="0"/>
              <w:rPr>
                <w:sz w:val="14"/>
                <w:szCs w:val="14"/>
                <w:color w:val="auto"/>
              </w:rPr>
            </w:pPr>
          </w:p>
        </w:tc>
        <w:tc>
          <w:tcPr>
            <w:tcW w:w="1440" w:type="dxa"/>
            <w:vAlign w:val="bottom"/>
            <w:tcBorders>
              <w:top w:val="single" w:sz="8" w:color="auto"/>
            </w:tcBorders>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Investments at fair value</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778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Non-controlled, non-affiliated investments (cost—$890,776,532 and $729,811,369, respectively)</w:t>
            </w: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931,825,423</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820,500,111</w:t>
            </w:r>
          </w:p>
        </w:tc>
        <w:tc>
          <w:tcPr>
            <w:tcW w:w="60" w:type="dxa"/>
            <w:vAlign w:val="bottom"/>
            <w:shd w:val="clear" w:color="auto" w:fill="CCECFF"/>
          </w:tcPr>
          <w:p>
            <w:pPr>
              <w:spacing w:after="0"/>
              <w:rPr>
                <w:sz w:val="15"/>
                <w:szCs w:val="15"/>
                <w:color w:val="auto"/>
              </w:rPr>
            </w:pPr>
          </w:p>
        </w:tc>
      </w:tr>
      <w:tr>
        <w:trPr>
          <w:trHeight w:val="176"/>
        </w:trPr>
        <w:tc>
          <w:tcPr>
            <w:tcW w:w="7780" w:type="dxa"/>
            <w:vAlign w:val="bottom"/>
          </w:tcPr>
          <w:p>
            <w:pPr>
              <w:ind w:left="200"/>
              <w:spacing w:after="0"/>
              <w:rPr>
                <w:sz w:val="20"/>
                <w:szCs w:val="20"/>
                <w:color w:val="auto"/>
              </w:rPr>
            </w:pPr>
            <w:r>
              <w:rPr>
                <w:rFonts w:ascii="Arial" w:cs="Arial" w:eastAsia="Arial" w:hAnsi="Arial"/>
                <w:sz w:val="14"/>
                <w:szCs w:val="14"/>
                <w:color w:val="auto"/>
              </w:rPr>
              <w:t>Non-controlled, affiliated investments (cost—$47,449,723 and $78,723,320, respectively)</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51,121,783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50,161,391</w:t>
            </w:r>
          </w:p>
        </w:tc>
        <w:tc>
          <w:tcPr>
            <w:tcW w:w="60" w:type="dxa"/>
            <w:vAlign w:val="bottom"/>
          </w:tcPr>
          <w:p>
            <w:pPr>
              <w:spacing w:after="0"/>
              <w:rPr>
                <w:sz w:val="15"/>
                <w:szCs w:val="15"/>
                <w:color w:val="auto"/>
              </w:rPr>
            </w:pPr>
          </w:p>
        </w:tc>
      </w:tr>
      <w:tr>
        <w:trPr>
          <w:trHeight w:val="176"/>
        </w:trPr>
        <w:tc>
          <w:tcPr>
            <w:tcW w:w="778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Controlled, affiliated investments (cost—$426,263,178 and $412,586,761, respectively)</w:t>
            </w:r>
          </w:p>
        </w:tc>
        <w:tc>
          <w:tcPr>
            <w:tcW w:w="180" w:type="dxa"/>
            <w:vAlign w:val="bottom"/>
            <w:tcBorders>
              <w:bottom w:val="single" w:sz="8" w:color="auto"/>
            </w:tcBorders>
            <w:shd w:val="clear" w:color="auto" w:fill="CCECFF"/>
          </w:tcPr>
          <w:p>
            <w:pPr>
              <w:spacing w:after="0"/>
              <w:rPr>
                <w:sz w:val="15"/>
                <w:szCs w:val="15"/>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462,442,536</w:t>
            </w:r>
          </w:p>
        </w:tc>
        <w:tc>
          <w:tcPr>
            <w:tcW w:w="2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auto"/>
            </w:tcBorders>
            <w:shd w:val="clear" w:color="auto" w:fill="CCECFF"/>
          </w:tcPr>
          <w:p>
            <w:pPr>
              <w:spacing w:after="0"/>
              <w:rPr>
                <w:sz w:val="15"/>
                <w:szCs w:val="15"/>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384,628,332</w:t>
            </w:r>
          </w:p>
        </w:tc>
        <w:tc>
          <w:tcPr>
            <w:tcW w:w="60" w:type="dxa"/>
            <w:vAlign w:val="bottom"/>
            <w:tcBorders>
              <w:bottom w:val="single" w:sz="8" w:color="CCECFF"/>
            </w:tcBorders>
            <w:shd w:val="clear" w:color="auto" w:fill="CCECFF"/>
          </w:tcPr>
          <w:p>
            <w:pPr>
              <w:spacing w:after="0"/>
              <w:rPr>
                <w:sz w:val="15"/>
                <w:szCs w:val="15"/>
                <w:color w:val="auto"/>
              </w:rPr>
            </w:pPr>
          </w:p>
        </w:tc>
      </w:tr>
      <w:tr>
        <w:trPr>
          <w:trHeight w:val="169"/>
        </w:trPr>
        <w:tc>
          <w:tcPr>
            <w:tcW w:w="7780" w:type="dxa"/>
            <w:vAlign w:val="bottom"/>
          </w:tcPr>
          <w:p>
            <w:pPr>
              <w:ind w:left="200"/>
              <w:spacing w:after="0"/>
              <w:rPr>
                <w:sz w:val="20"/>
                <w:szCs w:val="20"/>
                <w:color w:val="auto"/>
              </w:rPr>
            </w:pPr>
            <w:r>
              <w:rPr>
                <w:rFonts w:ascii="Arial" w:cs="Arial" w:eastAsia="Arial" w:hAnsi="Arial"/>
                <w:sz w:val="14"/>
                <w:szCs w:val="14"/>
                <w:color w:val="auto"/>
              </w:rPr>
              <w:t>Total investments (cost—$1,364,489,433 and $1,221,121,450, respectively)</w:t>
            </w: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1,445,389,742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1,255,289,834</w:t>
            </w:r>
          </w:p>
        </w:tc>
        <w:tc>
          <w:tcPr>
            <w:tcW w:w="60" w:type="dxa"/>
            <w:vAlign w:val="bottom"/>
          </w:tcPr>
          <w:p>
            <w:pPr>
              <w:spacing w:after="0"/>
              <w:rPr>
                <w:sz w:val="14"/>
                <w:szCs w:val="14"/>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Cash and cash equivalents (cost—$39,570,438 and $20,382,959, respectively)</w:t>
            </w:r>
          </w:p>
        </w:tc>
        <w:tc>
          <w:tcPr>
            <w:tcW w:w="18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39,581,423</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20,357,016</w:t>
            </w:r>
          </w:p>
        </w:tc>
        <w:tc>
          <w:tcPr>
            <w:tcW w:w="60" w:type="dxa"/>
            <w:vAlign w:val="bottom"/>
            <w:shd w:val="clear" w:color="auto" w:fill="CCECFF"/>
          </w:tcPr>
          <w:p>
            <w:pPr>
              <w:spacing w:after="0"/>
              <w:rPr>
                <w:sz w:val="15"/>
                <w:szCs w:val="15"/>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Interest receivable</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5,408,144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4,958,217</w:t>
            </w:r>
          </w:p>
        </w:tc>
        <w:tc>
          <w:tcPr>
            <w:tcW w:w="60" w:type="dxa"/>
            <w:vAlign w:val="bottom"/>
          </w:tcPr>
          <w:p>
            <w:pPr>
              <w:spacing w:after="0"/>
              <w:rPr>
                <w:sz w:val="15"/>
                <w:szCs w:val="15"/>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Receivable for investments sold</w:t>
            </w:r>
          </w:p>
        </w:tc>
        <w:tc>
          <w:tcPr>
            <w:tcW w:w="18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25,614,110</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12,792,969</w:t>
            </w:r>
          </w:p>
        </w:tc>
        <w:tc>
          <w:tcPr>
            <w:tcW w:w="60" w:type="dxa"/>
            <w:vAlign w:val="bottom"/>
            <w:shd w:val="clear" w:color="auto" w:fill="CCECFF"/>
          </w:tcPr>
          <w:p>
            <w:pPr>
              <w:spacing w:after="0"/>
              <w:rPr>
                <w:sz w:val="15"/>
                <w:szCs w:val="15"/>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Distribution receivable</w:t>
            </w: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1,815,000</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1,694,000</w:t>
            </w:r>
          </w:p>
        </w:tc>
        <w:tc>
          <w:tcPr>
            <w:tcW w:w="60" w:type="dxa"/>
            <w:vAlign w:val="bottom"/>
          </w:tcPr>
          <w:p>
            <w:pPr>
              <w:spacing w:after="0"/>
              <w:rPr>
                <w:sz w:val="15"/>
                <w:szCs w:val="15"/>
                <w:color w:val="auto"/>
              </w:rPr>
            </w:pPr>
          </w:p>
        </w:tc>
      </w:tr>
      <w:tr>
        <w:trPr>
          <w:trHeight w:val="169"/>
        </w:trPr>
        <w:tc>
          <w:tcPr>
            <w:tcW w:w="7780" w:type="dxa"/>
            <w:vAlign w:val="bottom"/>
            <w:tcBorders>
              <w:bottom w:val="single" w:sz="8" w:color="CCECFF"/>
            </w:tcBorders>
            <w:shd w:val="clear" w:color="auto" w:fill="CCECFF"/>
          </w:tcPr>
          <w:p>
            <w:pPr>
              <w:ind w:left="74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1,517,808,419</w:t>
            </w:r>
          </w:p>
        </w:tc>
        <w:tc>
          <w:tcPr>
            <w:tcW w:w="24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1,295,092,036</w:t>
            </w:r>
          </w:p>
        </w:tc>
        <w:tc>
          <w:tcPr>
            <w:tcW w:w="60" w:type="dxa"/>
            <w:vAlign w:val="bottom"/>
            <w:tcBorders>
              <w:bottom w:val="single" w:sz="8" w:color="CCECFF"/>
            </w:tcBorders>
            <w:shd w:val="clear" w:color="auto" w:fill="CCECFF"/>
          </w:tcPr>
          <w:p>
            <w:pPr>
              <w:spacing w:after="0"/>
              <w:rPr>
                <w:sz w:val="14"/>
                <w:szCs w:val="14"/>
                <w:color w:val="auto"/>
              </w:rPr>
            </w:pPr>
          </w:p>
        </w:tc>
      </w:tr>
      <w:tr>
        <w:trPr>
          <w:trHeight w:val="169"/>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Distributions payable</w:t>
            </w:r>
          </w:p>
        </w:tc>
        <w:tc>
          <w:tcPr>
            <w:tcW w:w="18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8,045,413</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8,045,413</w:t>
            </w:r>
          </w:p>
        </w:tc>
        <w:tc>
          <w:tcPr>
            <w:tcW w:w="60" w:type="dxa"/>
            <w:vAlign w:val="bottom"/>
            <w:shd w:val="clear" w:color="auto" w:fill="CCECFF"/>
          </w:tcPr>
          <w:p>
            <w:pPr>
              <w:spacing w:after="0"/>
              <w:rPr>
                <w:sz w:val="15"/>
                <w:szCs w:val="15"/>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Payable for investments purchased</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595,350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8,407,287</w:t>
            </w:r>
          </w:p>
        </w:tc>
        <w:tc>
          <w:tcPr>
            <w:tcW w:w="60" w:type="dxa"/>
            <w:vAlign w:val="bottom"/>
          </w:tcPr>
          <w:p>
            <w:pPr>
              <w:spacing w:after="0"/>
              <w:rPr>
                <w:sz w:val="15"/>
                <w:szCs w:val="15"/>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Truist Credit Facility payable, at fair value (cost—$445,223,900 and $316,544,900, respectively) (See Notes 5 and 10)</w:t>
            </w:r>
          </w:p>
        </w:tc>
        <w:tc>
          <w:tcPr>
            <w:tcW w:w="18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444,487,950</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314,813,145</w:t>
            </w:r>
          </w:p>
        </w:tc>
        <w:tc>
          <w:tcPr>
            <w:tcW w:w="60" w:type="dxa"/>
            <w:vAlign w:val="bottom"/>
            <w:shd w:val="clear" w:color="auto" w:fill="CCECFF"/>
          </w:tcPr>
          <w:p>
            <w:pPr>
              <w:spacing w:after="0"/>
              <w:rPr>
                <w:sz w:val="15"/>
                <w:szCs w:val="15"/>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2024 Notes payable, net (par— zero and $86,250,000, respectively) (See Notes 5 and 10)</w:t>
            </w:r>
          </w:p>
        </w:tc>
        <w:tc>
          <w:tcPr>
            <w:tcW w:w="180" w:type="dxa"/>
            <w:vAlign w:val="bottom"/>
          </w:tcPr>
          <w:p>
            <w:pPr>
              <w:spacing w:after="0"/>
              <w:rPr>
                <w:sz w:val="15"/>
                <w:szCs w:val="15"/>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84,503,061</w:t>
            </w:r>
          </w:p>
        </w:tc>
        <w:tc>
          <w:tcPr>
            <w:tcW w:w="60" w:type="dxa"/>
            <w:vAlign w:val="bottom"/>
          </w:tcPr>
          <w:p>
            <w:pPr>
              <w:spacing w:after="0"/>
              <w:rPr>
                <w:sz w:val="15"/>
                <w:szCs w:val="15"/>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2026 Notes payable, net (par— $150,000,000) (See Notes 5 and 10)</w:t>
            </w:r>
          </w:p>
        </w:tc>
        <w:tc>
          <w:tcPr>
            <w:tcW w:w="18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146,090,709</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145,865,253</w:t>
            </w:r>
          </w:p>
        </w:tc>
        <w:tc>
          <w:tcPr>
            <w:tcW w:w="60" w:type="dxa"/>
            <w:vAlign w:val="bottom"/>
            <w:shd w:val="clear" w:color="auto" w:fill="CCECFF"/>
          </w:tcPr>
          <w:p>
            <w:pPr>
              <w:spacing w:after="0"/>
              <w:rPr>
                <w:sz w:val="15"/>
                <w:szCs w:val="15"/>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2026 Notes-2 payable, net (par— $165,000,000 and zero, respectively) (See Notes 5 and 10)</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160,732,762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SBA debentures payable, net (par—$63,500,000) (See Notes 5 and 10)</w:t>
            </w:r>
          </w:p>
        </w:tc>
        <w:tc>
          <w:tcPr>
            <w:tcW w:w="18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62,207,567</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62,158,642</w:t>
            </w:r>
          </w:p>
        </w:tc>
        <w:tc>
          <w:tcPr>
            <w:tcW w:w="60" w:type="dxa"/>
            <w:vAlign w:val="bottom"/>
            <w:shd w:val="clear" w:color="auto" w:fill="CCECFF"/>
          </w:tcPr>
          <w:p>
            <w:pPr>
              <w:spacing w:after="0"/>
              <w:rPr>
                <w:sz w:val="15"/>
                <w:szCs w:val="15"/>
                <w:color w:val="auto"/>
              </w:rPr>
            </w:pPr>
          </w:p>
        </w:tc>
      </w:tr>
      <w:tr>
        <w:trPr>
          <w:trHeight w:val="176"/>
        </w:trPr>
        <w:tc>
          <w:tcPr>
            <w:tcW w:w="7780" w:type="dxa"/>
            <w:vAlign w:val="bottom"/>
          </w:tcPr>
          <w:p>
            <w:pPr>
              <w:ind w:left="20"/>
              <w:spacing w:after="0"/>
              <w:rPr>
                <w:sz w:val="20"/>
                <w:szCs w:val="20"/>
                <w:color w:val="auto"/>
              </w:rPr>
            </w:pPr>
            <w:r>
              <w:rPr>
                <w:rFonts w:ascii="Arial" w:cs="Arial" w:eastAsia="Arial" w:hAnsi="Arial"/>
                <w:sz w:val="14"/>
                <w:szCs w:val="14"/>
                <w:color w:val="auto"/>
              </w:rPr>
              <w:t>Base-management fee payable, net (See Note 3)</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5,108,859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4,580,227</w:t>
            </w:r>
          </w:p>
        </w:tc>
        <w:tc>
          <w:tcPr>
            <w:tcW w:w="60" w:type="dxa"/>
            <w:vAlign w:val="bottom"/>
          </w:tcPr>
          <w:p>
            <w:pPr>
              <w:spacing w:after="0"/>
              <w:rPr>
                <w:sz w:val="15"/>
                <w:szCs w:val="15"/>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Performance based-incentive fee payable (See Note 3)</w:t>
            </w:r>
          </w:p>
        </w:tc>
        <w:tc>
          <w:tcPr>
            <w:tcW w:w="18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2,656,598</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574,728</w:t>
            </w:r>
          </w:p>
        </w:tc>
        <w:tc>
          <w:tcPr>
            <w:tcW w:w="60" w:type="dxa"/>
            <w:vAlign w:val="bottom"/>
            <w:shd w:val="clear" w:color="auto" w:fill="CCECFF"/>
          </w:tcPr>
          <w:p>
            <w:pPr>
              <w:spacing w:after="0"/>
              <w:rPr>
                <w:sz w:val="15"/>
                <w:szCs w:val="15"/>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Interest payable on debt</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4,011,871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4,942,513</w:t>
            </w:r>
          </w:p>
        </w:tc>
        <w:tc>
          <w:tcPr>
            <w:tcW w:w="60" w:type="dxa"/>
            <w:vAlign w:val="bottom"/>
          </w:tcPr>
          <w:p>
            <w:pPr>
              <w:spacing w:after="0"/>
              <w:rPr>
                <w:sz w:val="15"/>
                <w:szCs w:val="15"/>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Deferred tax liability</w:t>
            </w:r>
          </w:p>
        </w:tc>
        <w:tc>
          <w:tcPr>
            <w:tcW w:w="18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5,045,141</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5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Accrued other expenses</w:t>
            </w: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1,216,808</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1,057,660</w:t>
            </w:r>
          </w:p>
        </w:tc>
        <w:tc>
          <w:tcPr>
            <w:tcW w:w="60" w:type="dxa"/>
            <w:vAlign w:val="bottom"/>
          </w:tcPr>
          <w:p>
            <w:pPr>
              <w:spacing w:after="0"/>
              <w:rPr>
                <w:sz w:val="15"/>
                <w:szCs w:val="15"/>
                <w:color w:val="auto"/>
              </w:rPr>
            </w:pPr>
          </w:p>
        </w:tc>
      </w:tr>
      <w:tr>
        <w:trPr>
          <w:trHeight w:val="169"/>
        </w:trPr>
        <w:tc>
          <w:tcPr>
            <w:tcW w:w="7780" w:type="dxa"/>
            <w:vAlign w:val="bottom"/>
            <w:tcBorders>
              <w:bottom w:val="single" w:sz="8" w:color="CCECFF"/>
            </w:tcBorders>
            <w:shd w:val="clear" w:color="auto" w:fill="CCECFF"/>
          </w:tcPr>
          <w:p>
            <w:pPr>
              <w:ind w:left="74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840,199,028</w:t>
            </w:r>
          </w:p>
        </w:tc>
        <w:tc>
          <w:tcPr>
            <w:tcW w:w="24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634,947,929</w:t>
            </w:r>
          </w:p>
        </w:tc>
        <w:tc>
          <w:tcPr>
            <w:tcW w:w="60" w:type="dxa"/>
            <w:vAlign w:val="bottom"/>
            <w:tcBorders>
              <w:bottom w:val="single" w:sz="8" w:color="CCECFF"/>
            </w:tcBorders>
            <w:shd w:val="clear" w:color="auto" w:fill="CCECFF"/>
          </w:tcPr>
          <w:p>
            <w:pPr>
              <w:spacing w:after="0"/>
              <w:rPr>
                <w:sz w:val="14"/>
                <w:szCs w:val="14"/>
                <w:color w:val="auto"/>
              </w:rPr>
            </w:pPr>
          </w:p>
        </w:tc>
      </w:tr>
      <w:tr>
        <w:trPr>
          <w:trHeight w:val="169"/>
        </w:trPr>
        <w:tc>
          <w:tcPr>
            <w:tcW w:w="7780" w:type="dxa"/>
            <w:vAlign w:val="bottom"/>
          </w:tcPr>
          <w:p>
            <w:pPr>
              <w:ind w:left="20"/>
              <w:spacing w:after="0"/>
              <w:rPr>
                <w:sz w:val="20"/>
                <w:szCs w:val="20"/>
                <w:color w:val="auto"/>
              </w:rPr>
            </w:pPr>
            <w:r>
              <w:rPr>
                <w:rFonts w:ascii="Arial" w:cs="Arial" w:eastAsia="Arial" w:hAnsi="Arial"/>
                <w:sz w:val="14"/>
                <w:szCs w:val="14"/>
                <w:color w:val="auto"/>
              </w:rPr>
              <w:t>Commitments and contingencies (See Note 11)</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Net assets</w:t>
            </w:r>
          </w:p>
        </w:tc>
        <w:tc>
          <w:tcPr>
            <w:tcW w:w="180" w:type="dxa"/>
            <w:vAlign w:val="bottom"/>
            <w:shd w:val="clear" w:color="auto" w:fill="CCECFF"/>
          </w:tcPr>
          <w:p>
            <w:pPr>
              <w:spacing w:after="0"/>
              <w:rPr>
                <w:sz w:val="15"/>
                <w:szCs w:val="15"/>
                <w:color w:val="auto"/>
              </w:rPr>
            </w:pPr>
          </w:p>
        </w:tc>
        <w:tc>
          <w:tcPr>
            <w:tcW w:w="14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r>
      <w:tr>
        <w:trPr>
          <w:trHeight w:val="143"/>
        </w:trPr>
        <w:tc>
          <w:tcPr>
            <w:tcW w:w="7780" w:type="dxa"/>
            <w:vAlign w:val="bottom"/>
          </w:tcPr>
          <w:p>
            <w:pPr>
              <w:ind w:left="20"/>
              <w:spacing w:after="0" w:line="143" w:lineRule="exact"/>
              <w:rPr>
                <w:sz w:val="20"/>
                <w:szCs w:val="20"/>
                <w:color w:val="auto"/>
              </w:rPr>
            </w:pPr>
            <w:r>
              <w:rPr>
                <w:rFonts w:ascii="Arial" w:cs="Arial" w:eastAsia="Arial" w:hAnsi="Arial"/>
                <w:sz w:val="14"/>
                <w:szCs w:val="14"/>
                <w:color w:val="auto"/>
              </w:rPr>
              <w:t>Common stock, 67,045,105 shares issued and outstanding</w:t>
            </w: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1"/>
        </w:trPr>
        <w:tc>
          <w:tcPr>
            <w:tcW w:w="7780" w:type="dxa"/>
            <w:vAlign w:val="bottom"/>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67,045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67,045</w:t>
            </w:r>
          </w:p>
        </w:tc>
        <w:tc>
          <w:tcPr>
            <w:tcW w:w="60" w:type="dxa"/>
            <w:vAlign w:val="bottom"/>
          </w:tcPr>
          <w:p>
            <w:pPr>
              <w:spacing w:after="0"/>
              <w:rPr>
                <w:sz w:val="15"/>
                <w:szCs w:val="15"/>
                <w:color w:val="auto"/>
              </w:rPr>
            </w:pPr>
          </w:p>
        </w:tc>
      </w:tr>
      <w:tr>
        <w:trPr>
          <w:trHeight w:val="176"/>
        </w:trPr>
        <w:tc>
          <w:tcPr>
            <w:tcW w:w="7780" w:type="dxa"/>
            <w:vAlign w:val="bottom"/>
            <w:shd w:val="clear" w:color="auto" w:fill="CCECFF"/>
          </w:tcPr>
          <w:p>
            <w:pPr>
              <w:ind w:left="20"/>
              <w:spacing w:after="0"/>
              <w:rPr>
                <w:sz w:val="20"/>
                <w:szCs w:val="20"/>
                <w:color w:val="auto"/>
              </w:rPr>
            </w:pPr>
            <w:r>
              <w:rPr>
                <w:rFonts w:ascii="Arial" w:cs="Arial" w:eastAsia="Arial" w:hAnsi="Arial"/>
                <w:sz w:val="14"/>
                <w:szCs w:val="14"/>
                <w:color w:val="auto"/>
              </w:rPr>
              <w:t>Paid-in capital in excess of par value</w:t>
            </w:r>
          </w:p>
        </w:tc>
        <w:tc>
          <w:tcPr>
            <w:tcW w:w="180" w:type="dxa"/>
            <w:vAlign w:val="bottom"/>
            <w:shd w:val="clear" w:color="auto" w:fill="CCECFF"/>
          </w:tcPr>
          <w:p>
            <w:pPr>
              <w:spacing w:after="0"/>
              <w:rPr>
                <w:sz w:val="15"/>
                <w:szCs w:val="15"/>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786,992,974</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786,992,974</w:t>
            </w:r>
          </w:p>
        </w:tc>
        <w:tc>
          <w:tcPr>
            <w:tcW w:w="60" w:type="dxa"/>
            <w:vAlign w:val="bottom"/>
            <w:shd w:val="clear" w:color="auto" w:fill="CCECFF"/>
          </w:tcPr>
          <w:p>
            <w:pPr>
              <w:spacing w:after="0"/>
              <w:rPr>
                <w:sz w:val="15"/>
                <w:szCs w:val="15"/>
                <w:color w:val="auto"/>
              </w:rPr>
            </w:pPr>
          </w:p>
        </w:tc>
      </w:tr>
      <w:tr>
        <w:trPr>
          <w:trHeight w:val="175"/>
        </w:trPr>
        <w:tc>
          <w:tcPr>
            <w:tcW w:w="778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15"/>
                <w:szCs w:val="15"/>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4"/>
                <w:szCs w:val="14"/>
                <w:color w:val="auto"/>
              </w:rPr>
              <w:t>(109,450,628 )</w:t>
            </w:r>
          </w:p>
        </w:tc>
        <w:tc>
          <w:tcPr>
            <w:tcW w:w="14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(126,915,912 )</w:t>
            </w:r>
          </w:p>
        </w:tc>
      </w:tr>
      <w:tr>
        <w:trPr>
          <w:trHeight w:val="169"/>
        </w:trPr>
        <w:tc>
          <w:tcPr>
            <w:tcW w:w="7780" w:type="dxa"/>
            <w:vAlign w:val="bottom"/>
            <w:tcBorders>
              <w:bottom w:val="single" w:sz="8" w:color="CCECFF"/>
            </w:tcBorders>
            <w:shd w:val="clear" w:color="auto" w:fill="CCECFF"/>
          </w:tcPr>
          <w:p>
            <w:pPr>
              <w:ind w:left="740"/>
              <w:spacing w:after="0"/>
              <w:rPr>
                <w:sz w:val="20"/>
                <w:szCs w:val="20"/>
                <w:color w:val="auto"/>
              </w:rPr>
            </w:pPr>
            <w:r>
              <w:rPr>
                <w:rFonts w:ascii="Arial" w:cs="Arial" w:eastAsia="Arial" w:hAnsi="Arial"/>
                <w:sz w:val="14"/>
                <w:szCs w:val="14"/>
                <w:b w:val="1"/>
                <w:bCs w:val="1"/>
                <w:color w:val="auto"/>
              </w:rPr>
              <w:t>Total net assets</w:t>
            </w:r>
          </w:p>
        </w:tc>
        <w:tc>
          <w:tcPr>
            <w:tcW w:w="180" w:type="dxa"/>
            <w:vAlign w:val="bottom"/>
            <w:tcBorders>
              <w:top w:val="single" w:sz="8" w:color="auto"/>
              <w:bottom w:val="single" w:sz="8" w:color="auto"/>
            </w:tcBorders>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677,609,391</w:t>
            </w:r>
          </w:p>
        </w:tc>
        <w:tc>
          <w:tcPr>
            <w:tcW w:w="24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660,144,107</w:t>
            </w:r>
          </w:p>
        </w:tc>
        <w:tc>
          <w:tcPr>
            <w:tcW w:w="60" w:type="dxa"/>
            <w:vAlign w:val="bottom"/>
            <w:tcBorders>
              <w:bottom w:val="single" w:sz="8" w:color="CCECFF"/>
            </w:tcBorders>
            <w:shd w:val="clear" w:color="auto" w:fill="CCECFF"/>
          </w:tcPr>
          <w:p>
            <w:pPr>
              <w:spacing w:after="0"/>
              <w:rPr>
                <w:sz w:val="14"/>
                <w:szCs w:val="14"/>
                <w:color w:val="auto"/>
              </w:rPr>
            </w:pPr>
          </w:p>
        </w:tc>
      </w:tr>
      <w:tr>
        <w:trPr>
          <w:trHeight w:val="169"/>
        </w:trPr>
        <w:tc>
          <w:tcPr>
            <w:tcW w:w="7780" w:type="dxa"/>
            <w:vAlign w:val="bottom"/>
          </w:tcPr>
          <w:p>
            <w:pPr>
              <w:ind w:left="74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1,517,808,419</w:t>
            </w:r>
          </w:p>
        </w:tc>
        <w:tc>
          <w:tcPr>
            <w:tcW w:w="24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1,295,092,036</w:t>
            </w:r>
          </w:p>
        </w:tc>
        <w:tc>
          <w:tcPr>
            <w:tcW w:w="60" w:type="dxa"/>
            <w:vAlign w:val="bottom"/>
          </w:tcPr>
          <w:p>
            <w:pPr>
              <w:spacing w:after="0"/>
              <w:rPr>
                <w:sz w:val="14"/>
                <w:szCs w:val="14"/>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780" w:type="dxa"/>
            <w:vAlign w:val="bottom"/>
            <w:tcBorders>
              <w:bottom w:val="single" w:sz="8" w:color="CCECFF"/>
            </w:tcBorders>
            <w:shd w:val="clear" w:color="auto" w:fill="CCECFF"/>
          </w:tcPr>
          <w:p>
            <w:pPr>
              <w:ind w:left="20"/>
              <w:spacing w:after="0" w:line="155" w:lineRule="exact"/>
              <w:rPr>
                <w:sz w:val="20"/>
                <w:szCs w:val="20"/>
                <w:color w:val="auto"/>
              </w:rPr>
            </w:pPr>
            <w:r>
              <w:rPr>
                <w:rFonts w:ascii="Arial" w:cs="Arial" w:eastAsia="Arial" w:hAnsi="Arial"/>
                <w:sz w:val="14"/>
                <w:szCs w:val="14"/>
                <w:b w:val="1"/>
                <w:bCs w:val="1"/>
                <w:color w:val="auto"/>
              </w:rPr>
              <w:t>Net asset value per share</w:t>
            </w:r>
          </w:p>
        </w:tc>
        <w:tc>
          <w:tcPr>
            <w:tcW w:w="180" w:type="dxa"/>
            <w:vAlign w:val="bottom"/>
            <w:tcBorders>
              <w:bottom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10.11</w:t>
            </w:r>
          </w:p>
        </w:tc>
        <w:tc>
          <w:tcPr>
            <w:tcW w:w="24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9.85</w:t>
            </w:r>
          </w:p>
        </w:tc>
        <w:tc>
          <w:tcPr>
            <w:tcW w:w="60" w:type="dxa"/>
            <w:vAlign w:val="bottom"/>
            <w:tcBorders>
              <w:bottom w:val="single" w:sz="8" w:color="CCECFF"/>
            </w:tcBorders>
            <w:shd w:val="clear" w:color="auto" w:fill="CCEC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-3322320</wp:posOffset>
            </wp:positionV>
            <wp:extent cx="431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-3322320</wp:posOffset>
            </wp:positionV>
            <wp:extent cx="431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-2636520</wp:posOffset>
            </wp:positionV>
            <wp:extent cx="431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-2636520</wp:posOffset>
            </wp:positionV>
            <wp:extent cx="431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-1059180</wp:posOffset>
            </wp:positionV>
            <wp:extent cx="431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-1059180</wp:posOffset>
            </wp:positionV>
            <wp:extent cx="431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-279400</wp:posOffset>
            </wp:positionV>
            <wp:extent cx="431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-279400</wp:posOffset>
            </wp:positionV>
            <wp:extent cx="431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431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431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 December 31,</w:t>
            </w:r>
          </w:p>
        </w:tc>
        <w:tc>
          <w:tcPr>
            <w:tcW w:w="60" w:type="dxa"/>
            <w:vAlign w:val="bottom"/>
          </w:tcPr>
          <w:p>
            <w:pPr>
              <w:spacing w:after="0"/>
              <w:rPr>
                <w:sz w:val="16"/>
                <w:szCs w:val="16"/>
                <w:color w:val="auto"/>
              </w:rPr>
            </w:pPr>
          </w:p>
        </w:tc>
      </w:tr>
      <w:tr>
        <w:trPr>
          <w:trHeight w:val="169"/>
        </w:trPr>
        <w:tc>
          <w:tcPr>
            <w:tcW w:w="8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69"/>
        </w:trPr>
        <w:tc>
          <w:tcPr>
            <w:tcW w:w="814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Investment income:</w:t>
            </w:r>
          </w:p>
        </w:tc>
        <w:tc>
          <w:tcPr>
            <w:tcW w:w="26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r>
      <w:tr>
        <w:trPr>
          <w:trHeight w:val="176"/>
        </w:trPr>
        <w:tc>
          <w:tcPr>
            <w:tcW w:w="8140" w:type="dxa"/>
            <w:vAlign w:val="bottom"/>
          </w:tcPr>
          <w:p>
            <w:pPr>
              <w:ind w:left="20"/>
              <w:spacing w:after="0"/>
              <w:rPr>
                <w:sz w:val="20"/>
                <w:szCs w:val="20"/>
                <w:color w:val="auto"/>
              </w:rPr>
            </w:pPr>
            <w:r>
              <w:rPr>
                <w:rFonts w:ascii="Arial" w:cs="Arial" w:eastAsia="Arial" w:hAnsi="Arial"/>
                <w:sz w:val="14"/>
                <w:szCs w:val="14"/>
                <w:color w:val="auto"/>
              </w:rPr>
              <w:t>From non-controlled, non-affiliated investments:</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814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Interest</w:t>
            </w:r>
          </w:p>
        </w:tc>
        <w:tc>
          <w:tcPr>
            <w:tcW w:w="26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15,540,240</w:t>
            </w:r>
          </w:p>
        </w:tc>
        <w:tc>
          <w:tcPr>
            <w:tcW w:w="56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11,432,511</w:t>
            </w:r>
          </w:p>
        </w:tc>
        <w:tc>
          <w:tcPr>
            <w:tcW w:w="60" w:type="dxa"/>
            <w:vAlign w:val="bottom"/>
            <w:shd w:val="clear" w:color="auto" w:fill="CCECFF"/>
          </w:tcPr>
          <w:p>
            <w:pPr>
              <w:spacing w:after="0"/>
              <w:rPr>
                <w:sz w:val="15"/>
                <w:szCs w:val="15"/>
                <w:color w:val="auto"/>
              </w:rPr>
            </w:pPr>
          </w:p>
        </w:tc>
      </w:tr>
      <w:tr>
        <w:trPr>
          <w:trHeight w:val="176"/>
        </w:trPr>
        <w:tc>
          <w:tcPr>
            <w:tcW w:w="8140" w:type="dxa"/>
            <w:vAlign w:val="bottom"/>
          </w:tcPr>
          <w:p>
            <w:pPr>
              <w:ind w:left="200"/>
              <w:spacing w:after="0"/>
              <w:rPr>
                <w:sz w:val="20"/>
                <w:szCs w:val="20"/>
                <w:color w:val="auto"/>
              </w:rPr>
            </w:pPr>
            <w:r>
              <w:rPr>
                <w:rFonts w:ascii="Arial" w:cs="Arial" w:eastAsia="Arial" w:hAnsi="Arial"/>
                <w:sz w:val="14"/>
                <w:szCs w:val="14"/>
                <w:color w:val="auto"/>
              </w:rPr>
              <w:t>Payment-in-kind</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2,410,294</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1,458,798</w:t>
            </w:r>
          </w:p>
        </w:tc>
        <w:tc>
          <w:tcPr>
            <w:tcW w:w="60" w:type="dxa"/>
            <w:vAlign w:val="bottom"/>
          </w:tcPr>
          <w:p>
            <w:pPr>
              <w:spacing w:after="0"/>
              <w:rPr>
                <w:sz w:val="15"/>
                <w:szCs w:val="15"/>
                <w:color w:val="auto"/>
              </w:rPr>
            </w:pPr>
          </w:p>
        </w:tc>
      </w:tr>
      <w:tr>
        <w:trPr>
          <w:trHeight w:val="175"/>
        </w:trPr>
        <w:tc>
          <w:tcPr>
            <w:tcW w:w="8140" w:type="dxa"/>
            <w:vAlign w:val="bottom"/>
            <w:shd w:val="clear" w:color="auto" w:fill="CCECFF"/>
          </w:tcPr>
          <w:p>
            <w:pPr>
              <w:ind w:left="200"/>
              <w:spacing w:after="0"/>
              <w:rPr>
                <w:sz w:val="20"/>
                <w:szCs w:val="20"/>
                <w:color w:val="auto"/>
              </w:rPr>
            </w:pPr>
            <w:r>
              <w:rPr>
                <w:rFonts w:ascii="Arial" w:cs="Arial" w:eastAsia="Arial" w:hAnsi="Arial"/>
                <w:sz w:val="14"/>
                <w:szCs w:val="14"/>
                <w:color w:val="auto"/>
              </w:rPr>
              <w:t>Other income</w:t>
            </w:r>
          </w:p>
        </w:tc>
        <w:tc>
          <w:tcPr>
            <w:tcW w:w="260" w:type="dxa"/>
            <w:vAlign w:val="bottom"/>
            <w:shd w:val="clear" w:color="auto" w:fill="CCECFF"/>
          </w:tcPr>
          <w:p>
            <w:pPr>
              <w:spacing w:after="0"/>
              <w:rPr>
                <w:sz w:val="15"/>
                <w:szCs w:val="15"/>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4,190,708</w:t>
            </w:r>
          </w:p>
        </w:tc>
        <w:tc>
          <w:tcPr>
            <w:tcW w:w="2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481,125</w:t>
            </w:r>
          </w:p>
        </w:tc>
        <w:tc>
          <w:tcPr>
            <w:tcW w:w="60" w:type="dxa"/>
            <w:vAlign w:val="bottom"/>
            <w:shd w:val="clear" w:color="auto" w:fill="CCECFF"/>
          </w:tcPr>
          <w:p>
            <w:pPr>
              <w:spacing w:after="0"/>
              <w:rPr>
                <w:sz w:val="15"/>
                <w:szCs w:val="15"/>
                <w:color w:val="auto"/>
              </w:rPr>
            </w:pPr>
          </w:p>
        </w:tc>
      </w:tr>
      <w:tr>
        <w:trPr>
          <w:trHeight w:val="176"/>
        </w:trPr>
        <w:tc>
          <w:tcPr>
            <w:tcW w:w="8140" w:type="dxa"/>
            <w:vAlign w:val="bottom"/>
          </w:tcPr>
          <w:p>
            <w:pPr>
              <w:ind w:left="20"/>
              <w:spacing w:after="0"/>
              <w:rPr>
                <w:sz w:val="20"/>
                <w:szCs w:val="20"/>
                <w:color w:val="auto"/>
              </w:rPr>
            </w:pPr>
            <w:r>
              <w:rPr>
                <w:rFonts w:ascii="Arial" w:cs="Arial" w:eastAsia="Arial" w:hAnsi="Arial"/>
                <w:sz w:val="14"/>
                <w:szCs w:val="14"/>
                <w:color w:val="auto"/>
              </w:rPr>
              <w:t>From non-controlled, affiliated investments:</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8140" w:type="dxa"/>
            <w:vAlign w:val="bottom"/>
            <w:shd w:val="clear" w:color="auto" w:fill="CCECFF"/>
          </w:tcPr>
          <w:p>
            <w:pPr>
              <w:ind w:left="200"/>
              <w:spacing w:after="0"/>
              <w:rPr>
                <w:sz w:val="20"/>
                <w:szCs w:val="20"/>
                <w:color w:val="auto"/>
              </w:rPr>
            </w:pPr>
            <w:r>
              <w:rPr>
                <w:rFonts w:ascii="Arial" w:cs="Arial" w:eastAsia="Arial" w:hAnsi="Arial"/>
                <w:sz w:val="14"/>
                <w:szCs w:val="14"/>
                <w:color w:val="auto"/>
              </w:rPr>
              <w:t>Payment-in-kind</w:t>
            </w:r>
          </w:p>
        </w:tc>
        <w:tc>
          <w:tcPr>
            <w:tcW w:w="260" w:type="dxa"/>
            <w:vAlign w:val="bottom"/>
            <w:shd w:val="clear" w:color="auto" w:fill="CCECFF"/>
          </w:tcPr>
          <w:p>
            <w:pPr>
              <w:spacing w:after="0"/>
              <w:rPr>
                <w:sz w:val="15"/>
                <w:szCs w:val="15"/>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CFF"/>
          </w:tcPr>
          <w:p>
            <w:pPr>
              <w:spacing w:after="0"/>
              <w:rPr>
                <w:sz w:val="15"/>
                <w:szCs w:val="15"/>
                <w:color w:val="auto"/>
              </w:rPr>
            </w:pPr>
          </w:p>
        </w:tc>
      </w:tr>
      <w:tr>
        <w:trPr>
          <w:trHeight w:val="175"/>
        </w:trPr>
        <w:tc>
          <w:tcPr>
            <w:tcW w:w="8140" w:type="dxa"/>
            <w:vAlign w:val="bottom"/>
          </w:tcPr>
          <w:p>
            <w:pPr>
              <w:ind w:left="20"/>
              <w:spacing w:after="0"/>
              <w:rPr>
                <w:sz w:val="20"/>
                <w:szCs w:val="20"/>
                <w:color w:val="auto"/>
              </w:rPr>
            </w:pPr>
            <w:r>
              <w:rPr>
                <w:rFonts w:ascii="Arial" w:cs="Arial" w:eastAsia="Arial" w:hAnsi="Arial"/>
                <w:sz w:val="14"/>
                <w:szCs w:val="14"/>
                <w:color w:val="auto"/>
              </w:rPr>
              <w:t>From controlled, affiliated investments:</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814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Interest</w:t>
            </w:r>
          </w:p>
        </w:tc>
        <w:tc>
          <w:tcPr>
            <w:tcW w:w="260" w:type="dxa"/>
            <w:vAlign w:val="bottom"/>
            <w:shd w:val="clear" w:color="auto" w:fill="CCECFF"/>
          </w:tcPr>
          <w:p>
            <w:pPr>
              <w:spacing w:after="0"/>
              <w:rPr>
                <w:sz w:val="15"/>
                <w:szCs w:val="15"/>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2,266,807</w:t>
            </w:r>
          </w:p>
        </w:tc>
        <w:tc>
          <w:tcPr>
            <w:tcW w:w="2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2,276,776</w:t>
            </w:r>
          </w:p>
        </w:tc>
        <w:tc>
          <w:tcPr>
            <w:tcW w:w="60" w:type="dxa"/>
            <w:vAlign w:val="bottom"/>
            <w:shd w:val="clear" w:color="auto" w:fill="CCECFF"/>
          </w:tcPr>
          <w:p>
            <w:pPr>
              <w:spacing w:after="0"/>
              <w:rPr>
                <w:sz w:val="15"/>
                <w:szCs w:val="15"/>
                <w:color w:val="auto"/>
              </w:rPr>
            </w:pPr>
          </w:p>
        </w:tc>
      </w:tr>
      <w:tr>
        <w:trPr>
          <w:trHeight w:val="175"/>
        </w:trPr>
        <w:tc>
          <w:tcPr>
            <w:tcW w:w="8140" w:type="dxa"/>
            <w:vAlign w:val="bottom"/>
          </w:tcPr>
          <w:p>
            <w:pPr>
              <w:ind w:left="200"/>
              <w:spacing w:after="0"/>
              <w:rPr>
                <w:sz w:val="20"/>
                <w:szCs w:val="20"/>
                <w:color w:val="auto"/>
              </w:rPr>
            </w:pPr>
            <w:r>
              <w:rPr>
                <w:rFonts w:ascii="Arial" w:cs="Arial" w:eastAsia="Arial" w:hAnsi="Arial"/>
                <w:sz w:val="14"/>
                <w:szCs w:val="14"/>
                <w:color w:val="auto"/>
              </w:rPr>
              <w:t>Payment-in-kind</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2,126,309</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1,562,250</w:t>
            </w:r>
          </w:p>
        </w:tc>
        <w:tc>
          <w:tcPr>
            <w:tcW w:w="60" w:type="dxa"/>
            <w:vAlign w:val="bottom"/>
          </w:tcPr>
          <w:p>
            <w:pPr>
              <w:spacing w:after="0"/>
              <w:rPr>
                <w:sz w:val="15"/>
                <w:szCs w:val="15"/>
                <w:color w:val="auto"/>
              </w:rPr>
            </w:pPr>
          </w:p>
        </w:tc>
      </w:tr>
      <w:tr>
        <w:trPr>
          <w:trHeight w:val="176"/>
        </w:trPr>
        <w:tc>
          <w:tcPr>
            <w:tcW w:w="81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Dividend income</w:t>
            </w:r>
          </w:p>
        </w:tc>
        <w:tc>
          <w:tcPr>
            <w:tcW w:w="260" w:type="dxa"/>
            <w:vAlign w:val="bottom"/>
            <w:tcBorders>
              <w:bottom w:val="single" w:sz="8" w:color="auto"/>
            </w:tcBorders>
            <w:shd w:val="clear" w:color="auto" w:fill="CCECFF"/>
          </w:tcPr>
          <w:p>
            <w:pPr>
              <w:spacing w:after="0"/>
              <w:rPr>
                <w:sz w:val="15"/>
                <w:szCs w:val="15"/>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1,815,000</w:t>
            </w:r>
          </w:p>
        </w:tc>
        <w:tc>
          <w:tcPr>
            <w:tcW w:w="240" w:type="dxa"/>
            <w:vAlign w:val="bottom"/>
            <w:tcBorders>
              <w:bottom w:val="single" w:sz="8" w:color="CCECFF"/>
            </w:tcBorders>
            <w:shd w:val="clear" w:color="auto" w:fill="CCECFF"/>
          </w:tcPr>
          <w:p>
            <w:pPr>
              <w:spacing w:after="0"/>
              <w:rPr>
                <w:sz w:val="15"/>
                <w:szCs w:val="15"/>
                <w:color w:val="auto"/>
              </w:rPr>
            </w:pPr>
          </w:p>
        </w:tc>
        <w:tc>
          <w:tcPr>
            <w:tcW w:w="32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1,521,000</w:t>
            </w:r>
          </w:p>
        </w:tc>
        <w:tc>
          <w:tcPr>
            <w:tcW w:w="60" w:type="dxa"/>
            <w:vAlign w:val="bottom"/>
            <w:tcBorders>
              <w:bottom w:val="single" w:sz="8" w:color="CCECFF"/>
            </w:tcBorders>
            <w:shd w:val="clear" w:color="auto" w:fill="CCECFF"/>
          </w:tcPr>
          <w:p>
            <w:pPr>
              <w:spacing w:after="0"/>
              <w:rPr>
                <w:sz w:val="15"/>
                <w:szCs w:val="15"/>
                <w:color w:val="auto"/>
              </w:rPr>
            </w:pPr>
          </w:p>
        </w:tc>
      </w:tr>
      <w:tr>
        <w:trPr>
          <w:trHeight w:val="169"/>
        </w:trPr>
        <w:tc>
          <w:tcPr>
            <w:tcW w:w="8140" w:type="dxa"/>
            <w:vAlign w:val="bottom"/>
          </w:tcPr>
          <w:p>
            <w:pPr>
              <w:ind w:left="200"/>
              <w:spacing w:after="0"/>
              <w:rPr>
                <w:sz w:val="20"/>
                <w:szCs w:val="20"/>
                <w:color w:val="auto"/>
              </w:rPr>
            </w:pPr>
            <w:r>
              <w:rPr>
                <w:rFonts w:ascii="Arial" w:cs="Arial" w:eastAsia="Arial" w:hAnsi="Arial"/>
                <w:sz w:val="14"/>
                <w:szCs w:val="14"/>
                <w:b w:val="1"/>
                <w:bCs w:val="1"/>
                <w:color w:val="auto"/>
              </w:rPr>
              <w:t>Total investment income</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28,349,358</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18,732,460</w:t>
            </w:r>
          </w:p>
        </w:tc>
        <w:tc>
          <w:tcPr>
            <w:tcW w:w="60" w:type="dxa"/>
            <w:vAlign w:val="bottom"/>
          </w:tcPr>
          <w:p>
            <w:pPr>
              <w:spacing w:after="0"/>
              <w:rPr>
                <w:sz w:val="14"/>
                <w:szCs w:val="14"/>
                <w:color w:val="auto"/>
              </w:rPr>
            </w:pPr>
          </w:p>
        </w:tc>
      </w:tr>
      <w:tr>
        <w:trPr>
          <w:trHeight w:val="169"/>
        </w:trPr>
        <w:tc>
          <w:tcPr>
            <w:tcW w:w="814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Expenses:</w:t>
            </w:r>
          </w:p>
        </w:tc>
        <w:tc>
          <w:tcPr>
            <w:tcW w:w="26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r>
      <w:tr>
        <w:trPr>
          <w:trHeight w:val="176"/>
        </w:trPr>
        <w:tc>
          <w:tcPr>
            <w:tcW w:w="8140" w:type="dxa"/>
            <w:vAlign w:val="bottom"/>
          </w:tcPr>
          <w:p>
            <w:pPr>
              <w:ind w:left="200"/>
              <w:spacing w:after="0"/>
              <w:rPr>
                <w:sz w:val="20"/>
                <w:szCs w:val="20"/>
                <w:color w:val="auto"/>
              </w:rPr>
            </w:pPr>
            <w:r>
              <w:rPr>
                <w:rFonts w:ascii="Arial" w:cs="Arial" w:eastAsia="Arial" w:hAnsi="Arial"/>
                <w:sz w:val="14"/>
                <w:szCs w:val="14"/>
                <w:color w:val="auto"/>
              </w:rPr>
              <w:t>Base management fee (See Note 3)</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5,108,859</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4,114,428</w:t>
            </w:r>
          </w:p>
        </w:tc>
        <w:tc>
          <w:tcPr>
            <w:tcW w:w="60" w:type="dxa"/>
            <w:vAlign w:val="bottom"/>
          </w:tcPr>
          <w:p>
            <w:pPr>
              <w:spacing w:after="0"/>
              <w:rPr>
                <w:sz w:val="15"/>
                <w:szCs w:val="15"/>
                <w:color w:val="auto"/>
              </w:rPr>
            </w:pPr>
          </w:p>
        </w:tc>
      </w:tr>
      <w:tr>
        <w:trPr>
          <w:trHeight w:val="176"/>
        </w:trPr>
        <w:tc>
          <w:tcPr>
            <w:tcW w:w="8140" w:type="dxa"/>
            <w:vAlign w:val="bottom"/>
            <w:shd w:val="clear" w:color="auto" w:fill="CCECFF"/>
          </w:tcPr>
          <w:p>
            <w:pPr>
              <w:ind w:left="200"/>
              <w:spacing w:after="0"/>
              <w:rPr>
                <w:sz w:val="20"/>
                <w:szCs w:val="20"/>
                <w:color w:val="auto"/>
              </w:rPr>
            </w:pPr>
            <w:r>
              <w:rPr>
                <w:rFonts w:ascii="Arial" w:cs="Arial" w:eastAsia="Arial" w:hAnsi="Arial"/>
                <w:sz w:val="14"/>
                <w:szCs w:val="14"/>
                <w:color w:val="auto"/>
              </w:rPr>
              <w:t>Performance-based incentive fee (See Note 3)</w:t>
            </w:r>
          </w:p>
        </w:tc>
        <w:tc>
          <w:tcPr>
            <w:tcW w:w="260" w:type="dxa"/>
            <w:vAlign w:val="bottom"/>
            <w:shd w:val="clear" w:color="auto" w:fill="CCECFF"/>
          </w:tcPr>
          <w:p>
            <w:pPr>
              <w:spacing w:after="0"/>
              <w:rPr>
                <w:sz w:val="15"/>
                <w:szCs w:val="15"/>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2,656,598</w:t>
            </w:r>
          </w:p>
        </w:tc>
        <w:tc>
          <w:tcPr>
            <w:tcW w:w="2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CFF"/>
          </w:tcPr>
          <w:p>
            <w:pPr>
              <w:spacing w:after="0"/>
              <w:rPr>
                <w:sz w:val="15"/>
                <w:szCs w:val="15"/>
                <w:color w:val="auto"/>
              </w:rPr>
            </w:pPr>
          </w:p>
        </w:tc>
      </w:tr>
      <w:tr>
        <w:trPr>
          <w:trHeight w:val="175"/>
        </w:trPr>
        <w:tc>
          <w:tcPr>
            <w:tcW w:w="8140" w:type="dxa"/>
            <w:vAlign w:val="bottom"/>
          </w:tcPr>
          <w:p>
            <w:pPr>
              <w:ind w:left="200"/>
              <w:spacing w:after="0"/>
              <w:rPr>
                <w:sz w:val="20"/>
                <w:szCs w:val="20"/>
                <w:color w:val="auto"/>
              </w:rPr>
            </w:pPr>
            <w:r>
              <w:rPr>
                <w:rFonts w:ascii="Arial" w:cs="Arial" w:eastAsia="Arial" w:hAnsi="Arial"/>
                <w:sz w:val="14"/>
                <w:szCs w:val="14"/>
                <w:color w:val="auto"/>
              </w:rPr>
              <w:t>Interest and expenses on debt (See Note 10)</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6,886,467</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5,004,131</w:t>
            </w:r>
          </w:p>
        </w:tc>
        <w:tc>
          <w:tcPr>
            <w:tcW w:w="60" w:type="dxa"/>
            <w:vAlign w:val="bottom"/>
          </w:tcPr>
          <w:p>
            <w:pPr>
              <w:spacing w:after="0"/>
              <w:rPr>
                <w:sz w:val="15"/>
                <w:szCs w:val="15"/>
                <w:color w:val="auto"/>
              </w:rPr>
            </w:pPr>
          </w:p>
        </w:tc>
      </w:tr>
      <w:tr>
        <w:trPr>
          <w:trHeight w:val="176"/>
        </w:trPr>
        <w:tc>
          <w:tcPr>
            <w:tcW w:w="8140" w:type="dxa"/>
            <w:vAlign w:val="bottom"/>
            <w:shd w:val="clear" w:color="auto" w:fill="CCECFF"/>
          </w:tcPr>
          <w:p>
            <w:pPr>
              <w:ind w:left="200"/>
              <w:spacing w:after="0"/>
              <w:rPr>
                <w:sz w:val="20"/>
                <w:szCs w:val="20"/>
                <w:color w:val="auto"/>
              </w:rPr>
            </w:pPr>
            <w:r>
              <w:rPr>
                <w:rFonts w:ascii="Arial" w:cs="Arial" w:eastAsia="Arial" w:hAnsi="Arial"/>
                <w:sz w:val="14"/>
                <w:szCs w:val="14"/>
                <w:color w:val="auto"/>
              </w:rPr>
              <w:t>Administrative services expenses (See Note 3)</w:t>
            </w:r>
          </w:p>
        </w:tc>
        <w:tc>
          <w:tcPr>
            <w:tcW w:w="260" w:type="dxa"/>
            <w:vAlign w:val="bottom"/>
            <w:shd w:val="clear" w:color="auto" w:fill="CCECFF"/>
          </w:tcPr>
          <w:p>
            <w:pPr>
              <w:spacing w:after="0"/>
              <w:rPr>
                <w:sz w:val="15"/>
                <w:szCs w:val="15"/>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w:t>
            </w:r>
          </w:p>
        </w:tc>
        <w:tc>
          <w:tcPr>
            <w:tcW w:w="2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505,020</w:t>
            </w:r>
          </w:p>
        </w:tc>
        <w:tc>
          <w:tcPr>
            <w:tcW w:w="60" w:type="dxa"/>
            <w:vAlign w:val="bottom"/>
            <w:shd w:val="clear" w:color="auto" w:fill="CCECFF"/>
          </w:tcPr>
          <w:p>
            <w:pPr>
              <w:spacing w:after="0"/>
              <w:rPr>
                <w:sz w:val="15"/>
                <w:szCs w:val="15"/>
                <w:color w:val="auto"/>
              </w:rPr>
            </w:pPr>
          </w:p>
        </w:tc>
      </w:tr>
      <w:tr>
        <w:trPr>
          <w:trHeight w:val="175"/>
        </w:trPr>
        <w:tc>
          <w:tcPr>
            <w:tcW w:w="8140" w:type="dxa"/>
            <w:vAlign w:val="bottom"/>
          </w:tcPr>
          <w:p>
            <w:pPr>
              <w:ind w:left="200"/>
              <w:spacing w:after="0"/>
              <w:rPr>
                <w:sz w:val="20"/>
                <w:szCs w:val="20"/>
                <w:color w:val="auto"/>
              </w:rPr>
            </w:pPr>
            <w:r>
              <w:rPr>
                <w:rFonts w:ascii="Arial" w:cs="Arial" w:eastAsia="Arial" w:hAnsi="Arial"/>
                <w:sz w:val="14"/>
                <w:szCs w:val="14"/>
                <w:color w:val="auto"/>
              </w:rPr>
              <w:t>Other general and administrative expenses</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723,100</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643,483</w:t>
            </w:r>
          </w:p>
        </w:tc>
        <w:tc>
          <w:tcPr>
            <w:tcW w:w="60" w:type="dxa"/>
            <w:vAlign w:val="bottom"/>
          </w:tcPr>
          <w:p>
            <w:pPr>
              <w:spacing w:after="0"/>
              <w:rPr>
                <w:sz w:val="15"/>
                <w:szCs w:val="15"/>
                <w:color w:val="auto"/>
              </w:rPr>
            </w:pPr>
          </w:p>
        </w:tc>
      </w:tr>
      <w:tr>
        <w:trPr>
          <w:trHeight w:val="169"/>
        </w:trPr>
        <w:tc>
          <w:tcPr>
            <w:tcW w:w="81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Expenses before provision for taxes</w:t>
            </w:r>
          </w:p>
        </w:tc>
        <w:tc>
          <w:tcPr>
            <w:tcW w:w="260" w:type="dxa"/>
            <w:vAlign w:val="bottom"/>
            <w:tcBorders>
              <w:bottom w:val="single" w:sz="8" w:color="auto"/>
            </w:tcBorders>
            <w:shd w:val="clear" w:color="auto" w:fill="CCECFF"/>
          </w:tcPr>
          <w:p>
            <w:pPr>
              <w:spacing w:after="0"/>
              <w:rPr>
                <w:sz w:val="14"/>
                <w:szCs w:val="14"/>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15,625,024</w:t>
            </w:r>
          </w:p>
        </w:tc>
        <w:tc>
          <w:tcPr>
            <w:tcW w:w="240" w:type="dxa"/>
            <w:vAlign w:val="bottom"/>
            <w:tcBorders>
              <w:bottom w:val="single" w:sz="8" w:color="CCECFF"/>
            </w:tcBorders>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10,267,062</w:t>
            </w:r>
          </w:p>
        </w:tc>
        <w:tc>
          <w:tcPr>
            <w:tcW w:w="60" w:type="dxa"/>
            <w:vAlign w:val="bottom"/>
            <w:tcBorders>
              <w:bottom w:val="single" w:sz="8" w:color="CCECFF"/>
            </w:tcBorders>
            <w:shd w:val="clear" w:color="auto" w:fill="CCECFF"/>
          </w:tcPr>
          <w:p>
            <w:pPr>
              <w:spacing w:after="0"/>
              <w:rPr>
                <w:sz w:val="14"/>
                <w:szCs w:val="14"/>
                <w:color w:val="auto"/>
              </w:rPr>
            </w:pPr>
          </w:p>
        </w:tc>
      </w:tr>
      <w:tr>
        <w:trPr>
          <w:trHeight w:val="169"/>
        </w:trPr>
        <w:tc>
          <w:tcPr>
            <w:tcW w:w="8140" w:type="dxa"/>
            <w:vAlign w:val="bottom"/>
          </w:tcPr>
          <w:p>
            <w:pPr>
              <w:ind w:left="200"/>
              <w:spacing w:after="0"/>
              <w:rPr>
                <w:sz w:val="20"/>
                <w:szCs w:val="20"/>
                <w:color w:val="auto"/>
              </w:rPr>
            </w:pPr>
            <w:r>
              <w:rPr>
                <w:rFonts w:ascii="Arial" w:cs="Arial" w:eastAsia="Arial" w:hAnsi="Arial"/>
                <w:sz w:val="14"/>
                <w:szCs w:val="14"/>
                <w:color w:val="auto"/>
              </w:rPr>
              <w:t>Provision for taxes</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200,000</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150,000</w:t>
            </w:r>
          </w:p>
        </w:tc>
        <w:tc>
          <w:tcPr>
            <w:tcW w:w="60" w:type="dxa"/>
            <w:vAlign w:val="bottom"/>
          </w:tcPr>
          <w:p>
            <w:pPr>
              <w:spacing w:after="0"/>
              <w:rPr>
                <w:sz w:val="14"/>
                <w:szCs w:val="14"/>
                <w:color w:val="auto"/>
              </w:rPr>
            </w:pPr>
          </w:p>
        </w:tc>
      </w:tr>
      <w:tr>
        <w:trPr>
          <w:trHeight w:val="169"/>
        </w:trPr>
        <w:tc>
          <w:tcPr>
            <w:tcW w:w="81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Net expenses</w:t>
            </w:r>
          </w:p>
        </w:tc>
        <w:tc>
          <w:tcPr>
            <w:tcW w:w="260" w:type="dxa"/>
            <w:vAlign w:val="bottom"/>
            <w:tcBorders>
              <w:bottom w:val="single" w:sz="8" w:color="auto"/>
            </w:tcBorders>
            <w:shd w:val="clear" w:color="auto" w:fill="CCECFF"/>
          </w:tcPr>
          <w:p>
            <w:pPr>
              <w:spacing w:after="0"/>
              <w:rPr>
                <w:sz w:val="14"/>
                <w:szCs w:val="14"/>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15,825,024</w:t>
            </w:r>
          </w:p>
        </w:tc>
        <w:tc>
          <w:tcPr>
            <w:tcW w:w="240" w:type="dxa"/>
            <w:vAlign w:val="bottom"/>
            <w:tcBorders>
              <w:bottom w:val="single" w:sz="8" w:color="CCECFF"/>
            </w:tcBorders>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10,417,062</w:t>
            </w:r>
          </w:p>
        </w:tc>
        <w:tc>
          <w:tcPr>
            <w:tcW w:w="60" w:type="dxa"/>
            <w:vAlign w:val="bottom"/>
            <w:tcBorders>
              <w:bottom w:val="single" w:sz="8" w:color="CCECFF"/>
            </w:tcBorders>
            <w:shd w:val="clear" w:color="auto" w:fill="CCECFF"/>
          </w:tcPr>
          <w:p>
            <w:pPr>
              <w:spacing w:after="0"/>
              <w:rPr>
                <w:sz w:val="14"/>
                <w:szCs w:val="14"/>
                <w:color w:val="auto"/>
              </w:rPr>
            </w:pPr>
          </w:p>
        </w:tc>
      </w:tr>
      <w:tr>
        <w:trPr>
          <w:trHeight w:val="184"/>
        </w:trPr>
        <w:tc>
          <w:tcPr>
            <w:tcW w:w="8140" w:type="dxa"/>
            <w:vAlign w:val="bottom"/>
          </w:tcPr>
          <w:p>
            <w:pPr>
              <w:ind w:left="200"/>
              <w:spacing w:after="0"/>
              <w:rPr>
                <w:sz w:val="20"/>
                <w:szCs w:val="20"/>
                <w:color w:val="auto"/>
              </w:rPr>
            </w:pPr>
            <w:r>
              <w:rPr>
                <w:rFonts w:ascii="Arial" w:cs="Arial" w:eastAsia="Arial" w:hAnsi="Arial"/>
                <w:sz w:val="14"/>
                <w:szCs w:val="14"/>
                <w:b w:val="1"/>
                <w:bCs w:val="1"/>
                <w:color w:val="auto"/>
              </w:rPr>
              <w:t>Net investment income</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12,524,334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8,315,398</w:t>
            </w:r>
          </w:p>
        </w:tc>
        <w:tc>
          <w:tcPr>
            <w:tcW w:w="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-1283335</wp:posOffset>
            </wp:positionV>
            <wp:extent cx="5143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-1283335</wp:posOffset>
            </wp:positionV>
            <wp:extent cx="431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-365760</wp:posOffset>
            </wp:positionV>
            <wp:extent cx="5143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-365760</wp:posOffset>
            </wp:positionV>
            <wp:extent cx="431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-125730</wp:posOffset>
            </wp:positionV>
            <wp:extent cx="5143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-125730</wp:posOffset>
            </wp:positionV>
            <wp:extent cx="431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p>
      <w:pPr>
        <w:ind w:left="20"/>
        <w:spacing w:after="0"/>
        <w:rPr>
          <w:sz w:val="20"/>
          <w:szCs w:val="20"/>
          <w:color w:val="auto"/>
        </w:rPr>
      </w:pPr>
      <w:r>
        <w:rPr>
          <w:rFonts w:ascii="Arial" w:cs="Arial" w:eastAsia="Arial" w:hAnsi="Arial"/>
          <w:sz w:val="14"/>
          <w:szCs w:val="14"/>
          <w:b w:val="1"/>
          <w:bCs w:val="1"/>
          <w:color w:val="auto"/>
        </w:rPr>
        <w:t>Realized and unrealized gain (loss) on investments and debt:</w:t>
      </w:r>
    </w:p>
    <w:p>
      <w:pPr>
        <w:spacing w:after="0" w:line="15" w:lineRule="exact"/>
        <w:rPr>
          <w:sz w:val="20"/>
          <w:szCs w:val="20"/>
          <w:color w:val="auto"/>
        </w:rPr>
      </w:pPr>
    </w:p>
    <w:p>
      <w:pPr>
        <w:jc w:val="center"/>
        <w:ind w:right="4700"/>
        <w:spacing w:after="0"/>
        <w:rPr>
          <w:sz w:val="20"/>
          <w:szCs w:val="20"/>
          <w:color w:val="auto"/>
        </w:rPr>
      </w:pPr>
      <w:r>
        <w:rPr>
          <w:rFonts w:ascii="Arial" w:cs="Arial" w:eastAsia="Arial" w:hAnsi="Arial"/>
          <w:sz w:val="13"/>
          <w:szCs w:val="13"/>
          <w:color w:val="auto"/>
        </w:rPr>
        <w:t>Net realized gain (loss) on investments and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1111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Non-controlled, non-affiliated investments</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Non-controlled and controlled, affiliated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Debt extinguishment</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Net realized loss on investments and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111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change in unrealized appreciation (depreciation) on:</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Non-controlled, non-affiliated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111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color w:val="auto"/>
        </w:rPr>
        <w:t>Non-controlled and controlled, affiliated investments</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Provision for taxes on unrealized appreciation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Debt (appreciation) depreciation (See Notes 5 and 10)</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Net change in unrealized appreciation (depreciation) on investments and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realized and unrealized gain (loss) from investments and debt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increase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increase (decrease) in net assets resulting from operations per common share (See Note 7)</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investment income per common share</w:t>
      </w:r>
    </w:p>
    <w:p>
      <w:pPr>
        <w:spacing w:after="0" w:line="204" w:lineRule="exact"/>
        <w:rPr>
          <w:sz w:val="20"/>
          <w:szCs w:val="20"/>
          <w:color w:val="auto"/>
        </w:rPr>
      </w:pPr>
    </w:p>
    <w:p>
      <w:pPr>
        <w:jc w:val="center"/>
        <w:ind w:left="3700"/>
        <w:spacing w:after="0"/>
        <w:rPr>
          <w:sz w:val="20"/>
          <w:szCs w:val="20"/>
          <w:color w:val="auto"/>
        </w:rPr>
      </w:pPr>
      <w:r>
        <w:rPr>
          <w:rFonts w:ascii="Arial" w:cs="Arial" w:eastAsia="Arial" w:hAnsi="Arial"/>
          <w:sz w:val="13"/>
          <w:szCs w:val="13"/>
          <w:color w:val="auto"/>
        </w:rPr>
        <w:t>SEE NOTES TO CONSOLIDATED FINANCIAL STATEMENTS</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5,201,459</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2,130,958</w:t>
            </w:r>
          </w:p>
        </w:tc>
        <w:tc>
          <w:tcPr>
            <w:tcW w:w="60" w:type="dxa"/>
            <w:vAlign w:val="bottom"/>
          </w:tcPr>
          <w:p>
            <w:pPr>
              <w:spacing w:after="0"/>
              <w:rPr>
                <w:sz w:val="15"/>
                <w:szCs w:val="15"/>
                <w:color w:val="auto"/>
              </w:rPr>
            </w:pPr>
          </w:p>
        </w:tc>
      </w:tr>
      <w:tr>
        <w:trPr>
          <w:trHeight w:val="175"/>
        </w:trPr>
        <w:tc>
          <w:tcPr>
            <w:tcW w:w="400" w:type="dxa"/>
            <w:vAlign w:val="bottom"/>
          </w:tcPr>
          <w:p>
            <w:pPr>
              <w:spacing w:after="0"/>
              <w:rPr>
                <w:sz w:val="15"/>
                <w:szCs w:val="15"/>
                <w:color w:val="auto"/>
              </w:rPr>
            </w:pPr>
          </w:p>
        </w:tc>
        <w:tc>
          <w:tcPr>
            <w:tcW w:w="1260" w:type="dxa"/>
            <w:vAlign w:val="bottom"/>
            <w:gridSpan w:val="2"/>
          </w:tcPr>
          <w:p>
            <w:pPr>
              <w:jc w:val="right"/>
              <w:ind w:right="108"/>
              <w:spacing w:after="0"/>
              <w:rPr>
                <w:sz w:val="20"/>
                <w:szCs w:val="20"/>
                <w:color w:val="auto"/>
              </w:rPr>
            </w:pPr>
            <w:r>
              <w:rPr>
                <w:rFonts w:ascii="Arial" w:cs="Arial" w:eastAsia="Arial" w:hAnsi="Arial"/>
                <w:sz w:val="14"/>
                <w:szCs w:val="14"/>
                <w:color w:val="auto"/>
              </w:rPr>
              <w:t>(31,273,597 )</w:t>
            </w:r>
          </w:p>
        </w:tc>
        <w:tc>
          <w:tcPr>
            <w:tcW w:w="3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(19,708,359 )</w:t>
            </w:r>
          </w:p>
        </w:tc>
      </w:tr>
      <w:tr>
        <w:trPr>
          <w:trHeight w:val="181"/>
        </w:trPr>
        <w:tc>
          <w:tcPr>
            <w:tcW w:w="400" w:type="dxa"/>
            <w:vAlign w:val="bottom"/>
          </w:tcPr>
          <w:p>
            <w:pPr>
              <w:spacing w:after="0"/>
              <w:rPr>
                <w:sz w:val="15"/>
                <w:szCs w:val="15"/>
                <w:color w:val="auto"/>
              </w:rPr>
            </w:pPr>
          </w:p>
        </w:tc>
        <w:tc>
          <w:tcPr>
            <w:tcW w:w="1260" w:type="dxa"/>
            <w:vAlign w:val="bottom"/>
            <w:gridSpan w:val="2"/>
          </w:tcPr>
          <w:p>
            <w:pPr>
              <w:jc w:val="right"/>
              <w:ind w:right="108"/>
              <w:spacing w:after="0"/>
              <w:rPr>
                <w:sz w:val="20"/>
                <w:szCs w:val="20"/>
                <w:color w:val="auto"/>
              </w:rPr>
            </w:pPr>
            <w:r>
              <w:rPr>
                <w:rFonts w:ascii="Arial" w:cs="Arial" w:eastAsia="Arial" w:hAnsi="Arial"/>
                <w:sz w:val="14"/>
                <w:szCs w:val="14"/>
                <w:color w:val="auto"/>
              </w:rPr>
              <w:t>(1,669,298 )</w:t>
            </w:r>
          </w:p>
        </w:tc>
        <w:tc>
          <w:tcPr>
            <w:tcW w:w="380" w:type="dxa"/>
            <w:vAlign w:val="bottom"/>
          </w:tcPr>
          <w:p>
            <w:pPr>
              <w:spacing w:after="0"/>
              <w:rPr>
                <w:sz w:val="15"/>
                <w:szCs w:val="15"/>
                <w:color w:val="auto"/>
              </w:rPr>
            </w:pPr>
          </w:p>
        </w:tc>
        <w:tc>
          <w:tcPr>
            <w:tcW w:w="10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69"/>
        </w:trPr>
        <w:tc>
          <w:tcPr>
            <w:tcW w:w="4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(27,741,436</w:t>
            </w:r>
          </w:p>
        </w:tc>
        <w:tc>
          <w:tcPr>
            <w:tcW w:w="240" w:type="dxa"/>
            <w:vAlign w:val="bottom"/>
          </w:tcPr>
          <w:p>
            <w:pPr>
              <w:jc w:val="right"/>
              <w:ind w:right="108"/>
              <w:spacing w:after="0"/>
              <w:rPr>
                <w:sz w:val="20"/>
                <w:szCs w:val="20"/>
                <w:color w:val="auto"/>
              </w:rPr>
            </w:pPr>
            <w:r>
              <w:rPr>
                <w:rFonts w:ascii="Arial" w:cs="Arial" w:eastAsia="Arial" w:hAnsi="Arial"/>
                <w:sz w:val="14"/>
                <w:szCs w:val="14"/>
                <w:color w:val="auto"/>
                <w:w w:val="84"/>
              </w:rPr>
              <w:t>)</w:t>
            </w:r>
          </w:p>
        </w:tc>
        <w:tc>
          <w:tcPr>
            <w:tcW w:w="3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(17,577,401</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r>
      <w:tr>
        <w:trPr>
          <w:trHeight w:val="339"/>
        </w:trPr>
        <w:tc>
          <w:tcPr>
            <w:tcW w:w="400" w:type="dxa"/>
            <w:vAlign w:val="bottom"/>
          </w:tcPr>
          <w:p>
            <w:pPr>
              <w:spacing w:after="0"/>
              <w:rPr>
                <w:sz w:val="24"/>
                <w:szCs w:val="24"/>
                <w:color w:val="auto"/>
              </w:rPr>
            </w:pPr>
          </w:p>
        </w:tc>
        <w:tc>
          <w:tcPr>
            <w:tcW w:w="1260" w:type="dxa"/>
            <w:vAlign w:val="bottom"/>
            <w:gridSpan w:val="2"/>
          </w:tcPr>
          <w:p>
            <w:pPr>
              <w:jc w:val="right"/>
              <w:ind w:right="108"/>
              <w:spacing w:after="0"/>
              <w:rPr>
                <w:sz w:val="20"/>
                <w:szCs w:val="20"/>
                <w:color w:val="auto"/>
              </w:rPr>
            </w:pPr>
            <w:r>
              <w:rPr>
                <w:rFonts w:ascii="Arial" w:cs="Arial" w:eastAsia="Arial" w:hAnsi="Arial"/>
                <w:sz w:val="14"/>
                <w:szCs w:val="14"/>
                <w:color w:val="auto"/>
              </w:rPr>
              <w:t>(49,603,030 )</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76,405,417</w:t>
            </w:r>
          </w:p>
        </w:tc>
        <w:tc>
          <w:tcPr>
            <w:tcW w:w="60" w:type="dxa"/>
            <w:vAlign w:val="bottom"/>
          </w:tcPr>
          <w:p>
            <w:pPr>
              <w:spacing w:after="0"/>
              <w:rPr>
                <w:sz w:val="24"/>
                <w:szCs w:val="24"/>
                <w:color w:val="auto"/>
              </w:rPr>
            </w:pPr>
          </w:p>
        </w:tc>
      </w:tr>
      <w:tr>
        <w:trPr>
          <w:trHeight w:val="175"/>
        </w:trPr>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96,371,775</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17,099,609</w:t>
            </w:r>
          </w:p>
        </w:tc>
        <w:tc>
          <w:tcPr>
            <w:tcW w:w="60" w:type="dxa"/>
            <w:vAlign w:val="bottom"/>
          </w:tcPr>
          <w:p>
            <w:pPr>
              <w:spacing w:after="0"/>
              <w:rPr>
                <w:sz w:val="15"/>
                <w:szCs w:val="15"/>
                <w:color w:val="auto"/>
              </w:rPr>
            </w:pPr>
          </w:p>
        </w:tc>
      </w:tr>
      <w:tr>
        <w:trPr>
          <w:trHeight w:val="175"/>
        </w:trPr>
        <w:tc>
          <w:tcPr>
            <w:tcW w:w="400" w:type="dxa"/>
            <w:vAlign w:val="bottom"/>
          </w:tcPr>
          <w:p>
            <w:pPr>
              <w:spacing w:after="0"/>
              <w:rPr>
                <w:sz w:val="15"/>
                <w:szCs w:val="15"/>
                <w:color w:val="auto"/>
              </w:rPr>
            </w:pPr>
          </w:p>
        </w:tc>
        <w:tc>
          <w:tcPr>
            <w:tcW w:w="1260" w:type="dxa"/>
            <w:vAlign w:val="bottom"/>
            <w:gridSpan w:val="2"/>
          </w:tcPr>
          <w:p>
            <w:pPr>
              <w:jc w:val="right"/>
              <w:ind w:right="108"/>
              <w:spacing w:after="0"/>
              <w:rPr>
                <w:sz w:val="20"/>
                <w:szCs w:val="20"/>
                <w:color w:val="auto"/>
              </w:rPr>
            </w:pPr>
            <w:r>
              <w:rPr>
                <w:rFonts w:ascii="Arial" w:cs="Arial" w:eastAsia="Arial" w:hAnsi="Arial"/>
                <w:sz w:val="14"/>
                <w:szCs w:val="14"/>
                <w:color w:val="auto"/>
              </w:rPr>
              <w:t>(5,045,141 )</w:t>
            </w:r>
          </w:p>
        </w:tc>
        <w:tc>
          <w:tcPr>
            <w:tcW w:w="380" w:type="dxa"/>
            <w:vAlign w:val="bottom"/>
          </w:tcPr>
          <w:p>
            <w:pPr>
              <w:spacing w:after="0"/>
              <w:rPr>
                <w:sz w:val="15"/>
                <w:szCs w:val="15"/>
                <w:color w:val="auto"/>
              </w:rPr>
            </w:pPr>
          </w:p>
        </w:tc>
        <w:tc>
          <w:tcPr>
            <w:tcW w:w="10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81"/>
        </w:trPr>
        <w:tc>
          <w:tcPr>
            <w:tcW w:w="400" w:type="dxa"/>
            <w:vAlign w:val="bottom"/>
          </w:tcPr>
          <w:p>
            <w:pPr>
              <w:spacing w:after="0"/>
              <w:rPr>
                <w:sz w:val="15"/>
                <w:szCs w:val="15"/>
                <w:color w:val="auto"/>
              </w:rPr>
            </w:pPr>
          </w:p>
        </w:tc>
        <w:tc>
          <w:tcPr>
            <w:tcW w:w="1260" w:type="dxa"/>
            <w:vAlign w:val="bottom"/>
            <w:gridSpan w:val="2"/>
          </w:tcPr>
          <w:p>
            <w:pPr>
              <w:jc w:val="right"/>
              <w:ind w:right="108"/>
              <w:spacing w:after="0"/>
              <w:rPr>
                <w:sz w:val="20"/>
                <w:szCs w:val="20"/>
                <w:color w:val="auto"/>
              </w:rPr>
            </w:pPr>
            <w:r>
              <w:rPr>
                <w:rFonts w:ascii="Arial" w:cs="Arial" w:eastAsia="Arial" w:hAnsi="Arial"/>
                <w:sz w:val="14"/>
                <w:szCs w:val="14"/>
                <w:color w:val="auto"/>
              </w:rPr>
              <w:t>(995,805 )</w:t>
            </w:r>
          </w:p>
        </w:tc>
        <w:tc>
          <w:tcPr>
            <w:tcW w:w="3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(13,109,272 )</w:t>
            </w:r>
          </w:p>
        </w:tc>
      </w:tr>
      <w:tr>
        <w:trPr>
          <w:trHeight w:val="169"/>
        </w:trPr>
        <w:tc>
          <w:tcPr>
            <w:tcW w:w="4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40,727,799</w:t>
            </w:r>
          </w:p>
        </w:tc>
        <w:tc>
          <w:tcPr>
            <w:tcW w:w="24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80,395,754</w:t>
            </w:r>
          </w:p>
        </w:tc>
        <w:tc>
          <w:tcPr>
            <w:tcW w:w="60" w:type="dxa"/>
            <w:vAlign w:val="bottom"/>
          </w:tcPr>
          <w:p>
            <w:pPr>
              <w:spacing w:after="0"/>
              <w:rPr>
                <w:sz w:val="14"/>
                <w:szCs w:val="14"/>
                <w:color w:val="auto"/>
              </w:rPr>
            </w:pPr>
          </w:p>
        </w:tc>
      </w:tr>
      <w:tr>
        <w:trPr>
          <w:trHeight w:val="169"/>
        </w:trPr>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12,986,363</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62,818,353</w:t>
            </w:r>
          </w:p>
        </w:tc>
        <w:tc>
          <w:tcPr>
            <w:tcW w:w="60" w:type="dxa"/>
            <w:vAlign w:val="bottom"/>
          </w:tcPr>
          <w:p>
            <w:pPr>
              <w:spacing w:after="0"/>
              <w:rPr>
                <w:sz w:val="14"/>
                <w:szCs w:val="14"/>
                <w:color w:val="auto"/>
              </w:rPr>
            </w:pPr>
          </w:p>
        </w:tc>
      </w:tr>
      <w:tr>
        <w:trPr>
          <w:trHeight w:val="169"/>
        </w:trPr>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25,510,697</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71,133,751</w:t>
            </w:r>
          </w:p>
        </w:tc>
        <w:tc>
          <w:tcPr>
            <w:tcW w:w="60" w:type="dxa"/>
            <w:vAlign w:val="bottom"/>
          </w:tcPr>
          <w:p>
            <w:pPr>
              <w:spacing w:after="0"/>
              <w:rPr>
                <w:sz w:val="14"/>
                <w:szCs w:val="14"/>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400" w:type="dxa"/>
            <w:vAlign w:val="bottom"/>
            <w:tcBorders>
              <w:bottom w:val="single" w:sz="8" w:color="auto"/>
            </w:tcBorders>
          </w:tcPr>
          <w:p>
            <w:pPr>
              <w:jc w:val="right"/>
              <w:ind w:right="228"/>
              <w:spacing w:after="0" w:line="156"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0.38</w:t>
            </w:r>
          </w:p>
        </w:tc>
        <w:tc>
          <w:tcPr>
            <w:tcW w:w="240" w:type="dxa"/>
            <w:vAlign w:val="bottom"/>
          </w:tcPr>
          <w:p>
            <w:pPr>
              <w:spacing w:after="0"/>
              <w:rPr>
                <w:sz w:val="13"/>
                <w:szCs w:val="13"/>
                <w:color w:val="auto"/>
              </w:rPr>
            </w:pPr>
          </w:p>
        </w:tc>
        <w:tc>
          <w:tcPr>
            <w:tcW w:w="380" w:type="dxa"/>
            <w:vAlign w:val="bottom"/>
            <w:tcBorders>
              <w:bottom w:val="single" w:sz="8" w:color="auto"/>
            </w:tcBorders>
          </w:tcPr>
          <w:p>
            <w:pPr>
              <w:jc w:val="right"/>
              <w:ind w:right="228"/>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1.06</w:t>
            </w:r>
          </w:p>
        </w:tc>
        <w:tc>
          <w:tcPr>
            <w:tcW w:w="60" w:type="dxa"/>
            <w:vAlign w:val="bottom"/>
          </w:tcPr>
          <w:p>
            <w:pPr>
              <w:spacing w:after="0"/>
              <w:rPr>
                <w:sz w:val="13"/>
                <w:szCs w:val="13"/>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400" w:type="dxa"/>
            <w:vAlign w:val="bottom"/>
            <w:tcBorders>
              <w:bottom w:val="single" w:sz="8" w:color="auto"/>
            </w:tcBorders>
          </w:tcPr>
          <w:p>
            <w:pPr>
              <w:jc w:val="right"/>
              <w:ind w:right="228"/>
              <w:spacing w:after="0" w:line="156"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0.19</w:t>
            </w:r>
          </w:p>
        </w:tc>
        <w:tc>
          <w:tcPr>
            <w:tcW w:w="240" w:type="dxa"/>
            <w:vAlign w:val="bottom"/>
          </w:tcPr>
          <w:p>
            <w:pPr>
              <w:spacing w:after="0"/>
              <w:rPr>
                <w:sz w:val="13"/>
                <w:szCs w:val="13"/>
                <w:color w:val="auto"/>
              </w:rPr>
            </w:pPr>
          </w:p>
        </w:tc>
        <w:tc>
          <w:tcPr>
            <w:tcW w:w="380" w:type="dxa"/>
            <w:vAlign w:val="bottom"/>
            <w:tcBorders>
              <w:bottom w:val="single" w:sz="8" w:color="auto"/>
            </w:tcBorders>
          </w:tcPr>
          <w:p>
            <w:pPr>
              <w:jc w:val="right"/>
              <w:ind w:right="228"/>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0.12</w:t>
            </w:r>
          </w:p>
        </w:tc>
        <w:tc>
          <w:tcPr>
            <w:tcW w:w="60" w:type="dxa"/>
            <w:vAlign w:val="bottom"/>
          </w:tcPr>
          <w:p>
            <w:pPr>
              <w:spacing w:after="0"/>
              <w:rPr>
                <w:sz w:val="13"/>
                <w:szCs w:val="13"/>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7560" w:space="580"/>
            <w:col w:w="3100"/>
          </w:cols>
          <w:pgMar w:left="320" w:top="319"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 December 31,</w:t>
            </w:r>
          </w:p>
        </w:tc>
      </w:tr>
      <w:tr>
        <w:trPr>
          <w:trHeight w:val="169"/>
        </w:trPr>
        <w:tc>
          <w:tcPr>
            <w:tcW w:w="77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69"/>
        </w:trPr>
        <w:tc>
          <w:tcPr>
            <w:tcW w:w="770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Net increase (decrease) in net assets resulting from operations:</w:t>
            </w:r>
          </w:p>
        </w:tc>
        <w:tc>
          <w:tcPr>
            <w:tcW w:w="360" w:type="dxa"/>
            <w:vAlign w:val="bottom"/>
            <w:shd w:val="clear" w:color="auto" w:fill="CCECFF"/>
          </w:tcPr>
          <w:p>
            <w:pPr>
              <w:spacing w:after="0"/>
              <w:rPr>
                <w:sz w:val="14"/>
                <w:szCs w:val="14"/>
                <w:color w:val="auto"/>
              </w:rPr>
            </w:pPr>
          </w:p>
        </w:tc>
        <w:tc>
          <w:tcPr>
            <w:tcW w:w="12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4"/>
                <w:szCs w:val="14"/>
                <w:color w:val="auto"/>
              </w:rPr>
              <w:t>Net investment income</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12,524,334</w:t>
            </w:r>
          </w:p>
        </w:tc>
        <w:tc>
          <w:tcPr>
            <w:tcW w:w="26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8,315,398</w:t>
            </w:r>
          </w:p>
        </w:tc>
        <w:tc>
          <w:tcPr>
            <w:tcW w:w="60" w:type="dxa"/>
            <w:vAlign w:val="bottom"/>
          </w:tcPr>
          <w:p>
            <w:pPr>
              <w:spacing w:after="0"/>
              <w:rPr>
                <w:sz w:val="15"/>
                <w:szCs w:val="15"/>
                <w:color w:val="auto"/>
              </w:rPr>
            </w:pPr>
          </w:p>
        </w:tc>
      </w:tr>
      <w:tr>
        <w:trPr>
          <w:trHeight w:val="175"/>
        </w:trPr>
        <w:tc>
          <w:tcPr>
            <w:tcW w:w="7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Net realized loss on investments and debt</w:t>
            </w:r>
          </w:p>
        </w:tc>
        <w:tc>
          <w:tcPr>
            <w:tcW w:w="36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(27,741,436 )</w:t>
            </w:r>
          </w:p>
        </w:tc>
        <w:tc>
          <w:tcPr>
            <w:tcW w:w="36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(17,577,401 )</w:t>
            </w:r>
          </w:p>
        </w:tc>
      </w:tr>
      <w:tr>
        <w:trPr>
          <w:trHeight w:val="176"/>
        </w:trPr>
        <w:tc>
          <w:tcPr>
            <w:tcW w:w="7700" w:type="dxa"/>
            <w:vAlign w:val="bottom"/>
          </w:tcPr>
          <w:p>
            <w:pPr>
              <w:ind w:left="200"/>
              <w:spacing w:after="0"/>
              <w:rPr>
                <w:sz w:val="20"/>
                <w:szCs w:val="20"/>
                <w:color w:val="auto"/>
              </w:rPr>
            </w:pPr>
            <w:r>
              <w:rPr>
                <w:rFonts w:ascii="Arial" w:cs="Arial" w:eastAsia="Arial" w:hAnsi="Arial"/>
                <w:sz w:val="14"/>
                <w:szCs w:val="14"/>
                <w:color w:val="auto"/>
              </w:rPr>
              <w:t>Net change in unrealized appreciation on investments</w:t>
            </w: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46,768,745</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93,505,026</w:t>
            </w:r>
          </w:p>
        </w:tc>
        <w:tc>
          <w:tcPr>
            <w:tcW w:w="60" w:type="dxa"/>
            <w:vAlign w:val="bottom"/>
          </w:tcPr>
          <w:p>
            <w:pPr>
              <w:spacing w:after="0"/>
              <w:rPr>
                <w:sz w:val="15"/>
                <w:szCs w:val="15"/>
                <w:color w:val="auto"/>
              </w:rPr>
            </w:pPr>
          </w:p>
        </w:tc>
      </w:tr>
      <w:tr>
        <w:trPr>
          <w:trHeight w:val="175"/>
        </w:trPr>
        <w:tc>
          <w:tcPr>
            <w:tcW w:w="77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Net change in provision for taxes on unrealized appreciation on investments</w:t>
            </w:r>
          </w:p>
        </w:tc>
        <w:tc>
          <w:tcPr>
            <w:tcW w:w="36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(5,045,141 )</w:t>
            </w:r>
          </w:p>
        </w:tc>
        <w:tc>
          <w:tcPr>
            <w:tcW w:w="36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w:t>
            </w:r>
          </w:p>
        </w:tc>
      </w:tr>
      <w:tr>
        <w:trPr>
          <w:trHeight w:val="176"/>
        </w:trPr>
        <w:tc>
          <w:tcPr>
            <w:tcW w:w="7700" w:type="dxa"/>
            <w:vAlign w:val="bottom"/>
          </w:tcPr>
          <w:p>
            <w:pPr>
              <w:ind w:left="200"/>
              <w:spacing w:after="0"/>
              <w:rPr>
                <w:sz w:val="20"/>
                <w:szCs w:val="20"/>
                <w:color w:val="auto"/>
              </w:rPr>
            </w:pPr>
            <w:r>
              <w:rPr>
                <w:rFonts w:ascii="Arial" w:cs="Arial" w:eastAsia="Arial" w:hAnsi="Arial"/>
                <w:sz w:val="14"/>
                <w:szCs w:val="14"/>
                <w:color w:val="auto"/>
              </w:rPr>
              <w:t>Net change in unrealized appreciation depreciation on debt</w:t>
            </w:r>
          </w:p>
        </w:tc>
        <w:tc>
          <w:tcPr>
            <w:tcW w:w="36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(995,805 )</w:t>
            </w:r>
          </w:p>
        </w:tc>
        <w:tc>
          <w:tcPr>
            <w:tcW w:w="36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(13,109,272 )</w:t>
            </w:r>
          </w:p>
        </w:tc>
      </w:tr>
      <w:tr>
        <w:trPr>
          <w:trHeight w:val="169"/>
        </w:trPr>
        <w:tc>
          <w:tcPr>
            <w:tcW w:w="77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Net increase (decrease) in net assets resulting from operations</w:t>
            </w:r>
          </w:p>
        </w:tc>
        <w:tc>
          <w:tcPr>
            <w:tcW w:w="360" w:type="dxa"/>
            <w:vAlign w:val="bottom"/>
            <w:tcBorders>
              <w:top w:val="single" w:sz="8" w:color="auto"/>
              <w:bottom w:val="single" w:sz="8" w:color="auto"/>
            </w:tcBorders>
            <w:shd w:val="clear" w:color="auto" w:fill="CCECFF"/>
          </w:tcPr>
          <w:p>
            <w:pPr>
              <w:spacing w:after="0"/>
              <w:rPr>
                <w:sz w:val="14"/>
                <w:szCs w:val="14"/>
                <w:color w:val="auto"/>
              </w:rPr>
            </w:pPr>
          </w:p>
        </w:tc>
        <w:tc>
          <w:tcPr>
            <w:tcW w:w="12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25,510,697</w:t>
            </w:r>
          </w:p>
        </w:tc>
        <w:tc>
          <w:tcPr>
            <w:tcW w:w="26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top w:val="single" w:sz="8" w:color="auto"/>
              <w:bottom w:val="single" w:sz="8" w:color="auto"/>
            </w:tcBorders>
            <w:shd w:val="clear" w:color="auto" w:fill="CCECFF"/>
          </w:tcPr>
          <w:p>
            <w:pPr>
              <w:spacing w:after="0"/>
              <w:rPr>
                <w:sz w:val="14"/>
                <w:szCs w:val="14"/>
                <w:color w:val="auto"/>
              </w:rPr>
            </w:pPr>
          </w:p>
        </w:tc>
        <w:tc>
          <w:tcPr>
            <w:tcW w:w="12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71,133,751</w:t>
            </w:r>
          </w:p>
        </w:tc>
        <w:tc>
          <w:tcPr>
            <w:tcW w:w="60" w:type="dxa"/>
            <w:vAlign w:val="bottom"/>
            <w:tcBorders>
              <w:bottom w:val="single" w:sz="8" w:color="CCECFF"/>
            </w:tcBorders>
            <w:shd w:val="clear" w:color="auto" w:fill="CCECFF"/>
          </w:tcPr>
          <w:p>
            <w:pPr>
              <w:spacing w:after="0"/>
              <w:rPr>
                <w:sz w:val="14"/>
                <w:szCs w:val="14"/>
                <w:color w:val="auto"/>
              </w:rPr>
            </w:pPr>
          </w:p>
        </w:tc>
      </w:tr>
      <w:tr>
        <w:trPr>
          <w:trHeight w:val="169"/>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Distributions to stockholders</w:t>
            </w:r>
          </w:p>
        </w:tc>
        <w:tc>
          <w:tcPr>
            <w:tcW w:w="360" w:type="dxa"/>
            <w:vAlign w:val="bottom"/>
          </w:tcPr>
          <w:p>
            <w:pPr>
              <w:spacing w:after="0"/>
              <w:rPr>
                <w:sz w:val="14"/>
                <w:szCs w:val="1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(8,045,413 )</w:t>
            </w:r>
          </w:p>
        </w:tc>
        <w:tc>
          <w:tcPr>
            <w:tcW w:w="36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(8,045,413 )</w:t>
            </w:r>
          </w:p>
        </w:tc>
      </w:tr>
      <w:tr>
        <w:trPr>
          <w:trHeight w:val="169"/>
        </w:trPr>
        <w:tc>
          <w:tcPr>
            <w:tcW w:w="77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b w:val="1"/>
                <w:bCs w:val="1"/>
                <w:color w:val="auto"/>
              </w:rPr>
              <w:t>Net increase in net assets</w:t>
            </w:r>
          </w:p>
        </w:tc>
        <w:tc>
          <w:tcPr>
            <w:tcW w:w="360" w:type="dxa"/>
            <w:vAlign w:val="bottom"/>
            <w:tcBorders>
              <w:top w:val="single" w:sz="8" w:color="auto"/>
              <w:bottom w:val="single" w:sz="8" w:color="auto"/>
            </w:tcBorders>
            <w:shd w:val="clear" w:color="auto" w:fill="CCECFF"/>
          </w:tcPr>
          <w:p>
            <w:pPr>
              <w:spacing w:after="0"/>
              <w:rPr>
                <w:sz w:val="14"/>
                <w:szCs w:val="14"/>
                <w:color w:val="auto"/>
              </w:rPr>
            </w:pPr>
          </w:p>
        </w:tc>
        <w:tc>
          <w:tcPr>
            <w:tcW w:w="12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17,465,284</w:t>
            </w:r>
          </w:p>
        </w:tc>
        <w:tc>
          <w:tcPr>
            <w:tcW w:w="26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top w:val="single" w:sz="8" w:color="auto"/>
              <w:bottom w:val="single" w:sz="8" w:color="auto"/>
            </w:tcBorders>
            <w:shd w:val="clear" w:color="auto" w:fill="CCECFF"/>
          </w:tcPr>
          <w:p>
            <w:pPr>
              <w:spacing w:after="0"/>
              <w:rPr>
                <w:sz w:val="14"/>
                <w:szCs w:val="14"/>
                <w:color w:val="auto"/>
              </w:rPr>
            </w:pPr>
          </w:p>
        </w:tc>
        <w:tc>
          <w:tcPr>
            <w:tcW w:w="12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63,088,338</w:t>
            </w:r>
          </w:p>
        </w:tc>
        <w:tc>
          <w:tcPr>
            <w:tcW w:w="60" w:type="dxa"/>
            <w:vAlign w:val="bottom"/>
            <w:tcBorders>
              <w:bottom w:val="single" w:sz="8" w:color="CCECFF"/>
            </w:tcBorders>
            <w:shd w:val="clear" w:color="auto" w:fill="CCECFF"/>
          </w:tcPr>
          <w:p>
            <w:pPr>
              <w:spacing w:after="0"/>
              <w:rPr>
                <w:sz w:val="14"/>
                <w:szCs w:val="14"/>
                <w:color w:val="auto"/>
              </w:rPr>
            </w:pPr>
          </w:p>
        </w:tc>
      </w:tr>
      <w:tr>
        <w:trPr>
          <w:trHeight w:val="169"/>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Net assets:</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77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Beginning of period</w:t>
            </w:r>
          </w:p>
        </w:tc>
        <w:tc>
          <w:tcPr>
            <w:tcW w:w="360" w:type="dxa"/>
            <w:vAlign w:val="bottom"/>
            <w:tcBorders>
              <w:bottom w:val="single" w:sz="8" w:color="auto"/>
            </w:tcBorders>
            <w:shd w:val="clear" w:color="auto" w:fill="CCECFF"/>
          </w:tcPr>
          <w:p>
            <w:pPr>
              <w:spacing w:after="0"/>
              <w:rPr>
                <w:sz w:val="15"/>
                <w:szCs w:val="15"/>
                <w:color w:val="auto"/>
              </w:rPr>
            </w:pPr>
          </w:p>
        </w:tc>
        <w:tc>
          <w:tcPr>
            <w:tcW w:w="1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660,144,107</w:t>
            </w:r>
          </w:p>
        </w:tc>
        <w:tc>
          <w:tcPr>
            <w:tcW w:w="260" w:type="dxa"/>
            <w:vAlign w:val="bottom"/>
            <w:tcBorders>
              <w:bottom w:val="single" w:sz="8" w:color="CCECFF"/>
            </w:tcBorders>
            <w:shd w:val="clear" w:color="auto" w:fill="CCECFF"/>
          </w:tcPr>
          <w:p>
            <w:pPr>
              <w:spacing w:after="0"/>
              <w:rPr>
                <w:sz w:val="15"/>
                <w:szCs w:val="15"/>
                <w:color w:val="auto"/>
              </w:rPr>
            </w:pPr>
          </w:p>
        </w:tc>
        <w:tc>
          <w:tcPr>
            <w:tcW w:w="360" w:type="dxa"/>
            <w:vAlign w:val="bottom"/>
            <w:tcBorders>
              <w:bottom w:val="single" w:sz="8" w:color="auto"/>
            </w:tcBorders>
            <w:shd w:val="clear" w:color="auto" w:fill="CCECFF"/>
          </w:tcPr>
          <w:p>
            <w:pPr>
              <w:spacing w:after="0"/>
              <w:rPr>
                <w:sz w:val="15"/>
                <w:szCs w:val="15"/>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525,708,852</w:t>
            </w:r>
          </w:p>
        </w:tc>
        <w:tc>
          <w:tcPr>
            <w:tcW w:w="60" w:type="dxa"/>
            <w:vAlign w:val="bottom"/>
            <w:tcBorders>
              <w:bottom w:val="single" w:sz="8" w:color="CCECFF"/>
            </w:tcBorders>
            <w:shd w:val="clear" w:color="auto" w:fill="CCECFF"/>
          </w:tcPr>
          <w:p>
            <w:pPr>
              <w:spacing w:after="0"/>
              <w:rPr>
                <w:sz w:val="15"/>
                <w:szCs w:val="15"/>
                <w:color w:val="auto"/>
              </w:rPr>
            </w:pPr>
          </w:p>
        </w:tc>
      </w:tr>
      <w:tr>
        <w:trPr>
          <w:trHeight w:val="169"/>
        </w:trPr>
        <w:tc>
          <w:tcPr>
            <w:tcW w:w="7700" w:type="dxa"/>
            <w:vAlign w:val="bottom"/>
          </w:tcPr>
          <w:p>
            <w:pPr>
              <w:ind w:left="200"/>
              <w:spacing w:after="0" w:line="155" w:lineRule="exact"/>
              <w:rPr>
                <w:sz w:val="20"/>
                <w:szCs w:val="20"/>
                <w:color w:val="auto"/>
              </w:rPr>
            </w:pPr>
            <w:r>
              <w:rPr>
                <w:rFonts w:ascii="Arial" w:cs="Arial" w:eastAsia="Arial" w:hAnsi="Arial"/>
                <w:sz w:val="14"/>
                <w:szCs w:val="14"/>
                <w:color w:val="auto"/>
              </w:rPr>
              <w:t>End of period</w:t>
            </w: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677,609,391</w:t>
            </w:r>
          </w:p>
        </w:tc>
        <w:tc>
          <w:tcPr>
            <w:tcW w:w="260" w:type="dxa"/>
            <w:vAlign w:val="bottom"/>
          </w:tcPr>
          <w:p>
            <w:pPr>
              <w:spacing w:after="0"/>
              <w:rPr>
                <w:sz w:val="14"/>
                <w:szCs w:val="14"/>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588,797,190</w:t>
            </w:r>
          </w:p>
        </w:tc>
        <w:tc>
          <w:tcPr>
            <w:tcW w:w="60" w:type="dxa"/>
            <w:vAlign w:val="bottom"/>
          </w:tcPr>
          <w:p>
            <w:pPr>
              <w:spacing w:after="0"/>
              <w:rPr>
                <w:sz w:val="14"/>
                <w:szCs w:val="14"/>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-613410</wp:posOffset>
            </wp:positionV>
            <wp:extent cx="5143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-613410</wp:posOffset>
            </wp:positionV>
            <wp:extent cx="431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-373380</wp:posOffset>
            </wp:positionV>
            <wp:extent cx="5143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-373380</wp:posOffset>
            </wp:positionV>
            <wp:extent cx="431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-142240</wp:posOffset>
            </wp:positionV>
            <wp:extent cx="5143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-142240</wp:posOffset>
            </wp:positionV>
            <wp:extent cx="4318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1" w:lineRule="exact"/>
        <w:rPr>
          <w:sz w:val="20"/>
          <w:szCs w:val="20"/>
          <w:color w:val="auto"/>
        </w:rPr>
      </w:pPr>
    </w:p>
    <w:p>
      <w:pPr>
        <w:ind w:left="8360"/>
        <w:spacing w:after="0"/>
        <w:rPr>
          <w:sz w:val="20"/>
          <w:szCs w:val="20"/>
          <w:color w:val="auto"/>
        </w:rPr>
      </w:pPr>
      <w:r>
        <w:rPr>
          <w:rFonts w:ascii="Arial" w:cs="Arial" w:eastAsia="Arial" w:hAnsi="Arial"/>
          <w:sz w:val="12"/>
          <w:szCs w:val="12"/>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4878705</wp:posOffset>
            </wp:positionH>
            <wp:positionV relativeFrom="paragraph">
              <wp:posOffset>29845</wp:posOffset>
            </wp:positionV>
            <wp:extent cx="22028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1" w:lineRule="exact"/>
        <w:rPr>
          <w:sz w:val="20"/>
          <w:szCs w:val="20"/>
          <w:color w:val="auto"/>
        </w:rPr>
      </w:pPr>
    </w:p>
    <w:p>
      <w:pPr>
        <w:jc w:val="both"/>
        <w:ind w:left="8340"/>
        <w:spacing w:after="0"/>
        <w:tabs>
          <w:tab w:leader="none" w:pos="102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4878705</wp:posOffset>
            </wp:positionH>
            <wp:positionV relativeFrom="paragraph">
              <wp:posOffset>15240</wp:posOffset>
            </wp:positionV>
            <wp:extent cx="22028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ectPr>
          <w:pgSz w:w="11900" w:h="16838" w:orient="portrait"/>
          <w:cols w:equalWidth="0" w:num="1">
            <w:col w:w="11220"/>
          </w:cols>
          <w:pgMar w:left="340" w:top="319" w:right="33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32320" cy="1111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 increase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713232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460" w:right="2800" w:hanging="107"/>
        <w:spacing w:after="0" w:line="260" w:lineRule="auto"/>
        <w:rPr>
          <w:sz w:val="20"/>
          <w:szCs w:val="20"/>
          <w:color w:val="auto"/>
        </w:rPr>
      </w:pPr>
      <w:r>
        <w:rPr>
          <w:rFonts w:ascii="Arial" w:cs="Arial" w:eastAsia="Arial" w:hAnsi="Arial"/>
          <w:sz w:val="13"/>
          <w:szCs w:val="13"/>
          <w:color w:val="auto"/>
        </w:rPr>
        <w:t>Adjustments to reconcile net increase (decrease) in net assets resulting from operations to net cash (used in) provided by operating activities:</w:t>
      </w:r>
    </w:p>
    <w:p>
      <w:pPr>
        <w:ind w:left="720"/>
        <w:spacing w:after="0"/>
        <w:rPr>
          <w:sz w:val="20"/>
          <w:szCs w:val="20"/>
          <w:color w:val="auto"/>
        </w:rPr>
      </w:pPr>
      <w:r>
        <w:rPr>
          <w:rFonts w:ascii="Arial" w:cs="Arial" w:eastAsia="Arial" w:hAnsi="Arial"/>
          <w:sz w:val="14"/>
          <w:szCs w:val="14"/>
          <w:color w:val="auto"/>
        </w:rPr>
        <w:t>Net change in net unrealized (appreciation) depreciation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7132320" cy="1117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4"/>
          <w:szCs w:val="14"/>
          <w:color w:val="auto"/>
        </w:rPr>
        <w:t>Net change in unrealized appreciation (depreciation) on debt</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realized (gain) loss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7132320" cy="111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4"/>
          <w:szCs w:val="14"/>
          <w:color w:val="auto"/>
        </w:rPr>
        <w:t>Net accretion of discount and amortization of premium</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Purchases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7132320" cy="1117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4"/>
          <w:szCs w:val="14"/>
          <w:color w:val="auto"/>
        </w:rPr>
        <w:t>Payment-in-kind income</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Proceeds from dispositions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7132320" cy="1111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4"/>
          <w:szCs w:val="14"/>
          <w:color w:val="auto"/>
        </w:rPr>
        <w:t>Amortization of deferred financing costs</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Increase in interest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7132320" cy="111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4"/>
          <w:szCs w:val="14"/>
          <w:color w:val="auto"/>
        </w:rPr>
        <w:t>Increase in receivables from investments sold</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Increase in distribution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7132320" cy="111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4"/>
          <w:szCs w:val="14"/>
          <w:color w:val="auto"/>
        </w:rPr>
        <w:t>(Increase) in prepaid expenses and other assets</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Decrease in payable for investments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7132320" cy="1117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4"/>
          <w:szCs w:val="14"/>
          <w:color w:val="auto"/>
        </w:rPr>
        <w:t>(Decrease) increase in interest payable on debt</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(Decrease) increase in base management fee payable,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7132320" cy="111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4"/>
          <w:szCs w:val="14"/>
          <w:color w:val="auto"/>
        </w:rPr>
        <w:t>Increase in performance-based incentive fee payable, net</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Increase in 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7132320"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Increase in accrued other expenses</w:t>
      </w:r>
    </w:p>
    <w:p>
      <w:pPr>
        <w:spacing w:after="0" w:line="28"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Net cash (used in)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wp:posOffset>
            </wp:positionV>
            <wp:extent cx="7132320" cy="1117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financing activities:</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Distributions paid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7132320" cy="1117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4"/>
          <w:szCs w:val="14"/>
          <w:color w:val="auto"/>
        </w:rPr>
        <w:t>Net repayments of the 2024 Notes issuance</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Proceeds from 2026 Notes-2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7132320" cy="1117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4"/>
          <w:szCs w:val="14"/>
          <w:color w:val="auto"/>
        </w:rPr>
        <w:t>Borrowings under Truist Credit Facility</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4"/>
          <w:szCs w:val="14"/>
          <w:color w:val="auto"/>
        </w:rPr>
        <w:t>Repayments under Truist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wp:posOffset>
            </wp:positionV>
            <wp:extent cx="7132320" cy="12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Net cash provided by (used in) financing activities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increase (decrease) in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7132320" cy="1111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Effect of exchange rate changes on cash</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 end of period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Interest paid</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Taxes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Non-cash exchanges and conversions</w:t>
      </w:r>
    </w:p>
    <w:p>
      <w:pPr>
        <w:spacing w:after="0" w:line="204" w:lineRule="exact"/>
        <w:rPr>
          <w:sz w:val="20"/>
          <w:szCs w:val="20"/>
          <w:color w:val="auto"/>
        </w:rPr>
      </w:pPr>
    </w:p>
    <w:p>
      <w:pPr>
        <w:jc w:val="center"/>
        <w:ind w:left="3680"/>
        <w:spacing w:after="0"/>
        <w:rPr>
          <w:sz w:val="20"/>
          <w:szCs w:val="20"/>
          <w:color w:val="auto"/>
        </w:rPr>
      </w:pPr>
      <w:r>
        <w:rPr>
          <w:rFonts w:ascii="Arial" w:cs="Arial" w:eastAsia="Arial" w:hAnsi="Arial"/>
          <w:sz w:val="13"/>
          <w:szCs w:val="13"/>
          <w:color w:val="auto"/>
        </w:rPr>
        <w:t>SEE NOTES TO CONSOLIDATED FINANCIAL STATEMENTS</w:t>
      </w:r>
    </w:p>
    <w:p>
      <w:pPr>
        <w:spacing w:after="0" w:line="175"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25,510,697</w:t>
            </w:r>
          </w:p>
        </w:tc>
        <w:tc>
          <w:tcPr>
            <w:tcW w:w="260" w:type="dxa"/>
            <w:vAlign w:val="bottom"/>
          </w:tcPr>
          <w:p>
            <w:pPr>
              <w:spacing w:after="0"/>
              <w:rPr>
                <w:sz w:val="15"/>
                <w:szCs w:val="15"/>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71,133,751</w:t>
            </w:r>
          </w:p>
        </w:tc>
        <w:tc>
          <w:tcPr>
            <w:tcW w:w="60" w:type="dxa"/>
            <w:vAlign w:val="bottom"/>
          </w:tcPr>
          <w:p>
            <w:pPr>
              <w:spacing w:after="0"/>
              <w:rPr>
                <w:sz w:val="15"/>
                <w:szCs w:val="15"/>
                <w:color w:val="auto"/>
              </w:rPr>
            </w:pPr>
          </w:p>
        </w:tc>
      </w:tr>
      <w:tr>
        <w:trPr>
          <w:trHeight w:val="493"/>
        </w:trPr>
        <w:tc>
          <w:tcPr>
            <w:tcW w:w="460" w:type="dxa"/>
            <w:vAlign w:val="bottom"/>
          </w:tcPr>
          <w:p>
            <w:pPr>
              <w:spacing w:after="0"/>
              <w:rPr>
                <w:sz w:val="24"/>
                <w:szCs w:val="24"/>
                <w:color w:val="auto"/>
              </w:rPr>
            </w:pPr>
          </w:p>
        </w:tc>
        <w:tc>
          <w:tcPr>
            <w:tcW w:w="1420" w:type="dxa"/>
            <w:vAlign w:val="bottom"/>
            <w:gridSpan w:val="2"/>
          </w:tcPr>
          <w:p>
            <w:pPr>
              <w:jc w:val="right"/>
              <w:ind w:right="128"/>
              <w:spacing w:after="0"/>
              <w:rPr>
                <w:sz w:val="20"/>
                <w:szCs w:val="20"/>
                <w:color w:val="auto"/>
              </w:rPr>
            </w:pPr>
            <w:r>
              <w:rPr>
                <w:rFonts w:ascii="Arial" w:cs="Arial" w:eastAsia="Arial" w:hAnsi="Arial"/>
                <w:sz w:val="14"/>
                <w:szCs w:val="14"/>
                <w:color w:val="auto"/>
              </w:rPr>
              <w:t>(46,768,745 )</w:t>
            </w:r>
          </w:p>
        </w:tc>
        <w:tc>
          <w:tcPr>
            <w:tcW w:w="48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(93,505,026 )</w:t>
            </w:r>
          </w:p>
        </w:tc>
      </w:tr>
      <w:tr>
        <w:trPr>
          <w:trHeight w:val="176"/>
        </w:trPr>
        <w:tc>
          <w:tcPr>
            <w:tcW w:w="4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995,805</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13,109,272</w:t>
            </w:r>
          </w:p>
        </w:tc>
        <w:tc>
          <w:tcPr>
            <w:tcW w:w="60" w:type="dxa"/>
            <w:vAlign w:val="bottom"/>
          </w:tcPr>
          <w:p>
            <w:pPr>
              <w:spacing w:after="0"/>
              <w:rPr>
                <w:sz w:val="15"/>
                <w:szCs w:val="15"/>
                <w:color w:val="auto"/>
              </w:rPr>
            </w:pPr>
          </w:p>
        </w:tc>
      </w:tr>
      <w:tr>
        <w:trPr>
          <w:trHeight w:val="175"/>
        </w:trPr>
        <w:tc>
          <w:tcPr>
            <w:tcW w:w="4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26,072,138</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17,577,401</w:t>
            </w:r>
          </w:p>
        </w:tc>
        <w:tc>
          <w:tcPr>
            <w:tcW w:w="60" w:type="dxa"/>
            <w:vAlign w:val="bottom"/>
          </w:tcPr>
          <w:p>
            <w:pPr>
              <w:spacing w:after="0"/>
              <w:rPr>
                <w:sz w:val="15"/>
                <w:szCs w:val="15"/>
                <w:color w:val="auto"/>
              </w:rPr>
            </w:pPr>
          </w:p>
        </w:tc>
      </w:tr>
      <w:tr>
        <w:trPr>
          <w:trHeight w:val="176"/>
        </w:trPr>
        <w:tc>
          <w:tcPr>
            <w:tcW w:w="460" w:type="dxa"/>
            <w:vAlign w:val="bottom"/>
          </w:tcPr>
          <w:p>
            <w:pPr>
              <w:spacing w:after="0"/>
              <w:rPr>
                <w:sz w:val="15"/>
                <w:szCs w:val="15"/>
                <w:color w:val="auto"/>
              </w:rPr>
            </w:pPr>
          </w:p>
        </w:tc>
        <w:tc>
          <w:tcPr>
            <w:tcW w:w="1420" w:type="dxa"/>
            <w:vAlign w:val="bottom"/>
            <w:gridSpan w:val="2"/>
          </w:tcPr>
          <w:p>
            <w:pPr>
              <w:jc w:val="right"/>
              <w:ind w:right="128"/>
              <w:spacing w:after="0"/>
              <w:rPr>
                <w:sz w:val="20"/>
                <w:szCs w:val="20"/>
                <w:color w:val="auto"/>
              </w:rPr>
            </w:pPr>
            <w:r>
              <w:rPr>
                <w:rFonts w:ascii="Arial" w:cs="Arial" w:eastAsia="Arial" w:hAnsi="Arial"/>
                <w:sz w:val="14"/>
                <w:szCs w:val="14"/>
                <w:color w:val="auto"/>
              </w:rPr>
              <w:t>(2,064,869 )</w:t>
            </w:r>
          </w:p>
        </w:tc>
        <w:tc>
          <w:tcPr>
            <w:tcW w:w="4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(391,947 )</w:t>
            </w:r>
          </w:p>
        </w:tc>
      </w:tr>
      <w:tr>
        <w:trPr>
          <w:trHeight w:val="175"/>
        </w:trPr>
        <w:tc>
          <w:tcPr>
            <w:tcW w:w="460" w:type="dxa"/>
            <w:vAlign w:val="bottom"/>
          </w:tcPr>
          <w:p>
            <w:pPr>
              <w:spacing w:after="0"/>
              <w:rPr>
                <w:sz w:val="15"/>
                <w:szCs w:val="15"/>
                <w:color w:val="auto"/>
              </w:rPr>
            </w:pPr>
          </w:p>
        </w:tc>
        <w:tc>
          <w:tcPr>
            <w:tcW w:w="1420" w:type="dxa"/>
            <w:vAlign w:val="bottom"/>
            <w:gridSpan w:val="2"/>
          </w:tcPr>
          <w:p>
            <w:pPr>
              <w:jc w:val="right"/>
              <w:ind w:right="128"/>
              <w:spacing w:after="0"/>
              <w:rPr>
                <w:sz w:val="20"/>
                <w:szCs w:val="20"/>
                <w:color w:val="auto"/>
              </w:rPr>
            </w:pPr>
            <w:r>
              <w:rPr>
                <w:rFonts w:ascii="Arial" w:cs="Arial" w:eastAsia="Arial" w:hAnsi="Arial"/>
                <w:sz w:val="14"/>
                <w:szCs w:val="14"/>
                <w:color w:val="auto"/>
              </w:rPr>
              <w:t>(295,135,725 )</w:t>
            </w:r>
          </w:p>
        </w:tc>
        <w:tc>
          <w:tcPr>
            <w:tcW w:w="4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(68,209,636 )</w:t>
            </w:r>
          </w:p>
        </w:tc>
      </w:tr>
      <w:tr>
        <w:trPr>
          <w:trHeight w:val="176"/>
        </w:trPr>
        <w:tc>
          <w:tcPr>
            <w:tcW w:w="460" w:type="dxa"/>
            <w:vAlign w:val="bottom"/>
          </w:tcPr>
          <w:p>
            <w:pPr>
              <w:spacing w:after="0"/>
              <w:rPr>
                <w:sz w:val="15"/>
                <w:szCs w:val="15"/>
                <w:color w:val="auto"/>
              </w:rPr>
            </w:pPr>
          </w:p>
        </w:tc>
        <w:tc>
          <w:tcPr>
            <w:tcW w:w="1420" w:type="dxa"/>
            <w:vAlign w:val="bottom"/>
            <w:gridSpan w:val="2"/>
          </w:tcPr>
          <w:p>
            <w:pPr>
              <w:jc w:val="right"/>
              <w:ind w:right="128"/>
              <w:spacing w:after="0"/>
              <w:rPr>
                <w:sz w:val="20"/>
                <w:szCs w:val="20"/>
                <w:color w:val="auto"/>
              </w:rPr>
            </w:pPr>
            <w:r>
              <w:rPr>
                <w:rFonts w:ascii="Arial" w:cs="Arial" w:eastAsia="Arial" w:hAnsi="Arial"/>
                <w:sz w:val="14"/>
                <w:szCs w:val="14"/>
                <w:color w:val="auto"/>
              </w:rPr>
              <w:t>(4,451,323 )</w:t>
            </w:r>
          </w:p>
        </w:tc>
        <w:tc>
          <w:tcPr>
            <w:tcW w:w="4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(3,446,716 )</w:t>
            </w:r>
          </w:p>
        </w:tc>
      </w:tr>
      <w:tr>
        <w:trPr>
          <w:trHeight w:val="176"/>
        </w:trPr>
        <w:tc>
          <w:tcPr>
            <w:tcW w:w="4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132,246,002</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102,590,824</w:t>
            </w:r>
          </w:p>
        </w:tc>
        <w:tc>
          <w:tcPr>
            <w:tcW w:w="60" w:type="dxa"/>
            <w:vAlign w:val="bottom"/>
          </w:tcPr>
          <w:p>
            <w:pPr>
              <w:spacing w:after="0"/>
              <w:rPr>
                <w:sz w:val="15"/>
                <w:szCs w:val="15"/>
                <w:color w:val="auto"/>
              </w:rPr>
            </w:pPr>
          </w:p>
        </w:tc>
      </w:tr>
      <w:tr>
        <w:trPr>
          <w:trHeight w:val="175"/>
        </w:trPr>
        <w:tc>
          <w:tcPr>
            <w:tcW w:w="4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565,385</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256,315</w:t>
            </w:r>
          </w:p>
        </w:tc>
        <w:tc>
          <w:tcPr>
            <w:tcW w:w="60" w:type="dxa"/>
            <w:vAlign w:val="bottom"/>
          </w:tcPr>
          <w:p>
            <w:pPr>
              <w:spacing w:after="0"/>
              <w:rPr>
                <w:sz w:val="15"/>
                <w:szCs w:val="15"/>
                <w:color w:val="auto"/>
              </w:rPr>
            </w:pPr>
          </w:p>
        </w:tc>
      </w:tr>
      <w:tr>
        <w:trPr>
          <w:trHeight w:val="176"/>
        </w:trPr>
        <w:tc>
          <w:tcPr>
            <w:tcW w:w="460" w:type="dxa"/>
            <w:vAlign w:val="bottom"/>
          </w:tcPr>
          <w:p>
            <w:pPr>
              <w:spacing w:after="0"/>
              <w:rPr>
                <w:sz w:val="15"/>
                <w:szCs w:val="15"/>
                <w:color w:val="auto"/>
              </w:rPr>
            </w:pPr>
          </w:p>
        </w:tc>
        <w:tc>
          <w:tcPr>
            <w:tcW w:w="1420" w:type="dxa"/>
            <w:vAlign w:val="bottom"/>
            <w:gridSpan w:val="2"/>
          </w:tcPr>
          <w:p>
            <w:pPr>
              <w:jc w:val="right"/>
              <w:ind w:right="128"/>
              <w:spacing w:after="0"/>
              <w:rPr>
                <w:sz w:val="20"/>
                <w:szCs w:val="20"/>
                <w:color w:val="auto"/>
              </w:rPr>
            </w:pPr>
            <w:r>
              <w:rPr>
                <w:rFonts w:ascii="Arial" w:cs="Arial" w:eastAsia="Arial" w:hAnsi="Arial"/>
                <w:sz w:val="14"/>
                <w:szCs w:val="14"/>
                <w:color w:val="auto"/>
              </w:rPr>
              <w:t>(449,927 )</w:t>
            </w:r>
          </w:p>
        </w:tc>
        <w:tc>
          <w:tcPr>
            <w:tcW w:w="4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(115,717 )</w:t>
            </w:r>
          </w:p>
        </w:tc>
      </w:tr>
      <w:tr>
        <w:trPr>
          <w:trHeight w:val="175"/>
        </w:trPr>
        <w:tc>
          <w:tcPr>
            <w:tcW w:w="460" w:type="dxa"/>
            <w:vAlign w:val="bottom"/>
          </w:tcPr>
          <w:p>
            <w:pPr>
              <w:spacing w:after="0"/>
              <w:rPr>
                <w:sz w:val="15"/>
                <w:szCs w:val="15"/>
                <w:color w:val="auto"/>
              </w:rPr>
            </w:pPr>
          </w:p>
        </w:tc>
        <w:tc>
          <w:tcPr>
            <w:tcW w:w="1420" w:type="dxa"/>
            <w:vAlign w:val="bottom"/>
            <w:gridSpan w:val="2"/>
          </w:tcPr>
          <w:p>
            <w:pPr>
              <w:jc w:val="right"/>
              <w:ind w:right="128"/>
              <w:spacing w:after="0"/>
              <w:rPr>
                <w:sz w:val="20"/>
                <w:szCs w:val="20"/>
                <w:color w:val="auto"/>
              </w:rPr>
            </w:pPr>
            <w:r>
              <w:rPr>
                <w:rFonts w:ascii="Arial" w:cs="Arial" w:eastAsia="Arial" w:hAnsi="Arial"/>
                <w:sz w:val="14"/>
                <w:szCs w:val="14"/>
                <w:color w:val="auto"/>
              </w:rPr>
              <w:t>(12,821,141 )</w:t>
            </w:r>
          </w:p>
        </w:tc>
        <w:tc>
          <w:tcPr>
            <w:tcW w:w="480" w:type="dxa"/>
            <w:vAlign w:val="bottom"/>
          </w:tcPr>
          <w:p>
            <w:pPr>
              <w:spacing w:after="0"/>
              <w:rPr>
                <w:sz w:val="15"/>
                <w:szCs w:val="15"/>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460" w:type="dxa"/>
            <w:vAlign w:val="bottom"/>
          </w:tcPr>
          <w:p>
            <w:pPr>
              <w:spacing w:after="0"/>
              <w:rPr>
                <w:sz w:val="15"/>
                <w:szCs w:val="15"/>
                <w:color w:val="auto"/>
              </w:rPr>
            </w:pPr>
          </w:p>
        </w:tc>
        <w:tc>
          <w:tcPr>
            <w:tcW w:w="1420" w:type="dxa"/>
            <w:vAlign w:val="bottom"/>
            <w:gridSpan w:val="2"/>
          </w:tcPr>
          <w:p>
            <w:pPr>
              <w:jc w:val="right"/>
              <w:ind w:right="128"/>
              <w:spacing w:after="0"/>
              <w:rPr>
                <w:sz w:val="20"/>
                <w:szCs w:val="20"/>
                <w:color w:val="auto"/>
              </w:rPr>
            </w:pPr>
            <w:r>
              <w:rPr>
                <w:rFonts w:ascii="Arial" w:cs="Arial" w:eastAsia="Arial" w:hAnsi="Arial"/>
                <w:sz w:val="14"/>
                <w:szCs w:val="14"/>
                <w:color w:val="auto"/>
              </w:rPr>
              <w:t>(121,000 )</w:t>
            </w:r>
          </w:p>
        </w:tc>
        <w:tc>
          <w:tcPr>
            <w:tcW w:w="4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304,716</w:t>
            </w:r>
          </w:p>
        </w:tc>
        <w:tc>
          <w:tcPr>
            <w:tcW w:w="60" w:type="dxa"/>
            <w:vAlign w:val="bottom"/>
          </w:tcPr>
          <w:p>
            <w:pPr>
              <w:spacing w:after="0"/>
              <w:rPr>
                <w:sz w:val="15"/>
                <w:szCs w:val="15"/>
                <w:color w:val="auto"/>
              </w:rPr>
            </w:pPr>
          </w:p>
        </w:tc>
      </w:tr>
      <w:tr>
        <w:trPr>
          <w:trHeight w:val="176"/>
        </w:trPr>
        <w:tc>
          <w:tcPr>
            <w:tcW w:w="460" w:type="dxa"/>
            <w:vAlign w:val="bottom"/>
          </w:tcPr>
          <w:p>
            <w:pPr>
              <w:spacing w:after="0"/>
              <w:rPr>
                <w:sz w:val="15"/>
                <w:szCs w:val="15"/>
                <w:color w:val="auto"/>
              </w:rPr>
            </w:pPr>
          </w:p>
        </w:tc>
        <w:tc>
          <w:tcPr>
            <w:tcW w:w="14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(543 )</w:t>
            </w:r>
          </w:p>
        </w:tc>
      </w:tr>
      <w:tr>
        <w:trPr>
          <w:trHeight w:val="175"/>
        </w:trPr>
        <w:tc>
          <w:tcPr>
            <w:tcW w:w="460" w:type="dxa"/>
            <w:vAlign w:val="bottom"/>
          </w:tcPr>
          <w:p>
            <w:pPr>
              <w:spacing w:after="0"/>
              <w:rPr>
                <w:sz w:val="15"/>
                <w:szCs w:val="15"/>
                <w:color w:val="auto"/>
              </w:rPr>
            </w:pPr>
          </w:p>
        </w:tc>
        <w:tc>
          <w:tcPr>
            <w:tcW w:w="1420" w:type="dxa"/>
            <w:vAlign w:val="bottom"/>
            <w:gridSpan w:val="2"/>
          </w:tcPr>
          <w:p>
            <w:pPr>
              <w:jc w:val="right"/>
              <w:ind w:right="128"/>
              <w:spacing w:after="0"/>
              <w:rPr>
                <w:sz w:val="20"/>
                <w:szCs w:val="20"/>
                <w:color w:val="auto"/>
              </w:rPr>
            </w:pPr>
            <w:r>
              <w:rPr>
                <w:rFonts w:ascii="Arial" w:cs="Arial" w:eastAsia="Arial" w:hAnsi="Arial"/>
                <w:sz w:val="14"/>
                <w:szCs w:val="14"/>
                <w:color w:val="auto"/>
              </w:rPr>
              <w:t>(7,811,937 )</w:t>
            </w:r>
          </w:p>
        </w:tc>
        <w:tc>
          <w:tcPr>
            <w:tcW w:w="4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(5,322,288 )</w:t>
            </w:r>
          </w:p>
        </w:tc>
      </w:tr>
      <w:tr>
        <w:trPr>
          <w:trHeight w:val="176"/>
        </w:trPr>
        <w:tc>
          <w:tcPr>
            <w:tcW w:w="460" w:type="dxa"/>
            <w:vAlign w:val="bottom"/>
          </w:tcPr>
          <w:p>
            <w:pPr>
              <w:spacing w:after="0"/>
              <w:rPr>
                <w:sz w:val="15"/>
                <w:szCs w:val="15"/>
                <w:color w:val="auto"/>
              </w:rPr>
            </w:pPr>
          </w:p>
        </w:tc>
        <w:tc>
          <w:tcPr>
            <w:tcW w:w="1420" w:type="dxa"/>
            <w:vAlign w:val="bottom"/>
            <w:gridSpan w:val="2"/>
          </w:tcPr>
          <w:p>
            <w:pPr>
              <w:jc w:val="right"/>
              <w:ind w:right="128"/>
              <w:spacing w:after="0"/>
              <w:rPr>
                <w:sz w:val="20"/>
                <w:szCs w:val="20"/>
                <w:color w:val="auto"/>
              </w:rPr>
            </w:pPr>
            <w:r>
              <w:rPr>
                <w:rFonts w:ascii="Arial" w:cs="Arial" w:eastAsia="Arial" w:hAnsi="Arial"/>
                <w:sz w:val="14"/>
                <w:szCs w:val="14"/>
                <w:color w:val="auto"/>
              </w:rPr>
              <w:t>(930,642 )</w:t>
            </w:r>
          </w:p>
        </w:tc>
        <w:tc>
          <w:tcPr>
            <w:tcW w:w="4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948,839</w:t>
            </w:r>
          </w:p>
        </w:tc>
        <w:tc>
          <w:tcPr>
            <w:tcW w:w="60" w:type="dxa"/>
            <w:vAlign w:val="bottom"/>
          </w:tcPr>
          <w:p>
            <w:pPr>
              <w:spacing w:after="0"/>
              <w:rPr>
                <w:sz w:val="15"/>
                <w:szCs w:val="15"/>
                <w:color w:val="auto"/>
              </w:rPr>
            </w:pPr>
          </w:p>
        </w:tc>
      </w:tr>
      <w:tr>
        <w:trPr>
          <w:trHeight w:val="175"/>
        </w:trPr>
        <w:tc>
          <w:tcPr>
            <w:tcW w:w="4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528,632</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(255,209 )</w:t>
            </w:r>
          </w:p>
        </w:tc>
      </w:tr>
      <w:tr>
        <w:trPr>
          <w:trHeight w:val="176"/>
        </w:trPr>
        <w:tc>
          <w:tcPr>
            <w:tcW w:w="4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2,081,870</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4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5,045,141</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81"/>
        </w:trPr>
        <w:tc>
          <w:tcPr>
            <w:tcW w:w="4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159,148</w:t>
            </w: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364,321</w:t>
            </w:r>
          </w:p>
        </w:tc>
        <w:tc>
          <w:tcPr>
            <w:tcW w:w="60" w:type="dxa"/>
            <w:vAlign w:val="bottom"/>
          </w:tcPr>
          <w:p>
            <w:pPr>
              <w:spacing w:after="0"/>
              <w:rPr>
                <w:sz w:val="15"/>
                <w:szCs w:val="15"/>
                <w:color w:val="auto"/>
              </w:rPr>
            </w:pPr>
          </w:p>
        </w:tc>
      </w:tr>
      <w:tr>
        <w:trPr>
          <w:trHeight w:val="169"/>
        </w:trPr>
        <w:tc>
          <w:tcPr>
            <w:tcW w:w="4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(177,350,491</w:t>
            </w:r>
          </w:p>
        </w:tc>
        <w:tc>
          <w:tcPr>
            <w:tcW w:w="260" w:type="dxa"/>
            <w:vAlign w:val="bottom"/>
          </w:tcPr>
          <w:p>
            <w:pPr>
              <w:jc w:val="right"/>
              <w:ind w:right="128"/>
              <w:spacing w:after="0"/>
              <w:rPr>
                <w:sz w:val="20"/>
                <w:szCs w:val="20"/>
                <w:color w:val="auto"/>
              </w:rPr>
            </w:pPr>
            <w:r>
              <w:rPr>
                <w:rFonts w:ascii="Arial" w:cs="Arial" w:eastAsia="Arial" w:hAnsi="Arial"/>
                <w:sz w:val="14"/>
                <w:szCs w:val="14"/>
                <w:color w:val="auto"/>
                <w:w w:val="84"/>
              </w:rPr>
              <w:t>)</w:t>
            </w: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35,038,357</w:t>
            </w:r>
          </w:p>
        </w:tc>
        <w:tc>
          <w:tcPr>
            <w:tcW w:w="60" w:type="dxa"/>
            <w:vAlign w:val="bottom"/>
          </w:tcPr>
          <w:p>
            <w:pPr>
              <w:spacing w:after="0"/>
              <w:rPr>
                <w:sz w:val="14"/>
                <w:szCs w:val="14"/>
                <w:color w:val="auto"/>
              </w:rPr>
            </w:pPr>
          </w:p>
        </w:tc>
      </w:tr>
      <w:tr>
        <w:trPr>
          <w:trHeight w:val="339"/>
        </w:trPr>
        <w:tc>
          <w:tcPr>
            <w:tcW w:w="460" w:type="dxa"/>
            <w:vAlign w:val="bottom"/>
          </w:tcPr>
          <w:p>
            <w:pPr>
              <w:spacing w:after="0"/>
              <w:rPr>
                <w:sz w:val="24"/>
                <w:szCs w:val="24"/>
                <w:color w:val="auto"/>
              </w:rPr>
            </w:pPr>
          </w:p>
        </w:tc>
        <w:tc>
          <w:tcPr>
            <w:tcW w:w="1420" w:type="dxa"/>
            <w:vAlign w:val="bottom"/>
            <w:gridSpan w:val="2"/>
          </w:tcPr>
          <w:p>
            <w:pPr>
              <w:jc w:val="right"/>
              <w:ind w:right="128"/>
              <w:spacing w:after="0"/>
              <w:rPr>
                <w:sz w:val="20"/>
                <w:szCs w:val="20"/>
                <w:color w:val="auto"/>
              </w:rPr>
            </w:pPr>
            <w:r>
              <w:rPr>
                <w:rFonts w:ascii="Arial" w:cs="Arial" w:eastAsia="Arial" w:hAnsi="Arial"/>
                <w:sz w:val="14"/>
                <w:szCs w:val="14"/>
                <w:color w:val="auto"/>
              </w:rPr>
              <w:t>(8,045,413 )</w:t>
            </w:r>
          </w:p>
        </w:tc>
        <w:tc>
          <w:tcPr>
            <w:tcW w:w="48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(8,045,413 )</w:t>
            </w:r>
          </w:p>
        </w:tc>
      </w:tr>
      <w:tr>
        <w:trPr>
          <w:trHeight w:val="176"/>
        </w:trPr>
        <w:tc>
          <w:tcPr>
            <w:tcW w:w="460" w:type="dxa"/>
            <w:vAlign w:val="bottom"/>
          </w:tcPr>
          <w:p>
            <w:pPr>
              <w:spacing w:after="0"/>
              <w:rPr>
                <w:sz w:val="15"/>
                <w:szCs w:val="15"/>
                <w:color w:val="auto"/>
              </w:rPr>
            </w:pPr>
          </w:p>
        </w:tc>
        <w:tc>
          <w:tcPr>
            <w:tcW w:w="1420" w:type="dxa"/>
            <w:vAlign w:val="bottom"/>
            <w:gridSpan w:val="2"/>
          </w:tcPr>
          <w:p>
            <w:pPr>
              <w:jc w:val="right"/>
              <w:ind w:right="128"/>
              <w:spacing w:after="0"/>
              <w:rPr>
                <w:sz w:val="20"/>
                <w:szCs w:val="20"/>
                <w:color w:val="auto"/>
              </w:rPr>
            </w:pPr>
            <w:r>
              <w:rPr>
                <w:rFonts w:ascii="Arial" w:cs="Arial" w:eastAsia="Arial" w:hAnsi="Arial"/>
                <w:sz w:val="14"/>
                <w:szCs w:val="14"/>
                <w:color w:val="auto"/>
              </w:rPr>
              <w:t>(84,580,702 )</w:t>
            </w:r>
          </w:p>
        </w:tc>
        <w:tc>
          <w:tcPr>
            <w:tcW w:w="480" w:type="dxa"/>
            <w:vAlign w:val="bottom"/>
          </w:tcPr>
          <w:p>
            <w:pPr>
              <w:spacing w:after="0"/>
              <w:rPr>
                <w:sz w:val="15"/>
                <w:szCs w:val="15"/>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4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160,519,400</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4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416,897,391</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16,292,900</w:t>
            </w:r>
          </w:p>
        </w:tc>
        <w:tc>
          <w:tcPr>
            <w:tcW w:w="60" w:type="dxa"/>
            <w:vAlign w:val="bottom"/>
          </w:tcPr>
          <w:p>
            <w:pPr>
              <w:spacing w:after="0"/>
              <w:rPr>
                <w:sz w:val="15"/>
                <w:szCs w:val="15"/>
                <w:color w:val="auto"/>
              </w:rPr>
            </w:pPr>
          </w:p>
        </w:tc>
      </w:tr>
      <w:tr>
        <w:trPr>
          <w:trHeight w:val="181"/>
        </w:trPr>
        <w:tc>
          <w:tcPr>
            <w:tcW w:w="460" w:type="dxa"/>
            <w:vAlign w:val="bottom"/>
          </w:tcPr>
          <w:p>
            <w:pPr>
              <w:spacing w:after="0"/>
              <w:rPr>
                <w:sz w:val="15"/>
                <w:szCs w:val="15"/>
                <w:color w:val="auto"/>
              </w:rPr>
            </w:pPr>
          </w:p>
        </w:tc>
        <w:tc>
          <w:tcPr>
            <w:tcW w:w="1420" w:type="dxa"/>
            <w:vAlign w:val="bottom"/>
            <w:gridSpan w:val="2"/>
          </w:tcPr>
          <w:p>
            <w:pPr>
              <w:jc w:val="right"/>
              <w:ind w:right="128"/>
              <w:spacing w:after="0"/>
              <w:rPr>
                <w:sz w:val="20"/>
                <w:szCs w:val="20"/>
                <w:color w:val="auto"/>
              </w:rPr>
            </w:pPr>
            <w:r>
              <w:rPr>
                <w:rFonts w:ascii="Arial" w:cs="Arial" w:eastAsia="Arial" w:hAnsi="Arial"/>
                <w:sz w:val="14"/>
                <w:szCs w:val="14"/>
                <w:color w:val="auto"/>
              </w:rPr>
              <w:t>(288,218,391 )</w:t>
            </w:r>
          </w:p>
        </w:tc>
        <w:tc>
          <w:tcPr>
            <w:tcW w:w="4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(49,000,000 )</w:t>
            </w:r>
          </w:p>
        </w:tc>
      </w:tr>
      <w:tr>
        <w:trPr>
          <w:trHeight w:val="169"/>
        </w:trPr>
        <w:tc>
          <w:tcPr>
            <w:tcW w:w="4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196,572,285</w:t>
            </w:r>
          </w:p>
        </w:tc>
        <w:tc>
          <w:tcPr>
            <w:tcW w:w="26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(40,752,513</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r>
      <w:tr>
        <w:trPr>
          <w:trHeight w:val="164"/>
        </w:trPr>
        <w:tc>
          <w:tcPr>
            <w:tcW w:w="4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19,221,795</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(5,714,156</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r>
      <w:tr>
        <w:trPr>
          <w:trHeight w:val="175"/>
        </w:trPr>
        <w:tc>
          <w:tcPr>
            <w:tcW w:w="4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2,612</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65,453</w:t>
            </w:r>
          </w:p>
        </w:tc>
        <w:tc>
          <w:tcPr>
            <w:tcW w:w="60" w:type="dxa"/>
            <w:vAlign w:val="bottom"/>
          </w:tcPr>
          <w:p>
            <w:pPr>
              <w:spacing w:after="0"/>
              <w:rPr>
                <w:sz w:val="15"/>
                <w:szCs w:val="15"/>
                <w:color w:val="auto"/>
              </w:rPr>
            </w:pPr>
          </w:p>
        </w:tc>
      </w:tr>
      <w:tr>
        <w:trPr>
          <w:trHeight w:val="181"/>
        </w:trPr>
        <w:tc>
          <w:tcPr>
            <w:tcW w:w="4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20,357,016</w:t>
            </w: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25,806,002</w:t>
            </w:r>
          </w:p>
        </w:tc>
        <w:tc>
          <w:tcPr>
            <w:tcW w:w="60" w:type="dxa"/>
            <w:vAlign w:val="bottom"/>
          </w:tcPr>
          <w:p>
            <w:pPr>
              <w:spacing w:after="0"/>
              <w:rPr>
                <w:sz w:val="15"/>
                <w:szCs w:val="15"/>
                <w:color w:val="auto"/>
              </w:rPr>
            </w:pPr>
          </w:p>
        </w:tc>
      </w:tr>
      <w:tr>
        <w:trPr>
          <w:trHeight w:val="169"/>
        </w:trPr>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39,581,423</w:t>
            </w:r>
          </w:p>
        </w:tc>
        <w:tc>
          <w:tcPr>
            <w:tcW w:w="260" w:type="dxa"/>
            <w:vAlign w:val="bottom"/>
          </w:tcPr>
          <w:p>
            <w:pPr>
              <w:spacing w:after="0"/>
              <w:rPr>
                <w:sz w:val="14"/>
                <w:szCs w:val="14"/>
                <w:color w:val="auto"/>
              </w:rPr>
            </w:pP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20,157,299</w:t>
            </w:r>
          </w:p>
        </w:tc>
        <w:tc>
          <w:tcPr>
            <w:tcW w:w="60" w:type="dxa"/>
            <w:vAlign w:val="bottom"/>
          </w:tcPr>
          <w:p>
            <w:pPr>
              <w:spacing w:after="0"/>
              <w:rPr>
                <w:sz w:val="14"/>
                <w:szCs w:val="14"/>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2"/>
        </w:trPr>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7,251,724</w:t>
            </w:r>
          </w:p>
        </w:tc>
        <w:tc>
          <w:tcPr>
            <w:tcW w:w="260" w:type="dxa"/>
            <w:vAlign w:val="bottom"/>
          </w:tcPr>
          <w:p>
            <w:pPr>
              <w:spacing w:after="0"/>
              <w:rPr>
                <w:sz w:val="24"/>
                <w:szCs w:val="24"/>
                <w:color w:val="auto"/>
              </w:rPr>
            </w:pP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3,798,977</w:t>
            </w:r>
          </w:p>
        </w:tc>
        <w:tc>
          <w:tcPr>
            <w:tcW w:w="60" w:type="dxa"/>
            <w:vAlign w:val="bottom"/>
          </w:tcPr>
          <w:p>
            <w:pPr>
              <w:spacing w:after="0"/>
              <w:rPr>
                <w:sz w:val="24"/>
                <w:szCs w:val="24"/>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460" w:type="dxa"/>
            <w:vAlign w:val="bottom"/>
            <w:tcBorders>
              <w:bottom w:val="single" w:sz="8" w:color="auto"/>
            </w:tcBorders>
          </w:tcPr>
          <w:p>
            <w:pPr>
              <w:jc w:val="right"/>
              <w:ind w:right="308"/>
              <w:spacing w:after="0" w:line="156"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695,283</w:t>
            </w:r>
          </w:p>
        </w:tc>
        <w:tc>
          <w:tcPr>
            <w:tcW w:w="260" w:type="dxa"/>
            <w:vAlign w:val="bottom"/>
          </w:tcPr>
          <w:p>
            <w:pPr>
              <w:spacing w:after="0"/>
              <w:rPr>
                <w:sz w:val="13"/>
                <w:szCs w:val="13"/>
                <w:color w:val="auto"/>
              </w:rPr>
            </w:pPr>
          </w:p>
        </w:tc>
        <w:tc>
          <w:tcPr>
            <w:tcW w:w="480" w:type="dxa"/>
            <w:vAlign w:val="bottom"/>
            <w:tcBorders>
              <w:bottom w:val="single" w:sz="8" w:color="auto"/>
            </w:tcBorders>
          </w:tcPr>
          <w:p>
            <w:pPr>
              <w:jc w:val="right"/>
              <w:ind w:right="328"/>
              <w:spacing w:after="0" w:line="156"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3,528</w:t>
            </w:r>
          </w:p>
        </w:tc>
        <w:tc>
          <w:tcPr>
            <w:tcW w:w="60" w:type="dxa"/>
            <w:vAlign w:val="bottom"/>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460" w:type="dxa"/>
            <w:vAlign w:val="bottom"/>
            <w:tcBorders>
              <w:top w:val="single" w:sz="8" w:color="auto"/>
              <w:bottom w:val="single" w:sz="8" w:color="auto"/>
            </w:tcBorders>
          </w:tcPr>
          <w:p>
            <w:pPr>
              <w:jc w:val="right"/>
              <w:ind w:right="308"/>
              <w:spacing w:after="0" w:line="156"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(31,273,596</w:t>
            </w:r>
          </w:p>
        </w:tc>
        <w:tc>
          <w:tcPr>
            <w:tcW w:w="260" w:type="dxa"/>
            <w:vAlign w:val="bottom"/>
          </w:tcPr>
          <w:p>
            <w:pPr>
              <w:jc w:val="right"/>
              <w:ind w:right="128"/>
              <w:spacing w:after="0" w:line="156" w:lineRule="exact"/>
              <w:rPr>
                <w:sz w:val="20"/>
                <w:szCs w:val="20"/>
                <w:color w:val="auto"/>
              </w:rPr>
            </w:pPr>
            <w:r>
              <w:rPr>
                <w:rFonts w:ascii="Arial" w:cs="Arial" w:eastAsia="Arial" w:hAnsi="Arial"/>
                <w:sz w:val="14"/>
                <w:szCs w:val="14"/>
                <w:color w:val="auto"/>
                <w:w w:val="84"/>
              </w:rPr>
              <w:t>)</w:t>
            </w:r>
          </w:p>
        </w:tc>
        <w:tc>
          <w:tcPr>
            <w:tcW w:w="480" w:type="dxa"/>
            <w:vAlign w:val="bottom"/>
            <w:tcBorders>
              <w:top w:val="single" w:sz="8" w:color="auto"/>
              <w:bottom w:val="single" w:sz="8" w:color="auto"/>
            </w:tcBorders>
          </w:tcPr>
          <w:p>
            <w:pPr>
              <w:jc w:val="right"/>
              <w:ind w:right="328"/>
              <w:spacing w:after="0" w:line="156"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16,515,842</w:t>
            </w:r>
          </w:p>
        </w:tc>
        <w:tc>
          <w:tcPr>
            <w:tcW w:w="60" w:type="dxa"/>
            <w:vAlign w:val="bottom"/>
          </w:tcPr>
          <w:p>
            <w:pPr>
              <w:spacing w:after="0"/>
              <w:rPr>
                <w:sz w:val="13"/>
                <w:szCs w:val="13"/>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7540" w:space="140"/>
            <w:col w:w="3540"/>
          </w:cols>
          <w:pgMar w:left="340" w:top="319"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Maturity /</w:t>
            </w:r>
          </w:p>
        </w:tc>
        <w:tc>
          <w:tcPr>
            <w:tcW w:w="2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1"/>
                <w:szCs w:val="11"/>
                <w:b w:val="1"/>
                <w:bCs w:val="1"/>
                <w:color w:val="auto"/>
              </w:rPr>
              <w:t>Current</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160" w:type="dxa"/>
            <w:vAlign w:val="bottom"/>
          </w:tcPr>
          <w:p>
            <w:pPr>
              <w:spacing w:after="0"/>
              <w:rPr>
                <w:sz w:val="10"/>
                <w:szCs w:val="10"/>
                <w:color w:val="auto"/>
              </w:rPr>
            </w:pPr>
          </w:p>
        </w:tc>
        <w:tc>
          <w:tcPr>
            <w:tcW w:w="74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Par /</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6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Spread Above</w:t>
            </w: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(3)</w:t>
            </w:r>
          </w:p>
        </w:tc>
        <w:tc>
          <w:tcPr>
            <w:tcW w:w="0" w:type="dxa"/>
            <w:vAlign w:val="bottom"/>
          </w:tcPr>
          <w:p>
            <w:pPr>
              <w:spacing w:after="0"/>
              <w:rPr>
                <w:sz w:val="1"/>
                <w:szCs w:val="1"/>
                <w:color w:val="auto"/>
              </w:rPr>
            </w:pPr>
          </w:p>
        </w:tc>
      </w:tr>
      <w:tr>
        <w:trPr>
          <w:trHeight w:val="142"/>
        </w:trPr>
        <w:tc>
          <w:tcPr>
            <w:tcW w:w="2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w:t>
            </w:r>
          </w:p>
        </w:tc>
        <w:tc>
          <w:tcPr>
            <w:tcW w:w="2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Coupon</w:t>
            </w:r>
          </w:p>
        </w:tc>
        <w:tc>
          <w:tcPr>
            <w:tcW w:w="920" w:type="dxa"/>
            <w:vAlign w:val="bottom"/>
          </w:tcPr>
          <w:p>
            <w:pPr>
              <w:jc w:val="center"/>
              <w:spacing w:after="0" w:line="130"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(4)</w:t>
            </w:r>
          </w:p>
        </w:tc>
        <w:tc>
          <w:tcPr>
            <w:tcW w:w="160" w:type="dxa"/>
            <w:vAlign w:val="bottom"/>
          </w:tcPr>
          <w:p>
            <w:pPr>
              <w:spacing w:after="0"/>
              <w:rPr>
                <w:sz w:val="12"/>
                <w:szCs w:val="12"/>
                <w:color w:val="auto"/>
              </w:rPr>
            </w:pPr>
          </w:p>
        </w:tc>
        <w:tc>
          <w:tcPr>
            <w:tcW w:w="740" w:type="dxa"/>
            <w:vAlign w:val="bottom"/>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7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w w:val="89"/>
              </w:rPr>
              <w:t xml:space="preserve">Investments in Non-Controlled, Non-Affiliated Portfolio Companies—137.5% </w:t>
            </w:r>
            <w:r>
              <w:rPr>
                <w:rFonts w:ascii="Arial" w:cs="Arial" w:eastAsia="Arial" w:hAnsi="Arial"/>
                <w:sz w:val="14"/>
                <w:szCs w:val="14"/>
                <w:b w:val="1"/>
                <w:bCs w:val="1"/>
                <w:color w:val="auto"/>
                <w:w w:val="89"/>
                <w:vertAlign w:val="superscript"/>
              </w:rPr>
              <w:t>(1),</w:t>
            </w:r>
          </w:p>
        </w:tc>
        <w:tc>
          <w:tcPr>
            <w:tcW w:w="120" w:type="dxa"/>
            <w:vAlign w:val="bottom"/>
          </w:tcPr>
          <w:p>
            <w:pPr>
              <w:jc w:val="right"/>
              <w:spacing w:after="0" w:line="61" w:lineRule="exact"/>
              <w:rPr>
                <w:sz w:val="20"/>
                <w:szCs w:val="20"/>
                <w:color w:val="auto"/>
              </w:rPr>
            </w:pPr>
            <w:r>
              <w:rPr>
                <w:rFonts w:ascii="Arial" w:cs="Arial" w:eastAsia="Arial" w:hAnsi="Arial"/>
                <w:sz w:val="7"/>
                <w:szCs w:val="7"/>
                <w:b w:val="1"/>
                <w:bCs w:val="1"/>
                <w:color w:val="auto"/>
                <w:w w:val="92"/>
              </w:rPr>
              <w:t>(2)</w:t>
            </w:r>
          </w:p>
        </w:tc>
        <w:tc>
          <w:tcPr>
            <w:tcW w:w="2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9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First Lien Secured Debt—92.7%</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Ad.net Acquisition, LLC (Revolver)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05/06/2026</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444,444</w:t>
            </w: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Altamira Technologies, LLC (Revolver)</w:t>
            </w:r>
          </w:p>
        </w:tc>
        <w:tc>
          <w:tcPr>
            <w:tcW w:w="78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07/24/2025</w:t>
            </w:r>
          </w:p>
        </w:tc>
        <w:tc>
          <w:tcPr>
            <w:tcW w:w="12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6"/>
              </w:rPr>
              <w:t>Aerospace and Defense</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9.00 %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L+800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50,000</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50,000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46,875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07/24/2025</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137,500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(8,594 )</w:t>
            </w: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American Insulated Glass,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12/21/2023</w:t>
            </w:r>
          </w:p>
        </w:tc>
        <w:tc>
          <w:tcPr>
            <w:tcW w:w="12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4"/>
              </w:rPr>
              <w:t>Building Materials</w:t>
            </w:r>
          </w:p>
        </w:tc>
        <w:tc>
          <w:tcPr>
            <w:tcW w:w="1100" w:type="dxa"/>
            <w:vAlign w:val="bottom"/>
            <w:gridSpan w:val="3"/>
          </w:tcPr>
          <w:p>
            <w:pPr>
              <w:jc w:val="right"/>
              <w:ind w:right="180"/>
              <w:spacing w:after="0"/>
              <w:rPr>
                <w:sz w:val="20"/>
                <w:szCs w:val="20"/>
                <w:color w:val="auto"/>
              </w:rPr>
            </w:pPr>
            <w:r>
              <w:rPr>
                <w:rFonts w:ascii="Arial" w:cs="Arial" w:eastAsia="Arial" w:hAnsi="Arial"/>
                <w:sz w:val="11"/>
                <w:szCs w:val="11"/>
                <w:color w:val="auto"/>
              </w:rPr>
              <w:t>6.50 %</w:t>
            </w:r>
          </w:p>
        </w:tc>
        <w:tc>
          <w:tcPr>
            <w:tcW w:w="920" w:type="dxa"/>
            <w:vAlign w:val="bottom"/>
          </w:tcPr>
          <w:p>
            <w:pPr>
              <w:jc w:val="right"/>
              <w:spacing w:after="0"/>
              <w:rPr>
                <w:sz w:val="20"/>
                <w:szCs w:val="20"/>
                <w:color w:val="auto"/>
              </w:rPr>
            </w:pPr>
            <w:r>
              <w:rPr>
                <w:rFonts w:ascii="Arial" w:cs="Arial" w:eastAsia="Arial" w:hAnsi="Arial"/>
                <w:sz w:val="11"/>
                <w:szCs w:val="11"/>
                <w:color w:val="auto"/>
              </w:rPr>
              <w:t>3M L+550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13,605,003</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13,484,451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13,605,003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Any Hour Services</w:t>
            </w:r>
          </w:p>
        </w:tc>
        <w:tc>
          <w:tcPr>
            <w:tcW w:w="78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07/21/2027</w:t>
            </w:r>
          </w:p>
        </w:tc>
        <w:tc>
          <w:tcPr>
            <w:tcW w:w="12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7"/>
              </w:rPr>
              <w:t>Personal, Food and Miscellaneous Services</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6.75 %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3,510,000</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3,475,030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3,510,000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Any Hour Services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07/21/2027</w:t>
            </w:r>
          </w:p>
        </w:tc>
        <w:tc>
          <w:tcPr>
            <w:tcW w:w="12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313,529</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3,135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Any Hour Services (Revolver)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07/21/2027</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1,147,059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Arial" w:cs="Arial" w:eastAsia="Arial" w:hAnsi="Arial"/>
                <w:sz w:val="11"/>
                <w:szCs w:val="11"/>
                <w:color w:val="auto"/>
              </w:rPr>
              <w:t>Apex Service Partners,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07/31/2025</w:t>
            </w:r>
          </w:p>
        </w:tc>
        <w:tc>
          <w:tcPr>
            <w:tcW w:w="12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100" w:type="dxa"/>
            <w:vAlign w:val="bottom"/>
            <w:gridSpan w:val="3"/>
          </w:tcPr>
          <w:p>
            <w:pPr>
              <w:jc w:val="right"/>
              <w:ind w:right="180"/>
              <w:spacing w:after="0"/>
              <w:rPr>
                <w:sz w:val="20"/>
                <w:szCs w:val="20"/>
                <w:color w:val="auto"/>
              </w:rPr>
            </w:pPr>
            <w:r>
              <w:rPr>
                <w:rFonts w:ascii="Arial" w:cs="Arial" w:eastAsia="Arial" w:hAnsi="Arial"/>
                <w:sz w:val="11"/>
                <w:szCs w:val="11"/>
                <w:color w:val="auto"/>
              </w:rPr>
              <w:t>6.25 %</w:t>
            </w:r>
          </w:p>
        </w:tc>
        <w:tc>
          <w:tcPr>
            <w:tcW w:w="920" w:type="dxa"/>
            <w:vAlign w:val="bottom"/>
          </w:tcPr>
          <w:p>
            <w:pPr>
              <w:jc w:val="right"/>
              <w:spacing w:after="0"/>
              <w:rPr>
                <w:sz w:val="20"/>
                <w:szCs w:val="20"/>
                <w:color w:val="auto"/>
              </w:rPr>
            </w:pPr>
            <w:r>
              <w:rPr>
                <w:rFonts w:ascii="Arial" w:cs="Arial" w:eastAsia="Arial" w:hAnsi="Arial"/>
                <w:sz w:val="11"/>
                <w:szCs w:val="11"/>
                <w:color w:val="auto"/>
              </w:rPr>
              <w:t>1M L+525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3,936,073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3,936,073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3,886,872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 Term Loan 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07/31/2025</w:t>
            </w:r>
          </w:p>
        </w:tc>
        <w:tc>
          <w:tcPr>
            <w:tcW w:w="120" w:type="dxa"/>
            <w:vAlign w:val="bottom"/>
            <w:shd w:val="clear" w:color="auto" w:fill="CCECFF"/>
          </w:tcPr>
          <w:p>
            <w:pPr>
              <w:spacing w:after="0"/>
              <w:rPr>
                <w:sz w:val="12"/>
                <w:szCs w:val="12"/>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10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6.25 %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9,644,656</w:t>
            </w:r>
          </w:p>
        </w:tc>
        <w:tc>
          <w:tcPr>
            <w:tcW w:w="1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9,534,394</w:t>
            </w: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9,524,098</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960" w:type="dxa"/>
            <w:vAlign w:val="bottom"/>
          </w:tcPr>
          <w:p>
            <w:pPr>
              <w:ind w:left="20"/>
              <w:spacing w:after="0" w:line="105" w:lineRule="exact"/>
              <w:rPr>
                <w:sz w:val="20"/>
                <w:szCs w:val="20"/>
                <w:color w:val="auto"/>
              </w:rPr>
            </w:pPr>
            <w:r>
              <w:rPr>
                <w:rFonts w:ascii="Arial" w:cs="Arial" w:eastAsia="Arial" w:hAnsi="Arial"/>
                <w:sz w:val="11"/>
                <w:szCs w:val="11"/>
                <w:color w:val="auto"/>
              </w:rPr>
              <w:t>Apex Service Partners, LLC (Revolver)</w:t>
            </w:r>
          </w:p>
        </w:tc>
        <w:tc>
          <w:tcPr>
            <w:tcW w:w="780" w:type="dxa"/>
            <w:vAlign w:val="bottom"/>
            <w:gridSpan w:val="2"/>
          </w:tcPr>
          <w:p>
            <w:pPr>
              <w:jc w:val="center"/>
              <w:ind w:left="66"/>
              <w:spacing w:after="0" w:line="105" w:lineRule="exact"/>
              <w:rPr>
                <w:sz w:val="20"/>
                <w:szCs w:val="20"/>
                <w:color w:val="auto"/>
              </w:rPr>
            </w:pPr>
            <w:r>
              <w:rPr>
                <w:rFonts w:ascii="Arial" w:cs="Arial" w:eastAsia="Arial" w:hAnsi="Arial"/>
                <w:sz w:val="11"/>
                <w:szCs w:val="11"/>
                <w:color w:val="auto"/>
                <w:w w:val="90"/>
              </w:rPr>
              <w:t>07/29/2024</w:t>
            </w:r>
          </w:p>
        </w:tc>
        <w:tc>
          <w:tcPr>
            <w:tcW w:w="120" w:type="dxa"/>
            <w:vAlign w:val="bottom"/>
          </w:tcPr>
          <w:p>
            <w:pPr>
              <w:spacing w:after="0"/>
              <w:rPr>
                <w:sz w:val="9"/>
                <w:szCs w:val="9"/>
                <w:color w:val="auto"/>
              </w:rPr>
            </w:pPr>
          </w:p>
        </w:tc>
        <w:tc>
          <w:tcPr>
            <w:tcW w:w="2600" w:type="dxa"/>
            <w:vAlign w:val="bottom"/>
          </w:tcPr>
          <w:p>
            <w:pPr>
              <w:jc w:val="center"/>
              <w:spacing w:after="0" w:line="105" w:lineRule="exact"/>
              <w:rPr>
                <w:sz w:val="20"/>
                <w:szCs w:val="20"/>
                <w:color w:val="auto"/>
              </w:rPr>
            </w:pPr>
            <w:r>
              <w:rPr>
                <w:rFonts w:ascii="Arial" w:cs="Arial" w:eastAsia="Arial" w:hAnsi="Arial"/>
                <w:sz w:val="11"/>
                <w:szCs w:val="11"/>
                <w:color w:val="auto"/>
                <w:w w:val="87"/>
              </w:rPr>
              <w:t>Personal, Food and Miscellaneous Services</w:t>
            </w:r>
          </w:p>
        </w:tc>
        <w:tc>
          <w:tcPr>
            <w:tcW w:w="1100" w:type="dxa"/>
            <w:vAlign w:val="bottom"/>
            <w:gridSpan w:val="3"/>
          </w:tcPr>
          <w:p>
            <w:pPr>
              <w:jc w:val="right"/>
              <w:ind w:right="180"/>
              <w:spacing w:after="0" w:line="105" w:lineRule="exact"/>
              <w:rPr>
                <w:sz w:val="20"/>
                <w:szCs w:val="20"/>
                <w:color w:val="auto"/>
              </w:rPr>
            </w:pPr>
            <w:r>
              <w:rPr>
                <w:rFonts w:ascii="Arial" w:cs="Arial" w:eastAsia="Arial" w:hAnsi="Arial"/>
                <w:sz w:val="11"/>
                <w:szCs w:val="11"/>
                <w:color w:val="auto"/>
              </w:rPr>
              <w:t>6.25 %</w:t>
            </w:r>
          </w:p>
        </w:tc>
        <w:tc>
          <w:tcPr>
            <w:tcW w:w="920" w:type="dxa"/>
            <w:vAlign w:val="bottom"/>
          </w:tcPr>
          <w:p>
            <w:pPr>
              <w:jc w:val="right"/>
              <w:spacing w:after="0" w:line="105" w:lineRule="exact"/>
              <w:rPr>
                <w:sz w:val="20"/>
                <w:szCs w:val="20"/>
                <w:color w:val="auto"/>
              </w:rPr>
            </w:pPr>
            <w:r>
              <w:rPr>
                <w:rFonts w:ascii="Arial" w:cs="Arial" w:eastAsia="Arial" w:hAnsi="Arial"/>
                <w:sz w:val="11"/>
                <w:szCs w:val="11"/>
                <w:color w:val="auto"/>
              </w:rPr>
              <w:t>3M L+525</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372,826</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372,826</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364,438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Apex Service Partners, LLC (Revolver)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07/29/2024</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559,239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(12,583 )</w:t>
            </w: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Applied Technical Services, LLC</w:t>
            </w:r>
          </w:p>
        </w:tc>
        <w:tc>
          <w:tcPr>
            <w:tcW w:w="78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12/29/2026</w:t>
            </w:r>
          </w:p>
        </w:tc>
        <w:tc>
          <w:tcPr>
            <w:tcW w:w="12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9"/>
              </w:rPr>
              <w:t>Environmental Services</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6.75 %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2,682,396</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2,652,731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2,648,866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Applied Technical Services, LLC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06/29/2022</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Environmental Services</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3,548,655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(4,436 )</w:t>
            </w: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Applied Technical Services, LLC (Revolver)</w:t>
            </w:r>
          </w:p>
        </w:tc>
        <w:tc>
          <w:tcPr>
            <w:tcW w:w="78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12/29/2026</w:t>
            </w:r>
          </w:p>
        </w:tc>
        <w:tc>
          <w:tcPr>
            <w:tcW w:w="12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9"/>
              </w:rPr>
              <w:t>Environmental Services</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8.00 %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P +475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250,000</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250,000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246,875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12/29/2026</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Environmental Services</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750,000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(9,375 )</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Arial" w:cs="Arial" w:eastAsia="Arial" w:hAnsi="Arial"/>
                <w:sz w:val="11"/>
                <w:szCs w:val="11"/>
                <w:color w:val="auto"/>
              </w:rPr>
              <w:t>Bottom Line Systems,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02/13/2023</w:t>
            </w:r>
          </w:p>
        </w:tc>
        <w:tc>
          <w:tcPr>
            <w:tcW w:w="12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100" w:type="dxa"/>
            <w:vAlign w:val="bottom"/>
            <w:gridSpan w:val="3"/>
          </w:tcPr>
          <w:p>
            <w:pPr>
              <w:jc w:val="right"/>
              <w:ind w:right="180"/>
              <w:spacing w:after="0"/>
              <w:rPr>
                <w:sz w:val="20"/>
                <w:szCs w:val="20"/>
                <w:color w:val="auto"/>
              </w:rPr>
            </w:pPr>
            <w:r>
              <w:rPr>
                <w:rFonts w:ascii="Arial" w:cs="Arial" w:eastAsia="Arial" w:hAnsi="Arial"/>
                <w:sz w:val="11"/>
                <w:szCs w:val="11"/>
                <w:color w:val="auto"/>
              </w:rPr>
              <w:t>6.25 %</w:t>
            </w:r>
          </w:p>
        </w:tc>
        <w:tc>
          <w:tcPr>
            <w:tcW w:w="920" w:type="dxa"/>
            <w:vAlign w:val="bottom"/>
          </w:tcPr>
          <w:p>
            <w:pPr>
              <w:jc w:val="right"/>
              <w:spacing w:after="0"/>
              <w:rPr>
                <w:sz w:val="20"/>
                <w:szCs w:val="20"/>
                <w:color w:val="auto"/>
              </w:rPr>
            </w:pPr>
            <w:r>
              <w:rPr>
                <w:rFonts w:ascii="Arial" w:cs="Arial" w:eastAsia="Arial" w:hAnsi="Arial"/>
                <w:sz w:val="11"/>
                <w:szCs w:val="11"/>
                <w:color w:val="auto"/>
              </w:rPr>
              <w:t>1M L+550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6,153,097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6,132,781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6,153,097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Broder Bros., Co.</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12/02/2022</w:t>
            </w:r>
          </w:p>
        </w:tc>
        <w:tc>
          <w:tcPr>
            <w:tcW w:w="120" w:type="dxa"/>
            <w:vAlign w:val="bottom"/>
            <w:shd w:val="clear" w:color="auto" w:fill="CCECFF"/>
          </w:tcPr>
          <w:p>
            <w:pPr>
              <w:spacing w:after="0"/>
              <w:rPr>
                <w:sz w:val="12"/>
                <w:szCs w:val="12"/>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Products</w:t>
            </w:r>
          </w:p>
        </w:tc>
        <w:tc>
          <w:tcPr>
            <w:tcW w:w="110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8.00 %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25,189,083</w:t>
            </w:r>
          </w:p>
        </w:tc>
        <w:tc>
          <w:tcPr>
            <w:tcW w:w="1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25,189,743</w:t>
            </w: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25,189,083</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960" w:type="dxa"/>
            <w:vAlign w:val="bottom"/>
          </w:tcPr>
          <w:p>
            <w:pPr>
              <w:ind w:left="20"/>
              <w:spacing w:after="0" w:line="105" w:lineRule="exact"/>
              <w:rPr>
                <w:sz w:val="20"/>
                <w:szCs w:val="20"/>
                <w:color w:val="auto"/>
              </w:rPr>
            </w:pPr>
            <w:r>
              <w:rPr>
                <w:rFonts w:ascii="Arial" w:cs="Arial" w:eastAsia="Arial" w:hAnsi="Arial"/>
                <w:sz w:val="11"/>
                <w:szCs w:val="11"/>
                <w:color w:val="auto"/>
              </w:rPr>
              <w:t>CF512, Inc.</w:t>
            </w:r>
          </w:p>
        </w:tc>
        <w:tc>
          <w:tcPr>
            <w:tcW w:w="780" w:type="dxa"/>
            <w:vAlign w:val="bottom"/>
            <w:gridSpan w:val="2"/>
          </w:tcPr>
          <w:p>
            <w:pPr>
              <w:jc w:val="center"/>
              <w:ind w:left="66"/>
              <w:spacing w:after="0" w:line="105" w:lineRule="exact"/>
              <w:rPr>
                <w:sz w:val="20"/>
                <w:szCs w:val="20"/>
                <w:color w:val="auto"/>
              </w:rPr>
            </w:pPr>
            <w:r>
              <w:rPr>
                <w:rFonts w:ascii="Arial" w:cs="Arial" w:eastAsia="Arial" w:hAnsi="Arial"/>
                <w:sz w:val="11"/>
                <w:szCs w:val="11"/>
                <w:color w:val="auto"/>
                <w:w w:val="90"/>
              </w:rPr>
              <w:t>08/20/2026</w:t>
            </w:r>
          </w:p>
        </w:tc>
        <w:tc>
          <w:tcPr>
            <w:tcW w:w="120" w:type="dxa"/>
            <w:vAlign w:val="bottom"/>
          </w:tcPr>
          <w:p>
            <w:pPr>
              <w:spacing w:after="0"/>
              <w:rPr>
                <w:sz w:val="9"/>
                <w:szCs w:val="9"/>
                <w:color w:val="auto"/>
              </w:rPr>
            </w:pPr>
          </w:p>
        </w:tc>
        <w:tc>
          <w:tcPr>
            <w:tcW w:w="260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1100" w:type="dxa"/>
            <w:vAlign w:val="bottom"/>
            <w:gridSpan w:val="3"/>
          </w:tcPr>
          <w:p>
            <w:pPr>
              <w:jc w:val="right"/>
              <w:ind w:right="180"/>
              <w:spacing w:after="0" w:line="105" w:lineRule="exact"/>
              <w:rPr>
                <w:sz w:val="20"/>
                <w:szCs w:val="20"/>
                <w:color w:val="auto"/>
              </w:rPr>
            </w:pPr>
            <w:r>
              <w:rPr>
                <w:rFonts w:ascii="Arial" w:cs="Arial" w:eastAsia="Arial" w:hAnsi="Arial"/>
                <w:sz w:val="11"/>
                <w:szCs w:val="11"/>
                <w:color w:val="auto"/>
              </w:rPr>
              <w:t>7.00 %</w:t>
            </w:r>
          </w:p>
        </w:tc>
        <w:tc>
          <w:tcPr>
            <w:tcW w:w="920" w:type="dxa"/>
            <w:vAlign w:val="bottom"/>
          </w:tcPr>
          <w:p>
            <w:pPr>
              <w:jc w:val="right"/>
              <w:spacing w:after="0" w:line="105" w:lineRule="exact"/>
              <w:rPr>
                <w:sz w:val="20"/>
                <w:szCs w:val="20"/>
                <w:color w:val="auto"/>
              </w:rPr>
            </w:pPr>
            <w:r>
              <w:rPr>
                <w:rFonts w:ascii="Arial" w:cs="Arial" w:eastAsia="Arial" w:hAnsi="Arial"/>
                <w:sz w:val="11"/>
                <w:szCs w:val="11"/>
                <w:color w:val="auto"/>
              </w:rPr>
              <w:t>3M L+600</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9,520,455</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9,362,895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9,425,250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CF512, Inc.(Revolver)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08/20/2026</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909,091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(9,091 )</w:t>
            </w: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Compex Legal Services,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02/09/2026</w:t>
            </w:r>
          </w:p>
        </w:tc>
        <w:tc>
          <w:tcPr>
            <w:tcW w:w="12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100" w:type="dxa"/>
            <w:vAlign w:val="bottom"/>
            <w:gridSpan w:val="3"/>
          </w:tcPr>
          <w:p>
            <w:pPr>
              <w:jc w:val="right"/>
              <w:ind w:right="180"/>
              <w:spacing w:after="0"/>
              <w:rPr>
                <w:sz w:val="20"/>
                <w:szCs w:val="20"/>
                <w:color w:val="auto"/>
              </w:rPr>
            </w:pPr>
            <w:r>
              <w:rPr>
                <w:rFonts w:ascii="Arial" w:cs="Arial" w:eastAsia="Arial" w:hAnsi="Arial"/>
                <w:sz w:val="11"/>
                <w:szCs w:val="11"/>
                <w:color w:val="auto"/>
              </w:rPr>
              <w:t>6.75 %</w:t>
            </w:r>
          </w:p>
        </w:tc>
        <w:tc>
          <w:tcPr>
            <w:tcW w:w="920" w:type="dxa"/>
            <w:vAlign w:val="bottom"/>
          </w:tcPr>
          <w:p>
            <w:pPr>
              <w:jc w:val="right"/>
              <w:spacing w:after="0"/>
              <w:rPr>
                <w:sz w:val="20"/>
                <w:szCs w:val="20"/>
                <w:color w:val="auto"/>
              </w:rPr>
            </w:pPr>
            <w:r>
              <w:rPr>
                <w:rFonts w:ascii="Arial" w:cs="Arial" w:eastAsia="Arial" w:hAnsi="Arial"/>
                <w:sz w:val="11"/>
                <w:szCs w:val="11"/>
                <w:color w:val="auto"/>
              </w:rPr>
              <w:t>3M L+575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3,560,594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3,508,240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3,560,594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Compex Legal Services, Inc. (Revolver)</w:t>
            </w:r>
          </w:p>
        </w:tc>
        <w:tc>
          <w:tcPr>
            <w:tcW w:w="78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02/07/2025</w:t>
            </w:r>
          </w:p>
        </w:tc>
        <w:tc>
          <w:tcPr>
            <w:tcW w:w="12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6.75 %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393,396</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393,396</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393,396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02/07/2025</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262,264</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Connatix Buyer, Inc.</w:t>
            </w:r>
          </w:p>
        </w:tc>
        <w:tc>
          <w:tcPr>
            <w:tcW w:w="78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07/13/2027</w:t>
            </w:r>
          </w:p>
        </w:tc>
        <w:tc>
          <w:tcPr>
            <w:tcW w:w="12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6.25 %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11,970,000</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11,746,118</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12,029,848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Connatix Buyer, Inc.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01/13/2023</w:t>
            </w:r>
          </w:p>
        </w:tc>
        <w:tc>
          <w:tcPr>
            <w:tcW w:w="12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3,157,895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47,368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Connatix Buyer, Inc. (Revolver)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07/13/2027</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1,859,375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Crane 1 Services, Inc.</w:t>
            </w:r>
          </w:p>
        </w:tc>
        <w:tc>
          <w:tcPr>
            <w:tcW w:w="78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08/16/2027</w:t>
            </w:r>
          </w:p>
        </w:tc>
        <w:tc>
          <w:tcPr>
            <w:tcW w:w="12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7"/>
              </w:rPr>
              <w:t>Personal, Food and Miscellaneous Services</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6.75 %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1,842,750</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1,816,473</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1,824,323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Crane 1 Services, Inc.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08/16/2023</w:t>
            </w:r>
          </w:p>
        </w:tc>
        <w:tc>
          <w:tcPr>
            <w:tcW w:w="12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777,512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(1,943 )</w:t>
            </w: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Crane 1 Services, Inc. (Revolver)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08/16/2027</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291,567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(2,916 )</w:t>
            </w: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Crash Champions, LLC</w:t>
            </w:r>
          </w:p>
        </w:tc>
        <w:tc>
          <w:tcPr>
            <w:tcW w:w="78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08/05/2025</w:t>
            </w:r>
          </w:p>
        </w:tc>
        <w:tc>
          <w:tcPr>
            <w:tcW w:w="12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90"/>
              </w:rPr>
              <w:t>Auto Sector</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6.28 %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21,283,479</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21,004,099</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20,857,809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960" w:type="dxa"/>
            <w:vAlign w:val="bottom"/>
          </w:tcPr>
          <w:p>
            <w:pPr>
              <w:ind w:left="20"/>
              <w:spacing w:after="0"/>
              <w:rPr>
                <w:sz w:val="20"/>
                <w:szCs w:val="20"/>
                <w:color w:val="auto"/>
              </w:rPr>
            </w:pPr>
            <w:r>
              <w:rPr>
                <w:rFonts w:ascii="Arial" w:cs="Arial" w:eastAsia="Arial" w:hAnsi="Arial"/>
                <w:sz w:val="11"/>
                <w:szCs w:val="11"/>
                <w:color w:val="auto"/>
              </w:rPr>
              <w:t xml:space="preserve">Crash Champions, LLC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08/05/2025</w:t>
            </w:r>
          </w:p>
        </w:tc>
        <w:tc>
          <w:tcPr>
            <w:tcW w:w="12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0"/>
              </w:rPr>
              <w:t>Auto Sector</w:t>
            </w: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2,707,895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(40,618 )</w:t>
            </w: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DermaRite Industries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03/03/2022</w:t>
            </w:r>
          </w:p>
        </w:tc>
        <w:tc>
          <w:tcPr>
            <w:tcW w:w="12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Manufacturing / Basic Industries</w:t>
            </w:r>
          </w:p>
        </w:tc>
        <w:tc>
          <w:tcPr>
            <w:tcW w:w="110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8.00 %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8,054,975</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8,049,823</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6,492,310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Dr. Squatch, LLC</w:t>
            </w:r>
          </w:p>
        </w:tc>
        <w:tc>
          <w:tcPr>
            <w:tcW w:w="780" w:type="dxa"/>
            <w:vAlign w:val="bottom"/>
            <w:gridSpan w:val="2"/>
          </w:tcPr>
          <w:p>
            <w:pPr>
              <w:jc w:val="center"/>
              <w:ind w:left="66"/>
              <w:spacing w:after="0" w:line="125" w:lineRule="exact"/>
              <w:rPr>
                <w:sz w:val="20"/>
                <w:szCs w:val="20"/>
                <w:color w:val="auto"/>
              </w:rPr>
            </w:pPr>
            <w:r>
              <w:rPr>
                <w:rFonts w:ascii="Arial" w:cs="Arial" w:eastAsia="Arial" w:hAnsi="Arial"/>
                <w:sz w:val="11"/>
                <w:szCs w:val="11"/>
                <w:color w:val="auto"/>
                <w:w w:val="90"/>
              </w:rPr>
              <w:t>08/27/2026</w:t>
            </w:r>
          </w:p>
        </w:tc>
        <w:tc>
          <w:tcPr>
            <w:tcW w:w="120" w:type="dxa"/>
            <w:vAlign w:val="bottom"/>
          </w:tcPr>
          <w:p>
            <w:pPr>
              <w:spacing w:after="0"/>
              <w:rPr>
                <w:sz w:val="10"/>
                <w:szCs w:val="10"/>
                <w:color w:val="auto"/>
              </w:rPr>
            </w:pPr>
          </w:p>
        </w:tc>
        <w:tc>
          <w:tcPr>
            <w:tcW w:w="2600" w:type="dxa"/>
            <w:vAlign w:val="bottom"/>
          </w:tcPr>
          <w:p>
            <w:pPr>
              <w:jc w:val="center"/>
              <w:spacing w:after="0" w:line="125" w:lineRule="exact"/>
              <w:rPr>
                <w:sz w:val="20"/>
                <w:szCs w:val="20"/>
                <w:color w:val="auto"/>
              </w:rPr>
            </w:pPr>
            <w:r>
              <w:rPr>
                <w:rFonts w:ascii="Arial" w:cs="Arial" w:eastAsia="Arial" w:hAnsi="Arial"/>
                <w:sz w:val="11"/>
                <w:szCs w:val="11"/>
                <w:color w:val="auto"/>
                <w:w w:val="87"/>
              </w:rPr>
              <w:t>Personal and Non-Durable Consumer Products</w:t>
            </w:r>
          </w:p>
        </w:tc>
        <w:tc>
          <w:tcPr>
            <w:tcW w:w="1100" w:type="dxa"/>
            <w:vAlign w:val="bottom"/>
            <w:gridSpan w:val="3"/>
          </w:tcPr>
          <w:p>
            <w:pPr>
              <w:jc w:val="right"/>
              <w:ind w:right="180"/>
              <w:spacing w:after="0" w:line="125" w:lineRule="exact"/>
              <w:rPr>
                <w:sz w:val="20"/>
                <w:szCs w:val="20"/>
                <w:color w:val="auto"/>
              </w:rPr>
            </w:pPr>
            <w:r>
              <w:rPr>
                <w:rFonts w:ascii="Arial" w:cs="Arial" w:eastAsia="Arial" w:hAnsi="Arial"/>
                <w:sz w:val="11"/>
                <w:szCs w:val="11"/>
                <w:color w:val="auto"/>
              </w:rPr>
              <w:t>7.00 %</w:t>
            </w:r>
          </w:p>
        </w:tc>
        <w:tc>
          <w:tcPr>
            <w:tcW w:w="920" w:type="dxa"/>
            <w:vAlign w:val="bottom"/>
          </w:tcPr>
          <w:p>
            <w:pPr>
              <w:jc w:val="right"/>
              <w:spacing w:after="0" w:line="125" w:lineRule="exact"/>
              <w:rPr>
                <w:sz w:val="20"/>
                <w:szCs w:val="20"/>
                <w:color w:val="auto"/>
              </w:rPr>
            </w:pPr>
            <w:r>
              <w:rPr>
                <w:rFonts w:ascii="Arial" w:cs="Arial" w:eastAsia="Arial" w:hAnsi="Arial"/>
                <w:sz w:val="11"/>
                <w:szCs w:val="11"/>
                <w:color w:val="auto"/>
              </w:rPr>
              <w:t>3M L+600</w:t>
            </w:r>
          </w:p>
        </w:tc>
        <w:tc>
          <w:tcPr>
            <w:tcW w:w="9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6,997,177</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6,863,534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6,997,177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Dr. Squatch, LLC (Revolver)</w:t>
            </w:r>
          </w:p>
        </w:tc>
        <w:tc>
          <w:tcPr>
            <w:tcW w:w="78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08/27/2026</w:t>
            </w:r>
          </w:p>
        </w:tc>
        <w:tc>
          <w:tcPr>
            <w:tcW w:w="12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7"/>
              </w:rPr>
              <w:t>Personal and Non-Durable Consumer Products</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7.00 %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L+600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1,705,610</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1,705,610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1,705,610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Dr. Squatch, LLC (Revolver)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08/27/2026</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Personal and Non-Durable Consumer Products</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620,222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DRS Holdings III, Inc.</w:t>
            </w:r>
          </w:p>
        </w:tc>
        <w:tc>
          <w:tcPr>
            <w:tcW w:w="78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11/03/2025</w:t>
            </w:r>
          </w:p>
        </w:tc>
        <w:tc>
          <w:tcPr>
            <w:tcW w:w="12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6"/>
              </w:rPr>
              <w:t>Consumer Products</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6.75 %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4,950,000</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4,906,027</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4,920,300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960" w:type="dxa"/>
            <w:vAlign w:val="bottom"/>
          </w:tcPr>
          <w:p>
            <w:pPr>
              <w:ind w:left="20"/>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11/03/2025</w:t>
            </w:r>
          </w:p>
        </w:tc>
        <w:tc>
          <w:tcPr>
            <w:tcW w:w="12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Consumer Products</w:t>
            </w: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1,782,555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(10,695 )</w:t>
            </w: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Duraco Specialty Tapes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06/30/2024</w:t>
            </w:r>
          </w:p>
        </w:tc>
        <w:tc>
          <w:tcPr>
            <w:tcW w:w="12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Manufacturing / Basic Industries</w:t>
            </w:r>
          </w:p>
        </w:tc>
        <w:tc>
          <w:tcPr>
            <w:tcW w:w="110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6.50 %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8,210,612</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8,072,157</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8,079,242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ECL Entertainment, LLC</w:t>
            </w:r>
          </w:p>
        </w:tc>
        <w:tc>
          <w:tcPr>
            <w:tcW w:w="780" w:type="dxa"/>
            <w:vAlign w:val="bottom"/>
            <w:gridSpan w:val="2"/>
          </w:tcPr>
          <w:p>
            <w:pPr>
              <w:jc w:val="center"/>
              <w:ind w:left="66"/>
              <w:spacing w:after="0" w:line="125" w:lineRule="exact"/>
              <w:rPr>
                <w:sz w:val="20"/>
                <w:szCs w:val="20"/>
                <w:color w:val="auto"/>
              </w:rPr>
            </w:pPr>
            <w:r>
              <w:rPr>
                <w:rFonts w:ascii="Arial" w:cs="Arial" w:eastAsia="Arial" w:hAnsi="Arial"/>
                <w:sz w:val="11"/>
                <w:szCs w:val="11"/>
                <w:color w:val="auto"/>
                <w:w w:val="90"/>
              </w:rPr>
              <w:t>03/31/2028</w:t>
            </w:r>
          </w:p>
        </w:tc>
        <w:tc>
          <w:tcPr>
            <w:tcW w:w="120" w:type="dxa"/>
            <w:vAlign w:val="bottom"/>
          </w:tcPr>
          <w:p>
            <w:pPr>
              <w:spacing w:after="0"/>
              <w:rPr>
                <w:sz w:val="10"/>
                <w:szCs w:val="10"/>
                <w:color w:val="auto"/>
              </w:rPr>
            </w:pPr>
          </w:p>
        </w:tc>
        <w:tc>
          <w:tcPr>
            <w:tcW w:w="2600" w:type="dxa"/>
            <w:vAlign w:val="bottom"/>
          </w:tcPr>
          <w:p>
            <w:pPr>
              <w:jc w:val="center"/>
              <w:spacing w:after="0" w:line="125" w:lineRule="exact"/>
              <w:rPr>
                <w:sz w:val="20"/>
                <w:szCs w:val="20"/>
                <w:color w:val="auto"/>
              </w:rPr>
            </w:pPr>
            <w:r>
              <w:rPr>
                <w:rFonts w:ascii="Arial" w:cs="Arial" w:eastAsia="Arial" w:hAnsi="Arial"/>
                <w:sz w:val="11"/>
                <w:szCs w:val="11"/>
                <w:color w:val="auto"/>
                <w:w w:val="90"/>
              </w:rPr>
              <w:t>Hotels, Motels, Inns and Gaming</w:t>
            </w:r>
          </w:p>
        </w:tc>
        <w:tc>
          <w:tcPr>
            <w:tcW w:w="1100" w:type="dxa"/>
            <w:vAlign w:val="bottom"/>
            <w:gridSpan w:val="3"/>
          </w:tcPr>
          <w:p>
            <w:pPr>
              <w:jc w:val="right"/>
              <w:ind w:right="180"/>
              <w:spacing w:after="0" w:line="125" w:lineRule="exact"/>
              <w:rPr>
                <w:sz w:val="20"/>
                <w:szCs w:val="20"/>
                <w:color w:val="auto"/>
              </w:rPr>
            </w:pPr>
            <w:r>
              <w:rPr>
                <w:rFonts w:ascii="Arial" w:cs="Arial" w:eastAsia="Arial" w:hAnsi="Arial"/>
                <w:sz w:val="11"/>
                <w:szCs w:val="11"/>
                <w:color w:val="auto"/>
              </w:rPr>
              <w:t>8.25 %</w:t>
            </w:r>
          </w:p>
        </w:tc>
        <w:tc>
          <w:tcPr>
            <w:tcW w:w="920" w:type="dxa"/>
            <w:vAlign w:val="bottom"/>
          </w:tcPr>
          <w:p>
            <w:pPr>
              <w:jc w:val="right"/>
              <w:spacing w:after="0" w:line="125" w:lineRule="exact"/>
              <w:rPr>
                <w:sz w:val="20"/>
                <w:szCs w:val="20"/>
                <w:color w:val="auto"/>
              </w:rPr>
            </w:pPr>
            <w:r>
              <w:rPr>
                <w:rFonts w:ascii="Arial" w:cs="Arial" w:eastAsia="Arial" w:hAnsi="Arial"/>
                <w:sz w:val="11"/>
                <w:szCs w:val="11"/>
                <w:color w:val="auto"/>
              </w:rPr>
              <w:t>1M L+750</w:t>
            </w:r>
          </w:p>
        </w:tc>
        <w:tc>
          <w:tcPr>
            <w:tcW w:w="9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8,725,385</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8,644,604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8,856,265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ECM Industries, LLC (Revolver)</w:t>
            </w:r>
          </w:p>
        </w:tc>
        <w:tc>
          <w:tcPr>
            <w:tcW w:w="78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12/23/2025</w:t>
            </w:r>
          </w:p>
        </w:tc>
        <w:tc>
          <w:tcPr>
            <w:tcW w:w="12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9"/>
              </w:rPr>
              <w:t>Electronics</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5.75 %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L+475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161,748</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161,748</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157,704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960" w:type="dxa"/>
            <w:vAlign w:val="bottom"/>
          </w:tcPr>
          <w:p>
            <w:pPr>
              <w:ind w:left="20"/>
              <w:spacing w:after="0"/>
              <w:rPr>
                <w:sz w:val="20"/>
                <w:szCs w:val="20"/>
                <w:color w:val="auto"/>
              </w:rPr>
            </w:pPr>
            <w:r>
              <w:rPr>
                <w:rFonts w:ascii="Arial" w:cs="Arial" w:eastAsia="Arial" w:hAnsi="Arial"/>
                <w:sz w:val="11"/>
                <w:szCs w:val="11"/>
                <w:color w:val="auto"/>
              </w:rPr>
              <w:t xml:space="preserve">ECM Industries, LLC (Revolver)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12/23/2025</w:t>
            </w:r>
          </w:p>
        </w:tc>
        <w:tc>
          <w:tcPr>
            <w:tcW w:w="12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Electronics</w:t>
            </w: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355,846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(8,896 )</w:t>
            </w: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Fairbanks Morse Defense</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06/17/2028</w:t>
            </w:r>
          </w:p>
        </w:tc>
        <w:tc>
          <w:tcPr>
            <w:tcW w:w="12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10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5.50 %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3,500,000</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3,487,690</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3,491,250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960" w:type="dxa"/>
            <w:vAlign w:val="bottom"/>
          </w:tcPr>
          <w:p>
            <w:pPr>
              <w:ind w:left="20"/>
              <w:spacing w:after="0" w:line="105" w:lineRule="exact"/>
              <w:rPr>
                <w:sz w:val="20"/>
                <w:szCs w:val="20"/>
                <w:color w:val="auto"/>
              </w:rPr>
            </w:pPr>
            <w:r>
              <w:rPr>
                <w:rFonts w:ascii="Arial" w:cs="Arial" w:eastAsia="Arial" w:hAnsi="Arial"/>
                <w:sz w:val="11"/>
                <w:szCs w:val="11"/>
                <w:color w:val="auto"/>
              </w:rPr>
              <w:t>Gantech Acquisition Corp.</w:t>
            </w:r>
          </w:p>
        </w:tc>
        <w:tc>
          <w:tcPr>
            <w:tcW w:w="780" w:type="dxa"/>
            <w:vAlign w:val="bottom"/>
            <w:gridSpan w:val="2"/>
          </w:tcPr>
          <w:p>
            <w:pPr>
              <w:jc w:val="center"/>
              <w:ind w:left="66"/>
              <w:spacing w:after="0" w:line="105" w:lineRule="exact"/>
              <w:rPr>
                <w:sz w:val="20"/>
                <w:szCs w:val="20"/>
                <w:color w:val="auto"/>
              </w:rPr>
            </w:pPr>
            <w:r>
              <w:rPr>
                <w:rFonts w:ascii="Arial" w:cs="Arial" w:eastAsia="Arial" w:hAnsi="Arial"/>
                <w:sz w:val="11"/>
                <w:szCs w:val="11"/>
                <w:color w:val="auto"/>
                <w:w w:val="90"/>
              </w:rPr>
              <w:t>05/14/2026</w:t>
            </w:r>
          </w:p>
        </w:tc>
        <w:tc>
          <w:tcPr>
            <w:tcW w:w="120" w:type="dxa"/>
            <w:vAlign w:val="bottom"/>
          </w:tcPr>
          <w:p>
            <w:pPr>
              <w:spacing w:after="0"/>
              <w:rPr>
                <w:sz w:val="9"/>
                <w:szCs w:val="9"/>
                <w:color w:val="auto"/>
              </w:rPr>
            </w:pPr>
          </w:p>
        </w:tc>
        <w:tc>
          <w:tcPr>
            <w:tcW w:w="2600" w:type="dxa"/>
            <w:vAlign w:val="bottom"/>
          </w:tcPr>
          <w:p>
            <w:pPr>
              <w:jc w:val="center"/>
              <w:spacing w:after="0" w:line="105" w:lineRule="exact"/>
              <w:rPr>
                <w:sz w:val="20"/>
                <w:szCs w:val="20"/>
                <w:color w:val="auto"/>
              </w:rPr>
            </w:pPr>
            <w:r>
              <w:rPr>
                <w:rFonts w:ascii="Arial" w:cs="Arial" w:eastAsia="Arial" w:hAnsi="Arial"/>
                <w:sz w:val="11"/>
                <w:szCs w:val="11"/>
                <w:color w:val="auto"/>
                <w:w w:val="86"/>
              </w:rPr>
              <w:t>Business Services</w:t>
            </w:r>
          </w:p>
        </w:tc>
        <w:tc>
          <w:tcPr>
            <w:tcW w:w="1100" w:type="dxa"/>
            <w:vAlign w:val="bottom"/>
            <w:gridSpan w:val="3"/>
          </w:tcPr>
          <w:p>
            <w:pPr>
              <w:jc w:val="right"/>
              <w:ind w:right="180"/>
              <w:spacing w:after="0" w:line="105" w:lineRule="exact"/>
              <w:rPr>
                <w:sz w:val="20"/>
                <w:szCs w:val="20"/>
                <w:color w:val="auto"/>
              </w:rPr>
            </w:pPr>
            <w:r>
              <w:rPr>
                <w:rFonts w:ascii="Arial" w:cs="Arial" w:eastAsia="Arial" w:hAnsi="Arial"/>
                <w:sz w:val="11"/>
                <w:szCs w:val="11"/>
                <w:color w:val="auto"/>
              </w:rPr>
              <w:t>7.25 %</w:t>
            </w:r>
          </w:p>
        </w:tc>
        <w:tc>
          <w:tcPr>
            <w:tcW w:w="920" w:type="dxa"/>
            <w:vAlign w:val="bottom"/>
          </w:tcPr>
          <w:p>
            <w:pPr>
              <w:jc w:val="right"/>
              <w:spacing w:after="0" w:line="105" w:lineRule="exact"/>
              <w:rPr>
                <w:sz w:val="20"/>
                <w:szCs w:val="20"/>
                <w:color w:val="auto"/>
              </w:rPr>
            </w:pPr>
            <w:r>
              <w:rPr>
                <w:rFonts w:ascii="Arial" w:cs="Arial" w:eastAsia="Arial" w:hAnsi="Arial"/>
                <w:sz w:val="11"/>
                <w:szCs w:val="11"/>
                <w:color w:val="auto"/>
              </w:rPr>
              <w:t>1M L+625</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19,817,379</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19,460,512</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19,619,205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Gantech Acquisition Corp. (Revolver)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05/14/2026</w:t>
            </w:r>
          </w:p>
        </w:tc>
        <w:tc>
          <w:tcPr>
            <w:tcW w:w="12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1,991,084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(19,911 )</w:t>
            </w: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Graffiti Buyer, Inc.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08/10/2027</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892,857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Graffiti Buyer, Inc. (Revolver)</w:t>
            </w:r>
          </w:p>
        </w:tc>
        <w:tc>
          <w:tcPr>
            <w:tcW w:w="78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08/10/2023</w:t>
            </w:r>
          </w:p>
        </w:tc>
        <w:tc>
          <w:tcPr>
            <w:tcW w:w="12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94"/>
              </w:rPr>
              <w:t>Distribution</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6.75 %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140,916</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140,916</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138,168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Graffiti Buyer, Inc. (Revolver)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08/10/2027</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627,717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(12,240 )</w:t>
            </w: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Hancock Roofing and Construction L.L.C.</w:t>
            </w:r>
          </w:p>
        </w:tc>
        <w:tc>
          <w:tcPr>
            <w:tcW w:w="78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12/31/2026</w:t>
            </w:r>
          </w:p>
        </w:tc>
        <w:tc>
          <w:tcPr>
            <w:tcW w:w="12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6"/>
              </w:rPr>
              <w:t>Insurance</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6.00 %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1,100,000</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1,100,000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1,100,000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Hancock Roofing and Construction L.L.C.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12/31/2022</w:t>
            </w:r>
          </w:p>
        </w:tc>
        <w:tc>
          <w:tcPr>
            <w:tcW w:w="12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400,000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Hancock Roofing and Construction L.L.C. (Revolver)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12/31/2026</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750,000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Holdco Sands Intermediate, LLC</w:t>
            </w:r>
          </w:p>
        </w:tc>
        <w:tc>
          <w:tcPr>
            <w:tcW w:w="78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11/23/2028</w:t>
            </w:r>
          </w:p>
        </w:tc>
        <w:tc>
          <w:tcPr>
            <w:tcW w:w="12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6"/>
              </w:rPr>
              <w:t>Aerospace and Defense</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7.00 %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1M L+600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22,000,000</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21,564,365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21,560,000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Holdco Sands Intermediate, LLC (Revolver)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11/23/2027</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3,940,750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(78,815 )</w:t>
            </w: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HW Holdco, LLC</w:t>
            </w:r>
          </w:p>
        </w:tc>
        <w:tc>
          <w:tcPr>
            <w:tcW w:w="78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12/10/2024</w:t>
            </w:r>
          </w:p>
        </w:tc>
        <w:tc>
          <w:tcPr>
            <w:tcW w:w="12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6.75 %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8,100,726</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7,976,344</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7,938,711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HW Holdco, LLC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12/10/2024</w:t>
            </w:r>
          </w:p>
        </w:tc>
        <w:tc>
          <w:tcPr>
            <w:tcW w:w="12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5,220,084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(52,201 )</w:t>
            </w: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12/10/2024</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3,387,097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(67,742 )</w:t>
            </w: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IDC Infusion Services, Inc.</w:t>
            </w:r>
          </w:p>
        </w:tc>
        <w:tc>
          <w:tcPr>
            <w:tcW w:w="78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12/30/2026</w:t>
            </w:r>
          </w:p>
        </w:tc>
        <w:tc>
          <w:tcPr>
            <w:tcW w:w="12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Education and Childcare</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7.00 %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L+600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5,000,000</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4,900,119</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4,900,000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IDC Infusion Services, Inc.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06/30/2023</w:t>
            </w:r>
          </w:p>
        </w:tc>
        <w:tc>
          <w:tcPr>
            <w:tcW w:w="12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12,500,000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IDC Infusion Services, Inc. (Revolver)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12/30/2026</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4,166,667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IG Investments Holdings,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09/22/2028</w:t>
            </w:r>
          </w:p>
        </w:tc>
        <w:tc>
          <w:tcPr>
            <w:tcW w:w="12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100" w:type="dxa"/>
            <w:vAlign w:val="bottom"/>
            <w:gridSpan w:val="3"/>
          </w:tcPr>
          <w:p>
            <w:pPr>
              <w:jc w:val="right"/>
              <w:ind w:right="180"/>
              <w:spacing w:after="0"/>
              <w:rPr>
                <w:sz w:val="20"/>
                <w:szCs w:val="20"/>
                <w:color w:val="auto"/>
              </w:rPr>
            </w:pPr>
            <w:r>
              <w:rPr>
                <w:rFonts w:ascii="Arial" w:cs="Arial" w:eastAsia="Arial" w:hAnsi="Arial"/>
                <w:sz w:val="11"/>
                <w:szCs w:val="11"/>
                <w:color w:val="auto"/>
              </w:rPr>
              <w:t>6.75 %</w:t>
            </w:r>
          </w:p>
        </w:tc>
        <w:tc>
          <w:tcPr>
            <w:tcW w:w="920" w:type="dxa"/>
            <w:vAlign w:val="bottom"/>
          </w:tcPr>
          <w:p>
            <w:pPr>
              <w:jc w:val="right"/>
              <w:spacing w:after="0"/>
              <w:rPr>
                <w:sz w:val="20"/>
                <w:szCs w:val="20"/>
                <w:color w:val="auto"/>
              </w:rPr>
            </w:pPr>
            <w:r>
              <w:rPr>
                <w:rFonts w:ascii="Arial" w:cs="Arial" w:eastAsia="Arial" w:hAnsi="Arial"/>
                <w:sz w:val="11"/>
                <w:szCs w:val="11"/>
                <w:color w:val="auto"/>
              </w:rPr>
              <w:t>3M L+600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4,507,009</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4,419,720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4,416,869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IG Investments Holdings, LLC (Revolver)</w:t>
            </w:r>
          </w:p>
        </w:tc>
        <w:tc>
          <w:tcPr>
            <w:tcW w:w="78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09/22/2027</w:t>
            </w:r>
          </w:p>
        </w:tc>
        <w:tc>
          <w:tcPr>
            <w:tcW w:w="12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6.75 %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L+600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238,439</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238,439</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233,671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IG Investments Holdings, LLC (Revolver)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09/22/2027</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238,439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(4,769 )</w:t>
            </w: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Imagine Acquisitionco, LLC</w:t>
            </w:r>
          </w:p>
        </w:tc>
        <w:tc>
          <w:tcPr>
            <w:tcW w:w="78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11/15/2027</w:t>
            </w:r>
          </w:p>
        </w:tc>
        <w:tc>
          <w:tcPr>
            <w:tcW w:w="12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6.50 %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5,664,607</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5,552,872</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5,551,315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Imagine Acquisitionco, LLC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11/15/2027</w:t>
            </w:r>
          </w:p>
        </w:tc>
        <w:tc>
          <w:tcPr>
            <w:tcW w:w="12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2,340,961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(23,410 )</w:t>
            </w: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Imagine Acquisitionco, LLC (Revolver)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11/15/2027</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1,685,492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(33,710 )</w:t>
            </w: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Inception Fertility Ventures, LLC</w:t>
            </w:r>
          </w:p>
        </w:tc>
        <w:tc>
          <w:tcPr>
            <w:tcW w:w="78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12/07/2023</w:t>
            </w:r>
          </w:p>
        </w:tc>
        <w:tc>
          <w:tcPr>
            <w:tcW w:w="12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Education and Childcare</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6.50 %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4,920,995</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4,804,226</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4,797,970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Inception Fertility Ventures, LLC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12/07/2023</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12,979,794</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(162,247 )</w:t>
            </w: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Infolinks Media Buyco, LLC</w:t>
            </w:r>
          </w:p>
        </w:tc>
        <w:tc>
          <w:tcPr>
            <w:tcW w:w="78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11/01/2026</w:t>
            </w:r>
          </w:p>
        </w:tc>
        <w:tc>
          <w:tcPr>
            <w:tcW w:w="12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7.00 %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1M L+600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6,477,047</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6,351,081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6,347,506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Infolinks Media Buyco, LLC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11/01/2023</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2,372,407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(23,724 )</w:t>
            </w: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Integrity Marketing Acquisition, LLC</w:t>
            </w:r>
          </w:p>
        </w:tc>
        <w:tc>
          <w:tcPr>
            <w:tcW w:w="78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08/27/2025</w:t>
            </w:r>
          </w:p>
        </w:tc>
        <w:tc>
          <w:tcPr>
            <w:tcW w:w="12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6"/>
              </w:rPr>
              <w:t>Insurance</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6.60 %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24,064,031</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23,888,817</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23,908,799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Integrity Marketing Acquisition, LLC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07/09/2023</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873,077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2,183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K2 Pure Solutions NoCal, L.P.</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12/20/2023</w:t>
            </w:r>
          </w:p>
        </w:tc>
        <w:tc>
          <w:tcPr>
            <w:tcW w:w="12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100" w:type="dxa"/>
            <w:vAlign w:val="bottom"/>
            <w:gridSpan w:val="3"/>
          </w:tcPr>
          <w:p>
            <w:pPr>
              <w:jc w:val="right"/>
              <w:ind w:right="180"/>
              <w:spacing w:after="0"/>
              <w:rPr>
                <w:sz w:val="20"/>
                <w:szCs w:val="20"/>
                <w:color w:val="auto"/>
              </w:rPr>
            </w:pPr>
            <w:r>
              <w:rPr>
                <w:rFonts w:ascii="Arial" w:cs="Arial" w:eastAsia="Arial" w:hAnsi="Arial"/>
                <w:sz w:val="11"/>
                <w:szCs w:val="11"/>
                <w:color w:val="auto"/>
              </w:rPr>
              <w:t>8.00 %</w:t>
            </w:r>
          </w:p>
        </w:tc>
        <w:tc>
          <w:tcPr>
            <w:tcW w:w="920" w:type="dxa"/>
            <w:vAlign w:val="bottom"/>
          </w:tcPr>
          <w:p>
            <w:pPr>
              <w:jc w:val="right"/>
              <w:spacing w:after="0"/>
              <w:rPr>
                <w:sz w:val="20"/>
                <w:szCs w:val="20"/>
                <w:color w:val="auto"/>
              </w:rPr>
            </w:pPr>
            <w:r>
              <w:rPr>
                <w:rFonts w:ascii="Arial" w:cs="Arial" w:eastAsia="Arial" w:hAnsi="Arial"/>
                <w:sz w:val="11"/>
                <w:szCs w:val="11"/>
                <w:color w:val="auto"/>
              </w:rPr>
              <w:t>1M L+700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11,769,333</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11,691,220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11,533,947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K2 Pure Solutions NoCal, L.P. (Revolver)</w:t>
            </w:r>
          </w:p>
        </w:tc>
        <w:tc>
          <w:tcPr>
            <w:tcW w:w="78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12/20/2023</w:t>
            </w:r>
          </w:p>
        </w:tc>
        <w:tc>
          <w:tcPr>
            <w:tcW w:w="12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7"/>
              </w:rPr>
              <w:t>Chemicals, Plastics and Rubber</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8.00 %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1M L+700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872,143</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872,143</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854,700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960" w:type="dxa"/>
            <w:vAlign w:val="bottom"/>
          </w:tcPr>
          <w:p>
            <w:pPr>
              <w:ind w:left="20"/>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12/20/2023</w:t>
            </w:r>
          </w:p>
        </w:tc>
        <w:tc>
          <w:tcPr>
            <w:tcW w:w="12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1,065,952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(21,319 )</w:t>
            </w: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Kinetic Purchaser,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11/10/2027</w:t>
            </w:r>
          </w:p>
        </w:tc>
        <w:tc>
          <w:tcPr>
            <w:tcW w:w="12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Products</w:t>
            </w:r>
          </w:p>
        </w:tc>
        <w:tc>
          <w:tcPr>
            <w:tcW w:w="1100" w:type="dxa"/>
            <w:vAlign w:val="bottom"/>
            <w:gridSpan w:val="3"/>
            <w:shd w:val="clear" w:color="auto" w:fill="CCECFF"/>
          </w:tcPr>
          <w:p>
            <w:pPr>
              <w:jc w:val="right"/>
              <w:ind w:right="180"/>
              <w:spacing w:after="0"/>
              <w:rPr>
                <w:sz w:val="20"/>
                <w:szCs w:val="20"/>
                <w:color w:val="auto"/>
              </w:rPr>
            </w:pPr>
            <w:r>
              <w:rPr>
                <w:rFonts w:ascii="Arial" w:cs="Arial" w:eastAsia="Arial" w:hAnsi="Arial"/>
                <w:sz w:val="11"/>
                <w:szCs w:val="11"/>
                <w:color w:val="auto"/>
              </w:rPr>
              <w:t>7.00 %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22,249,838</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21,811,117</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21,804,841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960" w:type="dxa"/>
            <w:vAlign w:val="bottom"/>
          </w:tcPr>
          <w:p>
            <w:pPr>
              <w:ind w:left="20"/>
              <w:spacing w:after="0" w:line="105" w:lineRule="exact"/>
              <w:rPr>
                <w:sz w:val="20"/>
                <w:szCs w:val="20"/>
                <w:color w:val="auto"/>
              </w:rPr>
            </w:pPr>
            <w:r>
              <w:rPr>
                <w:rFonts w:ascii="Arial" w:cs="Arial" w:eastAsia="Arial" w:hAnsi="Arial"/>
                <w:sz w:val="11"/>
                <w:szCs w:val="11"/>
                <w:color w:val="auto"/>
              </w:rPr>
              <w:t>Kinetic Purchaser, LLC (Revolver)</w:t>
            </w:r>
          </w:p>
        </w:tc>
        <w:tc>
          <w:tcPr>
            <w:tcW w:w="780" w:type="dxa"/>
            <w:vAlign w:val="bottom"/>
            <w:gridSpan w:val="2"/>
          </w:tcPr>
          <w:p>
            <w:pPr>
              <w:jc w:val="center"/>
              <w:ind w:left="66"/>
              <w:spacing w:after="0" w:line="105" w:lineRule="exact"/>
              <w:rPr>
                <w:sz w:val="20"/>
                <w:szCs w:val="20"/>
                <w:color w:val="auto"/>
              </w:rPr>
            </w:pPr>
            <w:r>
              <w:rPr>
                <w:rFonts w:ascii="Arial" w:cs="Arial" w:eastAsia="Arial" w:hAnsi="Arial"/>
                <w:sz w:val="11"/>
                <w:szCs w:val="11"/>
                <w:color w:val="auto"/>
                <w:w w:val="90"/>
              </w:rPr>
              <w:t>11/10/2026</w:t>
            </w:r>
          </w:p>
        </w:tc>
        <w:tc>
          <w:tcPr>
            <w:tcW w:w="120" w:type="dxa"/>
            <w:vAlign w:val="bottom"/>
          </w:tcPr>
          <w:p>
            <w:pPr>
              <w:spacing w:after="0"/>
              <w:rPr>
                <w:sz w:val="9"/>
                <w:szCs w:val="9"/>
                <w:color w:val="auto"/>
              </w:rPr>
            </w:pPr>
          </w:p>
        </w:tc>
        <w:tc>
          <w:tcPr>
            <w:tcW w:w="2600" w:type="dxa"/>
            <w:vAlign w:val="bottom"/>
          </w:tcPr>
          <w:p>
            <w:pPr>
              <w:jc w:val="center"/>
              <w:spacing w:after="0" w:line="105" w:lineRule="exact"/>
              <w:rPr>
                <w:sz w:val="20"/>
                <w:szCs w:val="20"/>
                <w:color w:val="auto"/>
              </w:rPr>
            </w:pPr>
            <w:r>
              <w:rPr>
                <w:rFonts w:ascii="Arial" w:cs="Arial" w:eastAsia="Arial" w:hAnsi="Arial"/>
                <w:sz w:val="11"/>
                <w:szCs w:val="11"/>
                <w:color w:val="auto"/>
                <w:w w:val="86"/>
              </w:rPr>
              <w:t>Consumer Products</w:t>
            </w:r>
          </w:p>
        </w:tc>
        <w:tc>
          <w:tcPr>
            <w:tcW w:w="1100" w:type="dxa"/>
            <w:vAlign w:val="bottom"/>
            <w:gridSpan w:val="3"/>
          </w:tcPr>
          <w:p>
            <w:pPr>
              <w:jc w:val="right"/>
              <w:ind w:right="180"/>
              <w:spacing w:after="0" w:line="105" w:lineRule="exact"/>
              <w:rPr>
                <w:sz w:val="20"/>
                <w:szCs w:val="20"/>
                <w:color w:val="auto"/>
              </w:rPr>
            </w:pPr>
            <w:r>
              <w:rPr>
                <w:rFonts w:ascii="Arial" w:cs="Arial" w:eastAsia="Arial" w:hAnsi="Arial"/>
                <w:sz w:val="11"/>
                <w:szCs w:val="11"/>
                <w:color w:val="auto"/>
              </w:rPr>
              <w:t>7.00 %</w:t>
            </w:r>
          </w:p>
        </w:tc>
        <w:tc>
          <w:tcPr>
            <w:tcW w:w="920" w:type="dxa"/>
            <w:vAlign w:val="bottom"/>
          </w:tcPr>
          <w:p>
            <w:pPr>
              <w:jc w:val="right"/>
              <w:spacing w:after="0" w:line="105" w:lineRule="exact"/>
              <w:rPr>
                <w:sz w:val="20"/>
                <w:szCs w:val="20"/>
                <w:color w:val="auto"/>
              </w:rPr>
            </w:pPr>
            <w:r>
              <w:rPr>
                <w:rFonts w:ascii="Arial" w:cs="Arial" w:eastAsia="Arial" w:hAnsi="Arial"/>
                <w:sz w:val="11"/>
                <w:szCs w:val="11"/>
                <w:color w:val="auto"/>
              </w:rPr>
              <w:t>3M L+600</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2,329,725</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2,329,725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2,283,130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Kinetic Purchaser, LLC (Revolver)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11/10/2026</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Consumer Products</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2,523,868</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(50,477 )</w:t>
            </w: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Lash OpCo, LLC</w:t>
            </w:r>
          </w:p>
        </w:tc>
        <w:tc>
          <w:tcPr>
            <w:tcW w:w="78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02/18/2027</w:t>
            </w:r>
          </w:p>
        </w:tc>
        <w:tc>
          <w:tcPr>
            <w:tcW w:w="12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6"/>
              </w:rPr>
              <w:t>Consumer Products</w:t>
            </w:r>
          </w:p>
        </w:tc>
        <w:tc>
          <w:tcPr>
            <w:tcW w:w="110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8.00 %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1M L+700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14,925,000</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14,604,755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14,775,750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14"/>
                <w:szCs w:val="14"/>
                <w:color w:val="auto"/>
                <w:vertAlign w:val="superscript"/>
              </w:rPr>
              <w:t>(7)</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5"/>
              </w:rPr>
              <w:t>8/16/2026</w:t>
            </w:r>
          </w:p>
        </w:tc>
        <w:tc>
          <w:tcPr>
            <w:tcW w:w="12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Consumer Products</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1,819,635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(18,196 )</w:t>
            </w: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LAV Gear Holdings,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10/31/2024</w:t>
            </w:r>
          </w:p>
        </w:tc>
        <w:tc>
          <w:tcPr>
            <w:tcW w:w="12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0"/>
              </w:rPr>
              <w:t>Leisure, Amusement, Motion Pictures, Entertainment</w:t>
            </w:r>
          </w:p>
        </w:tc>
        <w:tc>
          <w:tcPr>
            <w:tcW w:w="1100" w:type="dxa"/>
            <w:vAlign w:val="bottom"/>
            <w:gridSpan w:val="3"/>
          </w:tcPr>
          <w:p>
            <w:pPr>
              <w:jc w:val="right"/>
              <w:ind w:right="180"/>
              <w:spacing w:after="0"/>
              <w:rPr>
                <w:sz w:val="20"/>
                <w:szCs w:val="20"/>
                <w:color w:val="auto"/>
              </w:rPr>
            </w:pPr>
            <w:r>
              <w:rPr>
                <w:rFonts w:ascii="Arial" w:cs="Arial" w:eastAsia="Arial" w:hAnsi="Arial"/>
                <w:sz w:val="11"/>
                <w:szCs w:val="11"/>
                <w:color w:val="auto"/>
              </w:rPr>
              <w:t>8.50 %</w:t>
            </w:r>
          </w:p>
        </w:tc>
        <w:tc>
          <w:tcPr>
            <w:tcW w:w="920" w:type="dxa"/>
            <w:vAlign w:val="bottom"/>
          </w:tcPr>
          <w:p>
            <w:pPr>
              <w:jc w:val="right"/>
              <w:spacing w:after="0"/>
              <w:rPr>
                <w:sz w:val="20"/>
                <w:szCs w:val="20"/>
                <w:color w:val="auto"/>
              </w:rPr>
            </w:pPr>
            <w:r>
              <w:rPr>
                <w:rFonts w:ascii="Arial" w:cs="Arial" w:eastAsia="Arial" w:hAnsi="Arial"/>
                <w:sz w:val="11"/>
                <w:szCs w:val="11"/>
                <w:color w:val="auto"/>
              </w:rPr>
              <w:t>1M L+750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792,486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788,056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755,239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(PIK 5.00%)</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-6946265</wp:posOffset>
            </wp:positionV>
            <wp:extent cx="7132320" cy="939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-6765925</wp:posOffset>
            </wp:positionV>
            <wp:extent cx="7132320" cy="857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-6594475</wp:posOffset>
            </wp:positionV>
            <wp:extent cx="7132320" cy="857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-6423025</wp:posOffset>
            </wp:positionV>
            <wp:extent cx="7132320" cy="857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-6251575</wp:posOffset>
            </wp:positionV>
            <wp:extent cx="7132320" cy="857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-5908675</wp:posOffset>
            </wp:positionV>
            <wp:extent cx="7132320" cy="85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-5737225</wp:posOffset>
            </wp:positionV>
            <wp:extent cx="7132320" cy="857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-5565775</wp:posOffset>
            </wp:positionV>
            <wp:extent cx="7132320" cy="857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-5222875</wp:posOffset>
            </wp:positionV>
            <wp:extent cx="7132320" cy="857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-5051425</wp:posOffset>
            </wp:positionV>
            <wp:extent cx="7132320" cy="857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-4880610</wp:posOffset>
            </wp:positionV>
            <wp:extent cx="7132320" cy="857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-4709160</wp:posOffset>
            </wp:positionV>
            <wp:extent cx="7132320" cy="857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-4537710</wp:posOffset>
            </wp:positionV>
            <wp:extent cx="7132320" cy="857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-4366260</wp:posOffset>
            </wp:positionV>
            <wp:extent cx="7132320" cy="857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-4023360</wp:posOffset>
            </wp:positionV>
            <wp:extent cx="7132320" cy="85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-3851910</wp:posOffset>
            </wp:positionV>
            <wp:extent cx="7132320" cy="85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-3508375</wp:posOffset>
            </wp:positionV>
            <wp:extent cx="7132320" cy="85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-3165475</wp:posOffset>
            </wp:positionV>
            <wp:extent cx="7132320" cy="857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-2994025</wp:posOffset>
            </wp:positionV>
            <wp:extent cx="7132320" cy="857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-2822575</wp:posOffset>
            </wp:positionV>
            <wp:extent cx="7132320" cy="857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-2651125</wp:posOffset>
            </wp:positionV>
            <wp:extent cx="7132320" cy="857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-2479675</wp:posOffset>
            </wp:positionV>
            <wp:extent cx="7132320" cy="857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-2308225</wp:posOffset>
            </wp:positionV>
            <wp:extent cx="7132320" cy="857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-2136775</wp:posOffset>
            </wp:positionV>
            <wp:extent cx="7132320" cy="857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-1965325</wp:posOffset>
            </wp:positionV>
            <wp:extent cx="7132320" cy="857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-1793875</wp:posOffset>
            </wp:positionV>
            <wp:extent cx="7132320" cy="857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-1622425</wp:posOffset>
            </wp:positionV>
            <wp:extent cx="7132320" cy="857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-1450975</wp:posOffset>
            </wp:positionV>
            <wp:extent cx="7132320" cy="857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-1279525</wp:posOffset>
            </wp:positionV>
            <wp:extent cx="7132320" cy="857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-1108075</wp:posOffset>
            </wp:positionV>
            <wp:extent cx="7132320" cy="857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-936625</wp:posOffset>
            </wp:positionV>
            <wp:extent cx="7132320" cy="857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-765175</wp:posOffset>
            </wp:positionV>
            <wp:extent cx="7132320" cy="857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57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5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(Unaudited)</w:t>
      </w:r>
    </w:p>
    <w:tbl>
      <w:tblPr>
        <w:tblLayout w:type="fixed"/>
        <w:tblInd w:w="0" w:type="dxa"/>
        <w:tblCellMar>
          <w:top w:w="0" w:type="dxa"/>
          <w:left w:w="0" w:type="dxa"/>
          <w:bottom w:w="0" w:type="dxa"/>
          <w:right w:w="0" w:type="dxa"/>
        </w:tblCellMar>
      </w:tblPr>
      <w:tr>
        <w:trPr>
          <w:trHeight w:val="102"/>
        </w:trPr>
        <w:tc>
          <w:tcPr>
            <w:tcW w:w="3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Maturity /</w:t>
            </w:r>
          </w:p>
        </w:tc>
        <w:tc>
          <w:tcPr>
            <w:tcW w:w="1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Current</w:t>
            </w:r>
          </w:p>
        </w:tc>
        <w:tc>
          <w:tcPr>
            <w:tcW w:w="140" w:type="dxa"/>
            <w:vAlign w:val="bottom"/>
          </w:tcPr>
          <w:p>
            <w:pPr>
              <w:spacing w:after="0"/>
              <w:rPr>
                <w:sz w:val="8"/>
                <w:szCs w:val="8"/>
                <w:color w:val="auto"/>
              </w:rPr>
            </w:pPr>
          </w:p>
        </w:tc>
        <w:tc>
          <w:tcPr>
            <w:tcW w:w="9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6"/>
              </w:rPr>
              <w:t>Basis Point</w:t>
            </w:r>
          </w:p>
        </w:tc>
        <w:tc>
          <w:tcPr>
            <w:tcW w:w="120" w:type="dxa"/>
            <w:vAlign w:val="bottom"/>
          </w:tcPr>
          <w:p>
            <w:pPr>
              <w:spacing w:after="0"/>
              <w:rPr>
                <w:sz w:val="8"/>
                <w:szCs w:val="8"/>
                <w:color w:val="auto"/>
              </w:rPr>
            </w:pPr>
          </w:p>
        </w:tc>
        <w:tc>
          <w:tcPr>
            <w:tcW w:w="80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Par /</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0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4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Spread Above</w:t>
            </w: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restart"/>
          </w:tcPr>
          <w:p>
            <w:pPr>
              <w:jc w:val="right"/>
              <w:ind w:right="266"/>
              <w:spacing w:after="0"/>
              <w:rPr>
                <w:sz w:val="20"/>
                <w:szCs w:val="20"/>
                <w:color w:val="auto"/>
              </w:rPr>
            </w:pPr>
            <w:r>
              <w:rPr>
                <w:rFonts w:ascii="Arial" w:cs="Arial" w:eastAsia="Arial" w:hAnsi="Arial"/>
                <w:sz w:val="11"/>
                <w:szCs w:val="11"/>
                <w:b w:val="1"/>
                <w:bCs w:val="1"/>
                <w:color w:val="auto"/>
              </w:rPr>
              <w:t>Cost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14"/>
                <w:szCs w:val="14"/>
                <w:b w:val="1"/>
                <w:bCs w:val="1"/>
                <w:color w:val="auto"/>
                <w:w w:val="89"/>
                <w:vertAlign w:val="superscript"/>
              </w:rPr>
              <w:t>(3)</w:t>
            </w:r>
          </w:p>
        </w:tc>
        <w:tc>
          <w:tcPr>
            <w:tcW w:w="0" w:type="dxa"/>
            <w:vAlign w:val="bottom"/>
          </w:tcPr>
          <w:p>
            <w:pPr>
              <w:spacing w:after="0"/>
              <w:rPr>
                <w:sz w:val="1"/>
                <w:szCs w:val="1"/>
                <w:color w:val="auto"/>
              </w:rPr>
            </w:pPr>
          </w:p>
        </w:tc>
      </w:tr>
      <w:tr>
        <w:trPr>
          <w:trHeight w:val="148"/>
        </w:trPr>
        <w:tc>
          <w:tcPr>
            <w:tcW w:w="3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246"/>
              <w:spacing w:after="0"/>
              <w:rPr>
                <w:sz w:val="20"/>
                <w:szCs w:val="20"/>
                <w:color w:val="auto"/>
              </w:rPr>
            </w:pPr>
            <w:r>
              <w:rPr>
                <w:rFonts w:ascii="Arial" w:cs="Arial" w:eastAsia="Arial" w:hAnsi="Arial"/>
                <w:sz w:val="11"/>
                <w:szCs w:val="11"/>
                <w:b w:val="1"/>
                <w:bCs w:val="1"/>
                <w:color w:val="auto"/>
              </w:rPr>
              <w:t>Coupon</w:t>
            </w: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(4)</w:t>
            </w:r>
          </w:p>
        </w:tc>
        <w:tc>
          <w:tcPr>
            <w:tcW w:w="120" w:type="dxa"/>
            <w:vAlign w:val="bottom"/>
          </w:tcPr>
          <w:p>
            <w:pPr>
              <w:spacing w:after="0"/>
              <w:rPr>
                <w:sz w:val="12"/>
                <w:szCs w:val="12"/>
                <w:color w:val="auto"/>
              </w:rPr>
            </w:pPr>
          </w:p>
        </w:tc>
        <w:tc>
          <w:tcPr>
            <w:tcW w:w="800" w:type="dxa"/>
            <w:vAlign w:val="bottom"/>
          </w:tcPr>
          <w:p>
            <w:pPr>
              <w:jc w:val="right"/>
              <w:ind w:right="18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00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1"/>
                <w:szCs w:val="11"/>
                <w:color w:val="auto"/>
              </w:rPr>
              <w:t>Ledge Lounger, Inc.</w:t>
            </w:r>
          </w:p>
        </w:tc>
        <w:tc>
          <w:tcPr>
            <w:tcW w:w="140" w:type="dxa"/>
            <w:vAlign w:val="bottom"/>
          </w:tcPr>
          <w:p>
            <w:pPr>
              <w:spacing w:after="0"/>
              <w:rPr>
                <w:sz w:val="10"/>
                <w:szCs w:val="10"/>
                <w:color w:val="auto"/>
              </w:rPr>
            </w:pP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1"/>
                <w:szCs w:val="11"/>
                <w:color w:val="auto"/>
                <w:w w:val="87"/>
              </w:rPr>
              <w:t>11/09/2026</w:t>
            </w:r>
          </w:p>
        </w:tc>
        <w:tc>
          <w:tcPr>
            <w:tcW w:w="140" w:type="dxa"/>
            <w:vAlign w:val="bottom"/>
          </w:tcPr>
          <w:p>
            <w:pPr>
              <w:spacing w:after="0"/>
              <w:rPr>
                <w:sz w:val="10"/>
                <w:szCs w:val="10"/>
                <w:color w:val="auto"/>
              </w:rPr>
            </w:pPr>
          </w:p>
        </w:tc>
        <w:tc>
          <w:tcPr>
            <w:tcW w:w="2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1"/>
                <w:szCs w:val="11"/>
                <w:color w:val="auto"/>
                <w:w w:val="86"/>
              </w:rPr>
              <w:t>Consumer Products</w:t>
            </w:r>
          </w:p>
        </w:tc>
        <w:tc>
          <w:tcPr>
            <w:tcW w:w="140" w:type="dxa"/>
            <w:vAlign w:val="bottom"/>
          </w:tcPr>
          <w:p>
            <w:pPr>
              <w:spacing w:after="0"/>
              <w:rPr>
                <w:sz w:val="10"/>
                <w:szCs w:val="10"/>
                <w:color w:val="auto"/>
              </w:rPr>
            </w:pP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7.25 %</w:t>
            </w:r>
          </w:p>
        </w:tc>
        <w:tc>
          <w:tcPr>
            <w:tcW w:w="140" w:type="dxa"/>
            <w:vAlign w:val="bottom"/>
          </w:tcPr>
          <w:p>
            <w:pPr>
              <w:spacing w:after="0"/>
              <w:rPr>
                <w:sz w:val="10"/>
                <w:szCs w:val="10"/>
                <w:color w:val="auto"/>
              </w:rPr>
            </w:pPr>
          </w:p>
        </w:tc>
        <w:tc>
          <w:tcPr>
            <w:tcW w:w="9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3M L+625</w:t>
            </w:r>
          </w:p>
        </w:tc>
        <w:tc>
          <w:tcPr>
            <w:tcW w:w="120" w:type="dxa"/>
            <w:vAlign w:val="bottom"/>
          </w:tcPr>
          <w:p>
            <w:pPr>
              <w:spacing w:after="0"/>
              <w:rPr>
                <w:sz w:val="10"/>
                <w:szCs w:val="10"/>
                <w:color w:val="auto"/>
              </w:rPr>
            </w:pPr>
          </w:p>
        </w:tc>
        <w:tc>
          <w:tcPr>
            <w:tcW w:w="80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1"/>
                <w:szCs w:val="11"/>
                <w:color w:val="auto"/>
              </w:rPr>
              <w:t>9,246,715</w:t>
            </w:r>
          </w:p>
        </w:tc>
        <w:tc>
          <w:tcPr>
            <w:tcW w:w="120" w:type="dxa"/>
            <w:vAlign w:val="bottom"/>
          </w:tcPr>
          <w:p>
            <w:pPr>
              <w:spacing w:after="0"/>
              <w:rPr>
                <w:sz w:val="10"/>
                <w:szCs w:val="10"/>
                <w:color w:val="auto"/>
              </w:rPr>
            </w:pPr>
          </w:p>
        </w:tc>
        <w:tc>
          <w:tcPr>
            <w:tcW w:w="180" w:type="dxa"/>
            <w:vAlign w:val="bottom"/>
            <w:tcBorders>
              <w:top w:val="single" w:sz="8" w:color="auto"/>
            </w:tcBorders>
          </w:tcPr>
          <w:p>
            <w:pPr>
              <w:jc w:val="right"/>
              <w:ind w:right="46"/>
              <w:spacing w:after="0" w:line="119" w:lineRule="exact"/>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9,065,843</w:t>
            </w:r>
          </w:p>
        </w:tc>
        <w:tc>
          <w:tcPr>
            <w:tcW w:w="120" w:type="dxa"/>
            <w:vAlign w:val="bottom"/>
          </w:tcPr>
          <w:p>
            <w:pPr>
              <w:spacing w:after="0"/>
              <w:rPr>
                <w:sz w:val="10"/>
                <w:szCs w:val="10"/>
                <w:color w:val="auto"/>
              </w:rPr>
            </w:pPr>
          </w:p>
        </w:tc>
        <w:tc>
          <w:tcPr>
            <w:tcW w:w="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1"/>
                <w:szCs w:val="11"/>
                <w:color w:val="auto"/>
              </w:rPr>
              <w:t>9,061,780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5" w:lineRule="exact"/>
              <w:rPr>
                <w:sz w:val="20"/>
                <w:szCs w:val="20"/>
                <w:color w:val="auto"/>
              </w:rPr>
            </w:pPr>
            <w:r>
              <w:rPr>
                <w:rFonts w:ascii="Arial" w:cs="Arial" w:eastAsia="Arial" w:hAnsi="Arial"/>
                <w:sz w:val="11"/>
                <w:szCs w:val="11"/>
                <w:color w:val="auto"/>
              </w:rPr>
              <w:t>Ledge Lounger, Inc. (Revolver)</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11/09/2026</w:t>
            </w:r>
          </w:p>
        </w:tc>
        <w:tc>
          <w:tcPr>
            <w:tcW w:w="14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86"/>
              </w:rPr>
              <w:t>Consumer Products</w:t>
            </w:r>
          </w:p>
        </w:tc>
        <w:tc>
          <w:tcPr>
            <w:tcW w:w="9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7.25 %</w:t>
            </w:r>
          </w:p>
        </w:tc>
        <w:tc>
          <w:tcPr>
            <w:tcW w:w="140" w:type="dxa"/>
            <w:vAlign w:val="bottom"/>
          </w:tcPr>
          <w:p>
            <w:pPr>
              <w:spacing w:after="0"/>
              <w:rPr>
                <w:sz w:val="9"/>
                <w:szCs w:val="9"/>
                <w:color w:val="auto"/>
              </w:rPr>
            </w:pP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L+625</w:t>
            </w:r>
          </w:p>
        </w:tc>
        <w:tc>
          <w:tcPr>
            <w:tcW w:w="920" w:type="dxa"/>
            <w:vAlign w:val="bottom"/>
            <w:gridSpan w:val="2"/>
          </w:tcPr>
          <w:p>
            <w:pPr>
              <w:jc w:val="right"/>
              <w:ind w:right="6"/>
              <w:spacing w:after="0" w:line="115" w:lineRule="exact"/>
              <w:rPr>
                <w:sz w:val="20"/>
                <w:szCs w:val="20"/>
                <w:color w:val="auto"/>
              </w:rPr>
            </w:pPr>
            <w:r>
              <w:rPr>
                <w:rFonts w:ascii="Arial" w:cs="Arial" w:eastAsia="Arial" w:hAnsi="Arial"/>
                <w:sz w:val="11"/>
                <w:szCs w:val="11"/>
                <w:color w:val="auto"/>
              </w:rPr>
              <w:t>1,288,430</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15" w:lineRule="exact"/>
              <w:rPr>
                <w:sz w:val="20"/>
                <w:szCs w:val="20"/>
                <w:color w:val="auto"/>
              </w:rPr>
            </w:pPr>
            <w:r>
              <w:rPr>
                <w:rFonts w:ascii="Arial" w:cs="Arial" w:eastAsia="Arial" w:hAnsi="Arial"/>
                <w:sz w:val="11"/>
                <w:szCs w:val="11"/>
                <w:color w:val="auto"/>
              </w:rPr>
              <w:t>1,288,430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6"/>
              <w:spacing w:after="0" w:line="115" w:lineRule="exact"/>
              <w:rPr>
                <w:sz w:val="20"/>
                <w:szCs w:val="20"/>
                <w:color w:val="auto"/>
              </w:rPr>
            </w:pPr>
            <w:r>
              <w:rPr>
                <w:rFonts w:ascii="Arial" w:cs="Arial" w:eastAsia="Arial" w:hAnsi="Arial"/>
                <w:sz w:val="11"/>
                <w:szCs w:val="11"/>
                <w:color w:val="auto"/>
              </w:rPr>
              <w:t>1,262,662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000" w:type="dxa"/>
            <w:vAlign w:val="bottom"/>
          </w:tcPr>
          <w:p>
            <w:pPr>
              <w:ind w:left="20"/>
              <w:spacing w:after="0"/>
              <w:rPr>
                <w:sz w:val="20"/>
                <w:szCs w:val="20"/>
                <w:color w:val="auto"/>
              </w:rPr>
            </w:pPr>
            <w:r>
              <w:rPr>
                <w:rFonts w:ascii="Arial" w:cs="Arial" w:eastAsia="Arial" w:hAnsi="Arial"/>
                <w:sz w:val="11"/>
                <w:szCs w:val="11"/>
                <w:color w:val="auto"/>
              </w:rPr>
              <w:t xml:space="preserve">Ledge Lounger, Inc.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11/09/2026</w:t>
            </w:r>
          </w:p>
        </w:tc>
        <w:tc>
          <w:tcPr>
            <w:tcW w:w="14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Consumer Products</w:t>
            </w:r>
          </w:p>
        </w:tc>
        <w:tc>
          <w:tcPr>
            <w:tcW w:w="140" w:type="dxa"/>
            <w:vAlign w:val="bottom"/>
          </w:tcPr>
          <w:p>
            <w:pPr>
              <w:spacing w:after="0"/>
              <w:rPr>
                <w:sz w:val="14"/>
                <w:szCs w:val="14"/>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644,215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(12,884 )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Arial" w:cs="Arial" w:eastAsia="Arial" w:hAnsi="Arial"/>
                <w:sz w:val="11"/>
                <w:szCs w:val="11"/>
                <w:color w:val="auto"/>
              </w:rPr>
              <w:t>Lightspeed Buyer Inc.</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90"/>
              </w:rPr>
              <w:t>02/03/2026</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9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6.75 %</w:t>
            </w:r>
          </w:p>
        </w:tc>
        <w:tc>
          <w:tcPr>
            <w:tcW w:w="14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920" w:type="dxa"/>
            <w:vAlign w:val="bottom"/>
            <w:gridSpan w:val="2"/>
            <w:shd w:val="clear" w:color="auto" w:fill="CCECFF"/>
          </w:tcPr>
          <w:p>
            <w:pPr>
              <w:jc w:val="right"/>
              <w:ind w:right="6"/>
              <w:spacing w:after="0"/>
              <w:rPr>
                <w:sz w:val="20"/>
                <w:szCs w:val="20"/>
                <w:color w:val="auto"/>
              </w:rPr>
            </w:pPr>
            <w:r>
              <w:rPr>
                <w:rFonts w:ascii="Arial" w:cs="Arial" w:eastAsia="Arial" w:hAnsi="Arial"/>
                <w:sz w:val="11"/>
                <w:szCs w:val="11"/>
                <w:color w:val="auto"/>
              </w:rPr>
              <w:t>4,981,335</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4,913,176</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ind w:right="6"/>
              <w:spacing w:after="0"/>
              <w:rPr>
                <w:sz w:val="20"/>
                <w:szCs w:val="20"/>
                <w:color w:val="auto"/>
              </w:rPr>
            </w:pPr>
            <w:r>
              <w:rPr>
                <w:rFonts w:ascii="Arial" w:cs="Arial" w:eastAsia="Arial" w:hAnsi="Arial"/>
                <w:sz w:val="11"/>
                <w:szCs w:val="11"/>
                <w:color w:val="auto"/>
              </w:rPr>
              <w:t>4,844,348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000" w:type="dxa"/>
            <w:vAlign w:val="bottom"/>
          </w:tcPr>
          <w:p>
            <w:pPr>
              <w:ind w:left="20"/>
              <w:spacing w:after="0" w:line="105" w:lineRule="exact"/>
              <w:rPr>
                <w:sz w:val="20"/>
                <w:szCs w:val="20"/>
                <w:color w:val="auto"/>
              </w:rPr>
            </w:pPr>
            <w:r>
              <w:rPr>
                <w:rFonts w:ascii="Arial" w:cs="Arial" w:eastAsia="Arial" w:hAnsi="Arial"/>
                <w:sz w:val="11"/>
                <w:szCs w:val="11"/>
                <w:color w:val="auto"/>
              </w:rPr>
              <w:t>Lightspeed Buyer Inc. (Revolver)</w:t>
            </w:r>
          </w:p>
        </w:tc>
        <w:tc>
          <w:tcPr>
            <w:tcW w:w="780" w:type="dxa"/>
            <w:vAlign w:val="bottom"/>
            <w:gridSpan w:val="2"/>
          </w:tcPr>
          <w:p>
            <w:pPr>
              <w:jc w:val="center"/>
              <w:ind w:left="106"/>
              <w:spacing w:after="0" w:line="105" w:lineRule="exact"/>
              <w:rPr>
                <w:sz w:val="20"/>
                <w:szCs w:val="20"/>
                <w:color w:val="auto"/>
              </w:rPr>
            </w:pPr>
            <w:r>
              <w:rPr>
                <w:rFonts w:ascii="Arial" w:cs="Arial" w:eastAsia="Arial" w:hAnsi="Arial"/>
                <w:sz w:val="11"/>
                <w:szCs w:val="11"/>
                <w:color w:val="auto"/>
                <w:w w:val="90"/>
              </w:rPr>
              <w:t>02/03/2026</w:t>
            </w:r>
          </w:p>
        </w:tc>
        <w:tc>
          <w:tcPr>
            <w:tcW w:w="140" w:type="dxa"/>
            <w:vAlign w:val="bottom"/>
          </w:tcPr>
          <w:p>
            <w:pPr>
              <w:spacing w:after="0"/>
              <w:rPr>
                <w:sz w:val="9"/>
                <w:szCs w:val="9"/>
                <w:color w:val="auto"/>
              </w:rPr>
            </w:pPr>
          </w:p>
        </w:tc>
        <w:tc>
          <w:tcPr>
            <w:tcW w:w="2480" w:type="dxa"/>
            <w:vAlign w:val="bottom"/>
          </w:tcPr>
          <w:p>
            <w:pPr>
              <w:jc w:val="center"/>
              <w:spacing w:after="0" w:line="105" w:lineRule="exact"/>
              <w:rPr>
                <w:sz w:val="20"/>
                <w:szCs w:val="20"/>
                <w:color w:val="auto"/>
              </w:rPr>
            </w:pPr>
            <w:r>
              <w:rPr>
                <w:rFonts w:ascii="Arial" w:cs="Arial" w:eastAsia="Arial" w:hAnsi="Arial"/>
                <w:sz w:val="11"/>
                <w:szCs w:val="11"/>
                <w:color w:val="auto"/>
                <w:w w:val="88"/>
              </w:rPr>
              <w:t>Healthcare, Education and Childcare</w:t>
            </w:r>
          </w:p>
        </w:tc>
        <w:tc>
          <w:tcPr>
            <w:tcW w:w="98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6.75 %</w:t>
            </w:r>
          </w:p>
        </w:tc>
        <w:tc>
          <w:tcPr>
            <w:tcW w:w="140" w:type="dxa"/>
            <w:vAlign w:val="bottom"/>
          </w:tcPr>
          <w:p>
            <w:pPr>
              <w:spacing w:after="0"/>
              <w:rPr>
                <w:sz w:val="9"/>
                <w:szCs w:val="9"/>
                <w:color w:val="auto"/>
              </w:rPr>
            </w:pPr>
          </w:p>
        </w:tc>
        <w:tc>
          <w:tcPr>
            <w:tcW w:w="920" w:type="dxa"/>
            <w:vAlign w:val="bottom"/>
          </w:tcPr>
          <w:p>
            <w:pPr>
              <w:jc w:val="right"/>
              <w:spacing w:after="0" w:line="105" w:lineRule="exact"/>
              <w:rPr>
                <w:sz w:val="20"/>
                <w:szCs w:val="20"/>
                <w:color w:val="auto"/>
              </w:rPr>
            </w:pPr>
            <w:r>
              <w:rPr>
                <w:rFonts w:ascii="Arial" w:cs="Arial" w:eastAsia="Arial" w:hAnsi="Arial"/>
                <w:sz w:val="11"/>
                <w:szCs w:val="11"/>
                <w:color w:val="auto"/>
              </w:rPr>
              <w:t>1M L+575</w:t>
            </w:r>
          </w:p>
        </w:tc>
        <w:tc>
          <w:tcPr>
            <w:tcW w:w="920" w:type="dxa"/>
            <w:vAlign w:val="bottom"/>
            <w:gridSpan w:val="2"/>
          </w:tcPr>
          <w:p>
            <w:pPr>
              <w:jc w:val="right"/>
              <w:ind w:right="6"/>
              <w:spacing w:after="0" w:line="105" w:lineRule="exact"/>
              <w:rPr>
                <w:sz w:val="20"/>
                <w:szCs w:val="20"/>
                <w:color w:val="auto"/>
              </w:rPr>
            </w:pPr>
            <w:r>
              <w:rPr>
                <w:rFonts w:ascii="Arial" w:cs="Arial" w:eastAsia="Arial" w:hAnsi="Arial"/>
                <w:sz w:val="11"/>
                <w:szCs w:val="11"/>
                <w:color w:val="auto"/>
              </w:rPr>
              <w:t>310,875</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05" w:lineRule="exact"/>
              <w:rPr>
                <w:sz w:val="20"/>
                <w:szCs w:val="20"/>
                <w:color w:val="auto"/>
              </w:rPr>
            </w:pPr>
            <w:r>
              <w:rPr>
                <w:rFonts w:ascii="Arial" w:cs="Arial" w:eastAsia="Arial" w:hAnsi="Arial"/>
                <w:sz w:val="11"/>
                <w:szCs w:val="11"/>
                <w:color w:val="auto"/>
              </w:rPr>
              <w:t>310,875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6"/>
              <w:spacing w:after="0" w:line="105" w:lineRule="exact"/>
              <w:rPr>
                <w:sz w:val="20"/>
                <w:szCs w:val="20"/>
                <w:color w:val="auto"/>
              </w:rPr>
            </w:pPr>
            <w:r>
              <w:rPr>
                <w:rFonts w:ascii="Arial" w:cs="Arial" w:eastAsia="Arial" w:hAnsi="Arial"/>
                <w:sz w:val="11"/>
                <w:szCs w:val="11"/>
                <w:color w:val="auto"/>
              </w:rPr>
              <w:t>302,326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02/03/2026</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13"/>
                <w:szCs w:val="13"/>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854,906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(23,510 )</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Arial" w:cs="Arial" w:eastAsia="Arial" w:hAnsi="Arial"/>
                <w:sz w:val="11"/>
                <w:szCs w:val="11"/>
                <w:color w:val="auto"/>
              </w:rPr>
              <w:t>Lombart Brothers, Inc.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04/13/2023</w:t>
            </w:r>
          </w:p>
        </w:tc>
        <w:tc>
          <w:tcPr>
            <w:tcW w:w="140" w:type="dxa"/>
            <w:vAlign w:val="bottom"/>
          </w:tcPr>
          <w:p>
            <w:pPr>
              <w:spacing w:after="0"/>
              <w:rPr>
                <w:sz w:val="12"/>
                <w:szCs w:val="12"/>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7.25 %</w:t>
            </w: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2,050,864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2,038,223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2,050,864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00" w:type="dxa"/>
            <w:vAlign w:val="bottom"/>
            <w:shd w:val="clear" w:color="auto" w:fill="CCECFF"/>
          </w:tcPr>
          <w:p>
            <w:pPr>
              <w:ind w:left="20"/>
              <w:spacing w:after="0"/>
              <w:rPr>
                <w:sz w:val="20"/>
                <w:szCs w:val="20"/>
                <w:color w:val="auto"/>
              </w:rPr>
            </w:pPr>
            <w:r>
              <w:rPr>
                <w:rFonts w:ascii="Arial" w:cs="Arial" w:eastAsia="Arial" w:hAnsi="Arial"/>
                <w:sz w:val="11"/>
                <w:szCs w:val="11"/>
                <w:color w:val="auto"/>
              </w:rPr>
              <w:t>Lombart Brothers, Inc. (Revolver)</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90"/>
              </w:rPr>
              <w:t>04/13/2023</w:t>
            </w:r>
          </w:p>
        </w:tc>
        <w:tc>
          <w:tcPr>
            <w:tcW w:w="140" w:type="dxa"/>
            <w:vAlign w:val="bottom"/>
            <w:shd w:val="clear" w:color="auto" w:fill="CCECFF"/>
          </w:tcPr>
          <w:p>
            <w:pPr>
              <w:spacing w:after="0"/>
              <w:rPr>
                <w:sz w:val="12"/>
                <w:szCs w:val="12"/>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9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7.25 %</w:t>
            </w:r>
          </w:p>
        </w:tc>
        <w:tc>
          <w:tcPr>
            <w:tcW w:w="140" w:type="dxa"/>
            <w:vAlign w:val="bottom"/>
            <w:shd w:val="clear" w:color="auto" w:fill="CCECFF"/>
          </w:tcPr>
          <w:p>
            <w:pPr>
              <w:spacing w:after="0"/>
              <w:rPr>
                <w:sz w:val="12"/>
                <w:szCs w:val="12"/>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shd w:val="clear" w:color="auto" w:fill="CCECFF"/>
          </w:tcPr>
          <w:p>
            <w:pPr>
              <w:jc w:val="right"/>
              <w:ind w:right="6"/>
              <w:spacing w:after="0"/>
              <w:rPr>
                <w:sz w:val="20"/>
                <w:szCs w:val="20"/>
                <w:color w:val="auto"/>
              </w:rPr>
            </w:pPr>
            <w:r>
              <w:rPr>
                <w:rFonts w:ascii="Arial" w:cs="Arial" w:eastAsia="Arial" w:hAnsi="Arial"/>
                <w:sz w:val="11"/>
                <w:szCs w:val="11"/>
                <w:color w:val="auto"/>
              </w:rPr>
              <w:t>737,293</w:t>
            </w: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737,293</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6"/>
              <w:spacing w:after="0"/>
              <w:rPr>
                <w:sz w:val="20"/>
                <w:szCs w:val="20"/>
                <w:color w:val="auto"/>
              </w:rPr>
            </w:pPr>
            <w:r>
              <w:rPr>
                <w:rFonts w:ascii="Arial" w:cs="Arial" w:eastAsia="Arial" w:hAnsi="Arial"/>
                <w:sz w:val="11"/>
                <w:szCs w:val="11"/>
                <w:color w:val="auto"/>
              </w:rPr>
              <w:t>737,293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000" w:type="dxa"/>
            <w:vAlign w:val="bottom"/>
          </w:tcPr>
          <w:p>
            <w:pPr>
              <w:ind w:left="20"/>
              <w:spacing w:after="0" w:line="105" w:lineRule="exact"/>
              <w:rPr>
                <w:sz w:val="20"/>
                <w:szCs w:val="20"/>
                <w:color w:val="auto"/>
              </w:rPr>
            </w:pPr>
            <w:r>
              <w:rPr>
                <w:rFonts w:ascii="Arial" w:cs="Arial" w:eastAsia="Arial" w:hAnsi="Arial"/>
                <w:sz w:val="11"/>
                <w:szCs w:val="11"/>
                <w:color w:val="auto"/>
              </w:rPr>
              <w:t>Management Consulting &amp; Research, LLC</w:t>
            </w:r>
          </w:p>
        </w:tc>
        <w:tc>
          <w:tcPr>
            <w:tcW w:w="780" w:type="dxa"/>
            <w:vAlign w:val="bottom"/>
            <w:gridSpan w:val="2"/>
          </w:tcPr>
          <w:p>
            <w:pPr>
              <w:jc w:val="center"/>
              <w:ind w:left="106"/>
              <w:spacing w:after="0" w:line="105" w:lineRule="exact"/>
              <w:rPr>
                <w:sz w:val="20"/>
                <w:szCs w:val="20"/>
                <w:color w:val="auto"/>
              </w:rPr>
            </w:pPr>
            <w:r>
              <w:rPr>
                <w:rFonts w:ascii="Arial" w:cs="Arial" w:eastAsia="Arial" w:hAnsi="Arial"/>
                <w:sz w:val="11"/>
                <w:szCs w:val="11"/>
                <w:color w:val="auto"/>
                <w:w w:val="90"/>
              </w:rPr>
              <w:t>08/16/2027</w:t>
            </w:r>
          </w:p>
        </w:tc>
        <w:tc>
          <w:tcPr>
            <w:tcW w:w="140" w:type="dxa"/>
            <w:vAlign w:val="bottom"/>
          </w:tcPr>
          <w:p>
            <w:pPr>
              <w:spacing w:after="0"/>
              <w:rPr>
                <w:sz w:val="9"/>
                <w:szCs w:val="9"/>
                <w:color w:val="auto"/>
              </w:rPr>
            </w:pPr>
          </w:p>
        </w:tc>
        <w:tc>
          <w:tcPr>
            <w:tcW w:w="2480" w:type="dxa"/>
            <w:vAlign w:val="bottom"/>
          </w:tcPr>
          <w:p>
            <w:pPr>
              <w:jc w:val="center"/>
              <w:spacing w:after="0" w:line="105" w:lineRule="exact"/>
              <w:rPr>
                <w:sz w:val="20"/>
                <w:szCs w:val="20"/>
                <w:color w:val="auto"/>
              </w:rPr>
            </w:pPr>
            <w:r>
              <w:rPr>
                <w:rFonts w:ascii="Arial" w:cs="Arial" w:eastAsia="Arial" w:hAnsi="Arial"/>
                <w:sz w:val="11"/>
                <w:szCs w:val="11"/>
                <w:color w:val="auto"/>
                <w:w w:val="86"/>
              </w:rPr>
              <w:t>Aerospace and Defense</w:t>
            </w:r>
          </w:p>
        </w:tc>
        <w:tc>
          <w:tcPr>
            <w:tcW w:w="98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7.00 %</w:t>
            </w:r>
          </w:p>
        </w:tc>
        <w:tc>
          <w:tcPr>
            <w:tcW w:w="140" w:type="dxa"/>
            <w:vAlign w:val="bottom"/>
          </w:tcPr>
          <w:p>
            <w:pPr>
              <w:spacing w:after="0"/>
              <w:rPr>
                <w:sz w:val="9"/>
                <w:szCs w:val="9"/>
                <w:color w:val="auto"/>
              </w:rPr>
            </w:pPr>
          </w:p>
        </w:tc>
        <w:tc>
          <w:tcPr>
            <w:tcW w:w="920" w:type="dxa"/>
            <w:vAlign w:val="bottom"/>
          </w:tcPr>
          <w:p>
            <w:pPr>
              <w:jc w:val="right"/>
              <w:spacing w:after="0" w:line="10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ind w:right="6"/>
              <w:spacing w:after="0" w:line="105" w:lineRule="exact"/>
              <w:rPr>
                <w:sz w:val="20"/>
                <w:szCs w:val="20"/>
                <w:color w:val="auto"/>
              </w:rPr>
            </w:pPr>
            <w:r>
              <w:rPr>
                <w:rFonts w:ascii="Arial" w:cs="Arial" w:eastAsia="Arial" w:hAnsi="Arial"/>
                <w:sz w:val="11"/>
                <w:szCs w:val="11"/>
                <w:color w:val="auto"/>
              </w:rPr>
              <w:t>14,000,000</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05" w:lineRule="exact"/>
              <w:rPr>
                <w:sz w:val="20"/>
                <w:szCs w:val="20"/>
                <w:color w:val="auto"/>
              </w:rPr>
            </w:pPr>
            <w:r>
              <w:rPr>
                <w:rFonts w:ascii="Arial" w:cs="Arial" w:eastAsia="Arial" w:hAnsi="Arial"/>
                <w:sz w:val="11"/>
                <w:szCs w:val="11"/>
                <w:color w:val="auto"/>
              </w:rPr>
              <w:t>13,725,387</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6"/>
              <w:spacing w:after="0" w:line="105" w:lineRule="exact"/>
              <w:rPr>
                <w:sz w:val="20"/>
                <w:szCs w:val="20"/>
                <w:color w:val="auto"/>
              </w:rPr>
            </w:pPr>
            <w:r>
              <w:rPr>
                <w:rFonts w:ascii="Arial" w:cs="Arial" w:eastAsia="Arial" w:hAnsi="Arial"/>
                <w:sz w:val="11"/>
                <w:szCs w:val="11"/>
                <w:color w:val="auto"/>
              </w:rPr>
              <w:t>13,720,000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Management Consulting &amp; Research, LLC (Revolver)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08/16/2027</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2,925,220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(58,504 )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Mars Acquisition Holdings Corp. (Revolver)</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5/14/2026</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806,142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(4,031 )</w:t>
            </w: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MBS Holdings, Inc. (Revolver)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04/16/2027</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40" w:type="dxa"/>
            <w:vAlign w:val="bottom"/>
          </w:tcPr>
          <w:p>
            <w:pPr>
              <w:spacing w:after="0"/>
              <w:rPr>
                <w:sz w:val="13"/>
                <w:szCs w:val="13"/>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694,444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(6,944 )</w:t>
            </w: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5" w:lineRule="exact"/>
              <w:rPr>
                <w:sz w:val="20"/>
                <w:szCs w:val="20"/>
                <w:color w:val="auto"/>
              </w:rPr>
            </w:pPr>
            <w:r>
              <w:rPr>
                <w:rFonts w:ascii="Arial" w:cs="Arial" w:eastAsia="Arial" w:hAnsi="Arial"/>
                <w:sz w:val="11"/>
                <w:szCs w:val="11"/>
                <w:color w:val="auto"/>
              </w:rPr>
              <w:t>Meadowlark Acquirer, LLC</w:t>
            </w:r>
          </w:p>
        </w:tc>
        <w:tc>
          <w:tcPr>
            <w:tcW w:w="780" w:type="dxa"/>
            <w:vAlign w:val="bottom"/>
            <w:gridSpan w:val="2"/>
          </w:tcPr>
          <w:p>
            <w:pPr>
              <w:jc w:val="center"/>
              <w:ind w:left="106"/>
              <w:spacing w:after="0" w:line="115" w:lineRule="exact"/>
              <w:rPr>
                <w:sz w:val="20"/>
                <w:szCs w:val="20"/>
                <w:color w:val="auto"/>
              </w:rPr>
            </w:pPr>
            <w:r>
              <w:rPr>
                <w:rFonts w:ascii="Arial" w:cs="Arial" w:eastAsia="Arial" w:hAnsi="Arial"/>
                <w:sz w:val="11"/>
                <w:szCs w:val="11"/>
                <w:color w:val="auto"/>
                <w:w w:val="90"/>
              </w:rPr>
              <w:t>12/10/2027</w:t>
            </w:r>
          </w:p>
        </w:tc>
        <w:tc>
          <w:tcPr>
            <w:tcW w:w="14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9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6.50 %</w:t>
            </w:r>
          </w:p>
        </w:tc>
        <w:tc>
          <w:tcPr>
            <w:tcW w:w="140" w:type="dxa"/>
            <w:vAlign w:val="bottom"/>
          </w:tcPr>
          <w:p>
            <w:pPr>
              <w:spacing w:after="0"/>
              <w:rPr>
                <w:sz w:val="9"/>
                <w:szCs w:val="9"/>
                <w:color w:val="auto"/>
              </w:rPr>
            </w:pP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ind w:right="6"/>
              <w:spacing w:after="0" w:line="115" w:lineRule="exact"/>
              <w:rPr>
                <w:sz w:val="20"/>
                <w:szCs w:val="20"/>
                <w:color w:val="auto"/>
              </w:rPr>
            </w:pPr>
            <w:r>
              <w:rPr>
                <w:rFonts w:ascii="Arial" w:cs="Arial" w:eastAsia="Arial" w:hAnsi="Arial"/>
                <w:sz w:val="11"/>
                <w:szCs w:val="11"/>
                <w:color w:val="auto"/>
              </w:rPr>
              <w:t>3,087,907</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15" w:lineRule="exact"/>
              <w:rPr>
                <w:sz w:val="20"/>
                <w:szCs w:val="20"/>
                <w:color w:val="auto"/>
              </w:rPr>
            </w:pPr>
            <w:r>
              <w:rPr>
                <w:rFonts w:ascii="Arial" w:cs="Arial" w:eastAsia="Arial" w:hAnsi="Arial"/>
                <w:sz w:val="11"/>
                <w:szCs w:val="11"/>
                <w:color w:val="auto"/>
              </w:rPr>
              <w:t>3,048,970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6"/>
              <w:spacing w:after="0" w:line="115" w:lineRule="exact"/>
              <w:rPr>
                <w:sz w:val="20"/>
                <w:szCs w:val="20"/>
                <w:color w:val="auto"/>
              </w:rPr>
            </w:pPr>
            <w:r>
              <w:rPr>
                <w:rFonts w:ascii="Arial" w:cs="Arial" w:eastAsia="Arial" w:hAnsi="Arial"/>
                <w:sz w:val="11"/>
                <w:szCs w:val="11"/>
                <w:color w:val="auto"/>
              </w:rPr>
              <w:t>3,048,859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Meadowlark Acquirer, LLC Term Loan I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12/10/2027</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2,919,864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Meadowlark Acquirer, LLC Term Loan II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12/10/2027</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8,921,807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Meadowlark Acquirer, LLC (Revolver)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12/10/2027</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3"/>
                <w:szCs w:val="13"/>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1,684,843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5" w:lineRule="exact"/>
              <w:rPr>
                <w:sz w:val="20"/>
                <w:szCs w:val="20"/>
                <w:color w:val="auto"/>
              </w:rPr>
            </w:pPr>
            <w:r>
              <w:rPr>
                <w:rFonts w:ascii="Arial" w:cs="Arial" w:eastAsia="Arial" w:hAnsi="Arial"/>
                <w:sz w:val="11"/>
                <w:szCs w:val="11"/>
                <w:color w:val="auto"/>
              </w:rPr>
              <w:t>MeritDirect, LLC</w:t>
            </w:r>
          </w:p>
        </w:tc>
        <w:tc>
          <w:tcPr>
            <w:tcW w:w="780" w:type="dxa"/>
            <w:vAlign w:val="bottom"/>
            <w:gridSpan w:val="2"/>
          </w:tcPr>
          <w:p>
            <w:pPr>
              <w:jc w:val="center"/>
              <w:ind w:left="106"/>
              <w:spacing w:after="0" w:line="115" w:lineRule="exact"/>
              <w:rPr>
                <w:sz w:val="20"/>
                <w:szCs w:val="20"/>
                <w:color w:val="auto"/>
              </w:rPr>
            </w:pPr>
            <w:r>
              <w:rPr>
                <w:rFonts w:ascii="Arial" w:cs="Arial" w:eastAsia="Arial" w:hAnsi="Arial"/>
                <w:sz w:val="11"/>
                <w:szCs w:val="11"/>
                <w:color w:val="auto"/>
                <w:w w:val="90"/>
              </w:rPr>
              <w:t>05/23/2024</w:t>
            </w:r>
          </w:p>
        </w:tc>
        <w:tc>
          <w:tcPr>
            <w:tcW w:w="14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9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6.50 %</w:t>
            </w:r>
          </w:p>
        </w:tc>
        <w:tc>
          <w:tcPr>
            <w:tcW w:w="140" w:type="dxa"/>
            <w:vAlign w:val="bottom"/>
          </w:tcPr>
          <w:p>
            <w:pPr>
              <w:spacing w:after="0"/>
              <w:rPr>
                <w:sz w:val="9"/>
                <w:szCs w:val="9"/>
                <w:color w:val="auto"/>
              </w:rPr>
            </w:pP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ind w:right="6"/>
              <w:spacing w:after="0" w:line="115" w:lineRule="exact"/>
              <w:rPr>
                <w:sz w:val="20"/>
                <w:szCs w:val="20"/>
                <w:color w:val="auto"/>
              </w:rPr>
            </w:pPr>
            <w:r>
              <w:rPr>
                <w:rFonts w:ascii="Arial" w:cs="Arial" w:eastAsia="Arial" w:hAnsi="Arial"/>
                <w:sz w:val="11"/>
                <w:szCs w:val="11"/>
                <w:color w:val="auto"/>
              </w:rPr>
              <w:t>5,226,281</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15" w:lineRule="exact"/>
              <w:rPr>
                <w:sz w:val="20"/>
                <w:szCs w:val="20"/>
                <w:color w:val="auto"/>
              </w:rPr>
            </w:pPr>
            <w:r>
              <w:rPr>
                <w:rFonts w:ascii="Arial" w:cs="Arial" w:eastAsia="Arial" w:hAnsi="Arial"/>
                <w:sz w:val="11"/>
                <w:szCs w:val="11"/>
                <w:color w:val="auto"/>
              </w:rPr>
              <w:t>5,155,762</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6"/>
              <w:spacing w:after="0" w:line="115" w:lineRule="exact"/>
              <w:rPr>
                <w:sz w:val="20"/>
                <w:szCs w:val="20"/>
                <w:color w:val="auto"/>
              </w:rPr>
            </w:pPr>
            <w:r>
              <w:rPr>
                <w:rFonts w:ascii="Arial" w:cs="Arial" w:eastAsia="Arial" w:hAnsi="Arial"/>
                <w:sz w:val="11"/>
                <w:szCs w:val="11"/>
                <w:color w:val="auto"/>
              </w:rPr>
              <w:t>5,174,018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05/23/2024</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1,612,278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(16,123 )</w:t>
            </w: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5" w:lineRule="exact"/>
              <w:rPr>
                <w:sz w:val="20"/>
                <w:szCs w:val="20"/>
                <w:color w:val="auto"/>
              </w:rPr>
            </w:pPr>
            <w:r>
              <w:rPr>
                <w:rFonts w:ascii="Arial" w:cs="Arial" w:eastAsia="Arial" w:hAnsi="Arial"/>
                <w:sz w:val="11"/>
                <w:szCs w:val="11"/>
                <w:color w:val="auto"/>
              </w:rPr>
              <w:t>Municipal Emergency Services, Inc.</w:t>
            </w:r>
          </w:p>
        </w:tc>
        <w:tc>
          <w:tcPr>
            <w:tcW w:w="780" w:type="dxa"/>
            <w:vAlign w:val="bottom"/>
            <w:gridSpan w:val="2"/>
          </w:tcPr>
          <w:p>
            <w:pPr>
              <w:jc w:val="center"/>
              <w:ind w:left="106"/>
              <w:spacing w:after="0" w:line="115" w:lineRule="exact"/>
              <w:rPr>
                <w:sz w:val="20"/>
                <w:szCs w:val="20"/>
                <w:color w:val="auto"/>
              </w:rPr>
            </w:pPr>
            <w:r>
              <w:rPr>
                <w:rFonts w:ascii="Arial" w:cs="Arial" w:eastAsia="Arial" w:hAnsi="Arial"/>
                <w:sz w:val="11"/>
                <w:szCs w:val="11"/>
                <w:color w:val="auto"/>
                <w:w w:val="90"/>
              </w:rPr>
              <w:t>09/28/2027</w:t>
            </w:r>
          </w:p>
        </w:tc>
        <w:tc>
          <w:tcPr>
            <w:tcW w:w="14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94"/>
              </w:rPr>
              <w:t>Distribution</w:t>
            </w:r>
          </w:p>
        </w:tc>
        <w:tc>
          <w:tcPr>
            <w:tcW w:w="9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6.00 %</w:t>
            </w:r>
          </w:p>
        </w:tc>
        <w:tc>
          <w:tcPr>
            <w:tcW w:w="140" w:type="dxa"/>
            <w:vAlign w:val="bottom"/>
          </w:tcPr>
          <w:p>
            <w:pPr>
              <w:spacing w:after="0"/>
              <w:rPr>
                <w:sz w:val="9"/>
                <w:szCs w:val="9"/>
                <w:color w:val="auto"/>
              </w:rPr>
            </w:pP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20" w:type="dxa"/>
            <w:vAlign w:val="bottom"/>
            <w:gridSpan w:val="2"/>
          </w:tcPr>
          <w:p>
            <w:pPr>
              <w:jc w:val="right"/>
              <w:ind w:right="6"/>
              <w:spacing w:after="0" w:line="115" w:lineRule="exact"/>
              <w:rPr>
                <w:sz w:val="20"/>
                <w:szCs w:val="20"/>
                <w:color w:val="auto"/>
              </w:rPr>
            </w:pPr>
            <w:r>
              <w:rPr>
                <w:rFonts w:ascii="Arial" w:cs="Arial" w:eastAsia="Arial" w:hAnsi="Arial"/>
                <w:sz w:val="11"/>
                <w:szCs w:val="11"/>
                <w:color w:val="auto"/>
              </w:rPr>
              <w:t>6,935,448</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15" w:lineRule="exact"/>
              <w:rPr>
                <w:sz w:val="20"/>
                <w:szCs w:val="20"/>
                <w:color w:val="auto"/>
              </w:rPr>
            </w:pPr>
            <w:r>
              <w:rPr>
                <w:rFonts w:ascii="Arial" w:cs="Arial" w:eastAsia="Arial" w:hAnsi="Arial"/>
                <w:sz w:val="11"/>
                <w:szCs w:val="11"/>
                <w:color w:val="auto"/>
              </w:rPr>
              <w:t>6,801,568</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6"/>
              <w:spacing w:after="0" w:line="115" w:lineRule="exact"/>
              <w:rPr>
                <w:sz w:val="20"/>
                <w:szCs w:val="20"/>
                <w:color w:val="auto"/>
              </w:rPr>
            </w:pPr>
            <w:r>
              <w:rPr>
                <w:rFonts w:ascii="Arial" w:cs="Arial" w:eastAsia="Arial" w:hAnsi="Arial"/>
                <w:sz w:val="11"/>
                <w:szCs w:val="11"/>
                <w:color w:val="auto"/>
              </w:rPr>
              <w:t>6,824,481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09/28/2027</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40" w:type="dxa"/>
            <w:vAlign w:val="bottom"/>
          </w:tcPr>
          <w:p>
            <w:pPr>
              <w:spacing w:after="0"/>
              <w:rPr>
                <w:sz w:val="11"/>
                <w:szCs w:val="11"/>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1,880,414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(11,282 )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Municipal Emergency Services, Inc. (Revolver)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09/28/2027</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40" w:type="dxa"/>
            <w:vAlign w:val="bottom"/>
          </w:tcPr>
          <w:p>
            <w:pPr>
              <w:spacing w:after="0"/>
              <w:rPr>
                <w:sz w:val="11"/>
                <w:szCs w:val="11"/>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1,880,414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(30,087 )</w:t>
            </w: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NBH Group LLC (Revolver)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08/19/2026</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13"/>
                <w:szCs w:val="13"/>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1,162,916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(11,629 )</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Arial" w:cs="Arial" w:eastAsia="Arial" w:hAnsi="Arial"/>
                <w:sz w:val="11"/>
                <w:szCs w:val="11"/>
                <w:color w:val="auto"/>
              </w:rPr>
              <w:t>Neptune Flood Incorporated</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10/14/2026</w:t>
            </w:r>
          </w:p>
        </w:tc>
        <w:tc>
          <w:tcPr>
            <w:tcW w:w="140" w:type="dxa"/>
            <w:vAlign w:val="bottom"/>
          </w:tcPr>
          <w:p>
            <w:pPr>
              <w:spacing w:after="0"/>
              <w:rPr>
                <w:sz w:val="12"/>
                <w:szCs w:val="12"/>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7.00 %</w:t>
            </w: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4,833,333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4,798,195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4,797,083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00" w:type="dxa"/>
            <w:vAlign w:val="bottom"/>
            <w:shd w:val="clear" w:color="auto" w:fill="CCECFF"/>
          </w:tcPr>
          <w:p>
            <w:pPr>
              <w:ind w:left="20"/>
              <w:spacing w:after="0"/>
              <w:rPr>
                <w:sz w:val="20"/>
                <w:szCs w:val="20"/>
                <w:color w:val="auto"/>
              </w:rPr>
            </w:pPr>
            <w:r>
              <w:rPr>
                <w:rFonts w:ascii="Arial" w:cs="Arial" w:eastAsia="Arial" w:hAnsi="Arial"/>
                <w:sz w:val="11"/>
                <w:szCs w:val="11"/>
                <w:color w:val="auto"/>
              </w:rPr>
              <w:t>OIS Management Services, LLC</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90"/>
              </w:rPr>
              <w:t>07/09/2026</w:t>
            </w:r>
          </w:p>
        </w:tc>
        <w:tc>
          <w:tcPr>
            <w:tcW w:w="140" w:type="dxa"/>
            <w:vAlign w:val="bottom"/>
            <w:shd w:val="clear" w:color="auto" w:fill="CCECFF"/>
          </w:tcPr>
          <w:p>
            <w:pPr>
              <w:spacing w:after="0"/>
              <w:rPr>
                <w:sz w:val="12"/>
                <w:szCs w:val="12"/>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9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5.50 %</w:t>
            </w:r>
          </w:p>
        </w:tc>
        <w:tc>
          <w:tcPr>
            <w:tcW w:w="140" w:type="dxa"/>
            <w:vAlign w:val="bottom"/>
            <w:shd w:val="clear" w:color="auto" w:fill="CCECFF"/>
          </w:tcPr>
          <w:p>
            <w:pPr>
              <w:spacing w:after="0"/>
              <w:rPr>
                <w:sz w:val="12"/>
                <w:szCs w:val="12"/>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920" w:type="dxa"/>
            <w:vAlign w:val="bottom"/>
            <w:gridSpan w:val="2"/>
            <w:shd w:val="clear" w:color="auto" w:fill="CCECFF"/>
          </w:tcPr>
          <w:p>
            <w:pPr>
              <w:jc w:val="right"/>
              <w:ind w:right="6"/>
              <w:spacing w:after="0"/>
              <w:rPr>
                <w:sz w:val="20"/>
                <w:szCs w:val="20"/>
                <w:color w:val="auto"/>
              </w:rPr>
            </w:pPr>
            <w:r>
              <w:rPr>
                <w:rFonts w:ascii="Arial" w:cs="Arial" w:eastAsia="Arial" w:hAnsi="Arial"/>
                <w:sz w:val="11"/>
                <w:szCs w:val="11"/>
                <w:color w:val="auto"/>
              </w:rPr>
              <w:t>1,433,333</w:t>
            </w: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1,422,592</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6"/>
              <w:spacing w:after="0"/>
              <w:rPr>
                <w:sz w:val="20"/>
                <w:szCs w:val="20"/>
                <w:color w:val="auto"/>
              </w:rPr>
            </w:pPr>
            <w:r>
              <w:rPr>
                <w:rFonts w:ascii="Arial" w:cs="Arial" w:eastAsia="Arial" w:hAnsi="Arial"/>
                <w:sz w:val="11"/>
                <w:szCs w:val="11"/>
                <w:color w:val="auto"/>
              </w:rPr>
              <w:t>1,419,000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Arial" w:cs="Arial" w:eastAsia="Arial" w:hAnsi="Arial"/>
                <w:sz w:val="11"/>
                <w:szCs w:val="11"/>
                <w:color w:val="auto"/>
              </w:rPr>
              <w:t>OIS Management Services, LLC (Revolver)</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07/09/2026</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5.50 %</w:t>
            </w: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3M L+450</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333,333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333,333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330,000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Arial" w:cs="Arial" w:eastAsia="Arial" w:hAnsi="Arial"/>
                <w:sz w:val="11"/>
                <w:szCs w:val="11"/>
                <w:color w:val="auto"/>
              </w:rPr>
              <w:t>One Stop Mailing, LLC</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90"/>
              </w:rPr>
              <w:t>05/07/2027</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Cargo Transport</w:t>
            </w:r>
          </w:p>
        </w:tc>
        <w:tc>
          <w:tcPr>
            <w:tcW w:w="9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7.25 %</w:t>
            </w:r>
          </w:p>
        </w:tc>
        <w:tc>
          <w:tcPr>
            <w:tcW w:w="14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920" w:type="dxa"/>
            <w:vAlign w:val="bottom"/>
            <w:gridSpan w:val="2"/>
            <w:shd w:val="clear" w:color="auto" w:fill="CCECFF"/>
          </w:tcPr>
          <w:p>
            <w:pPr>
              <w:jc w:val="right"/>
              <w:ind w:right="6"/>
              <w:spacing w:after="0"/>
              <w:rPr>
                <w:sz w:val="20"/>
                <w:szCs w:val="20"/>
                <w:color w:val="auto"/>
              </w:rPr>
            </w:pPr>
            <w:r>
              <w:rPr>
                <w:rFonts w:ascii="Arial" w:cs="Arial" w:eastAsia="Arial" w:hAnsi="Arial"/>
                <w:sz w:val="11"/>
                <w:szCs w:val="11"/>
                <w:color w:val="auto"/>
              </w:rPr>
              <w:t>9,882,143</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9,696,313</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ind w:right="6"/>
              <w:spacing w:after="0"/>
              <w:rPr>
                <w:sz w:val="20"/>
                <w:szCs w:val="20"/>
                <w:color w:val="auto"/>
              </w:rPr>
            </w:pPr>
            <w:r>
              <w:rPr>
                <w:rFonts w:ascii="Arial" w:cs="Arial" w:eastAsia="Arial" w:hAnsi="Arial"/>
                <w:sz w:val="11"/>
                <w:szCs w:val="11"/>
                <w:color w:val="auto"/>
              </w:rPr>
              <w:t>9,709,205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000" w:type="dxa"/>
            <w:vAlign w:val="bottom"/>
          </w:tcPr>
          <w:p>
            <w:pPr>
              <w:ind w:left="20"/>
              <w:spacing w:after="0" w:line="105" w:lineRule="exact"/>
              <w:rPr>
                <w:sz w:val="20"/>
                <w:szCs w:val="20"/>
                <w:color w:val="auto"/>
              </w:rPr>
            </w:pPr>
            <w:r>
              <w:rPr>
                <w:rFonts w:ascii="Arial" w:cs="Arial" w:eastAsia="Arial" w:hAnsi="Arial"/>
                <w:sz w:val="11"/>
                <w:szCs w:val="11"/>
                <w:color w:val="auto"/>
              </w:rPr>
              <w:t>ORL Acquisition, Inc.</w:t>
            </w:r>
          </w:p>
        </w:tc>
        <w:tc>
          <w:tcPr>
            <w:tcW w:w="780" w:type="dxa"/>
            <w:vAlign w:val="bottom"/>
            <w:gridSpan w:val="2"/>
          </w:tcPr>
          <w:p>
            <w:pPr>
              <w:jc w:val="center"/>
              <w:ind w:left="106"/>
              <w:spacing w:after="0" w:line="105" w:lineRule="exact"/>
              <w:rPr>
                <w:sz w:val="20"/>
                <w:szCs w:val="20"/>
                <w:color w:val="auto"/>
              </w:rPr>
            </w:pPr>
            <w:r>
              <w:rPr>
                <w:rFonts w:ascii="Arial" w:cs="Arial" w:eastAsia="Arial" w:hAnsi="Arial"/>
                <w:sz w:val="11"/>
                <w:szCs w:val="11"/>
                <w:color w:val="auto"/>
                <w:w w:val="90"/>
              </w:rPr>
              <w:t>09/03/2027</w:t>
            </w:r>
          </w:p>
        </w:tc>
        <w:tc>
          <w:tcPr>
            <w:tcW w:w="140" w:type="dxa"/>
            <w:vAlign w:val="bottom"/>
          </w:tcPr>
          <w:p>
            <w:pPr>
              <w:spacing w:after="0"/>
              <w:rPr>
                <w:sz w:val="9"/>
                <w:szCs w:val="9"/>
                <w:color w:val="auto"/>
              </w:rPr>
            </w:pPr>
          </w:p>
        </w:tc>
        <w:tc>
          <w:tcPr>
            <w:tcW w:w="2480" w:type="dxa"/>
            <w:vAlign w:val="bottom"/>
          </w:tcPr>
          <w:p>
            <w:pPr>
              <w:jc w:val="center"/>
              <w:spacing w:after="0" w:line="105" w:lineRule="exact"/>
              <w:rPr>
                <w:sz w:val="20"/>
                <w:szCs w:val="20"/>
                <w:color w:val="auto"/>
              </w:rPr>
            </w:pPr>
            <w:r>
              <w:rPr>
                <w:rFonts w:ascii="Arial" w:cs="Arial" w:eastAsia="Arial" w:hAnsi="Arial"/>
                <w:sz w:val="11"/>
                <w:szCs w:val="11"/>
                <w:color w:val="auto"/>
                <w:w w:val="86"/>
              </w:rPr>
              <w:t>Business Services</w:t>
            </w:r>
          </w:p>
        </w:tc>
        <w:tc>
          <w:tcPr>
            <w:tcW w:w="98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6.25 %</w:t>
            </w:r>
          </w:p>
        </w:tc>
        <w:tc>
          <w:tcPr>
            <w:tcW w:w="140" w:type="dxa"/>
            <w:vAlign w:val="bottom"/>
          </w:tcPr>
          <w:p>
            <w:pPr>
              <w:spacing w:after="0"/>
              <w:rPr>
                <w:sz w:val="9"/>
                <w:szCs w:val="9"/>
                <w:color w:val="auto"/>
              </w:rPr>
            </w:pPr>
          </w:p>
        </w:tc>
        <w:tc>
          <w:tcPr>
            <w:tcW w:w="920" w:type="dxa"/>
            <w:vAlign w:val="bottom"/>
          </w:tcPr>
          <w:p>
            <w:pPr>
              <w:jc w:val="right"/>
              <w:spacing w:after="0" w:line="105" w:lineRule="exact"/>
              <w:rPr>
                <w:sz w:val="20"/>
                <w:szCs w:val="20"/>
                <w:color w:val="auto"/>
              </w:rPr>
            </w:pPr>
            <w:r>
              <w:rPr>
                <w:rFonts w:ascii="Arial" w:cs="Arial" w:eastAsia="Arial" w:hAnsi="Arial"/>
                <w:sz w:val="11"/>
                <w:szCs w:val="11"/>
                <w:color w:val="auto"/>
              </w:rPr>
              <w:t>3M L+525</w:t>
            </w:r>
          </w:p>
        </w:tc>
        <w:tc>
          <w:tcPr>
            <w:tcW w:w="920" w:type="dxa"/>
            <w:vAlign w:val="bottom"/>
            <w:gridSpan w:val="2"/>
          </w:tcPr>
          <w:p>
            <w:pPr>
              <w:jc w:val="right"/>
              <w:ind w:right="6"/>
              <w:spacing w:after="0" w:line="105" w:lineRule="exact"/>
              <w:rPr>
                <w:sz w:val="20"/>
                <w:szCs w:val="20"/>
                <w:color w:val="auto"/>
              </w:rPr>
            </w:pPr>
            <w:r>
              <w:rPr>
                <w:rFonts w:ascii="Arial" w:cs="Arial" w:eastAsia="Arial" w:hAnsi="Arial"/>
                <w:sz w:val="11"/>
                <w:szCs w:val="11"/>
                <w:color w:val="auto"/>
              </w:rPr>
              <w:t>5,028,299</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05" w:lineRule="exact"/>
              <w:rPr>
                <w:sz w:val="20"/>
                <w:szCs w:val="20"/>
                <w:color w:val="auto"/>
              </w:rPr>
            </w:pPr>
            <w:r>
              <w:rPr>
                <w:rFonts w:ascii="Arial" w:cs="Arial" w:eastAsia="Arial" w:hAnsi="Arial"/>
                <w:sz w:val="11"/>
                <w:szCs w:val="11"/>
                <w:color w:val="auto"/>
              </w:rPr>
              <w:t>4,932,144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6"/>
              <w:spacing w:after="0" w:line="105" w:lineRule="exact"/>
              <w:rPr>
                <w:sz w:val="20"/>
                <w:szCs w:val="20"/>
                <w:color w:val="auto"/>
              </w:rPr>
            </w:pPr>
            <w:r>
              <w:rPr>
                <w:rFonts w:ascii="Arial" w:cs="Arial" w:eastAsia="Arial" w:hAnsi="Arial"/>
                <w:sz w:val="11"/>
                <w:szCs w:val="11"/>
                <w:color w:val="auto"/>
              </w:rPr>
              <w:t>4,978,016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ORL Acquisition, Inc. (Revolver)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09/03/2027</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3"/>
                <w:szCs w:val="13"/>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596,963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(5,970 )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Arial" w:cs="Arial" w:eastAsia="Arial" w:hAnsi="Arial"/>
                <w:sz w:val="11"/>
                <w:szCs w:val="11"/>
                <w:color w:val="auto"/>
              </w:rPr>
              <w:t>Ox Two, LLC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05/18/2026</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4"/>
              </w:rPr>
              <w:t>Building Materials</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7.00 %</w:t>
            </w: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1M L+600</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15,631,875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15,410,472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15,319,238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5" w:lineRule="exact"/>
              <w:rPr>
                <w:sz w:val="20"/>
                <w:szCs w:val="20"/>
                <w:color w:val="auto"/>
              </w:rPr>
            </w:pPr>
            <w:r>
              <w:rPr>
                <w:rFonts w:ascii="Arial" w:cs="Arial" w:eastAsia="Arial" w:hAnsi="Arial"/>
                <w:sz w:val="11"/>
                <w:szCs w:val="11"/>
                <w:color w:val="auto"/>
              </w:rPr>
              <w:t>Ox Two, LLC (Revolver)</w:t>
            </w:r>
          </w:p>
        </w:tc>
        <w:tc>
          <w:tcPr>
            <w:tcW w:w="780" w:type="dxa"/>
            <w:vAlign w:val="bottom"/>
            <w:gridSpan w:val="2"/>
          </w:tcPr>
          <w:p>
            <w:pPr>
              <w:jc w:val="center"/>
              <w:ind w:left="106"/>
              <w:spacing w:after="0" w:line="115" w:lineRule="exact"/>
              <w:rPr>
                <w:sz w:val="20"/>
                <w:szCs w:val="20"/>
                <w:color w:val="auto"/>
              </w:rPr>
            </w:pPr>
            <w:r>
              <w:rPr>
                <w:rFonts w:ascii="Arial" w:cs="Arial" w:eastAsia="Arial" w:hAnsi="Arial"/>
                <w:sz w:val="11"/>
                <w:szCs w:val="11"/>
                <w:color w:val="auto"/>
                <w:w w:val="90"/>
              </w:rPr>
              <w:t>05/18/2026</w:t>
            </w:r>
          </w:p>
        </w:tc>
        <w:tc>
          <w:tcPr>
            <w:tcW w:w="14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94"/>
              </w:rPr>
              <w:t>Building Materials</w:t>
            </w:r>
          </w:p>
        </w:tc>
        <w:tc>
          <w:tcPr>
            <w:tcW w:w="9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7.00 %</w:t>
            </w:r>
          </w:p>
        </w:tc>
        <w:tc>
          <w:tcPr>
            <w:tcW w:w="140" w:type="dxa"/>
            <w:vAlign w:val="bottom"/>
          </w:tcPr>
          <w:p>
            <w:pPr>
              <w:spacing w:after="0"/>
              <w:rPr>
                <w:sz w:val="9"/>
                <w:szCs w:val="9"/>
                <w:color w:val="auto"/>
              </w:rPr>
            </w:pP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1M L+600</w:t>
            </w:r>
          </w:p>
        </w:tc>
        <w:tc>
          <w:tcPr>
            <w:tcW w:w="920" w:type="dxa"/>
            <w:vAlign w:val="bottom"/>
            <w:gridSpan w:val="2"/>
          </w:tcPr>
          <w:p>
            <w:pPr>
              <w:jc w:val="right"/>
              <w:ind w:right="6"/>
              <w:spacing w:after="0" w:line="115" w:lineRule="exact"/>
              <w:rPr>
                <w:sz w:val="20"/>
                <w:szCs w:val="20"/>
                <w:color w:val="auto"/>
              </w:rPr>
            </w:pPr>
            <w:r>
              <w:rPr>
                <w:rFonts w:ascii="Arial" w:cs="Arial" w:eastAsia="Arial" w:hAnsi="Arial"/>
                <w:sz w:val="11"/>
                <w:szCs w:val="11"/>
                <w:color w:val="auto"/>
              </w:rPr>
              <w:t>1,774,194</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15" w:lineRule="exact"/>
              <w:rPr>
                <w:sz w:val="20"/>
                <w:szCs w:val="20"/>
                <w:color w:val="auto"/>
              </w:rPr>
            </w:pPr>
            <w:r>
              <w:rPr>
                <w:rFonts w:ascii="Arial" w:cs="Arial" w:eastAsia="Arial" w:hAnsi="Arial"/>
                <w:sz w:val="11"/>
                <w:szCs w:val="11"/>
                <w:color w:val="auto"/>
              </w:rPr>
              <w:t>1,774,194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6"/>
              <w:spacing w:after="0" w:line="115" w:lineRule="exact"/>
              <w:rPr>
                <w:sz w:val="20"/>
                <w:szCs w:val="20"/>
                <w:color w:val="auto"/>
              </w:rPr>
            </w:pPr>
            <w:r>
              <w:rPr>
                <w:rFonts w:ascii="Arial" w:cs="Arial" w:eastAsia="Arial" w:hAnsi="Arial"/>
                <w:sz w:val="11"/>
                <w:szCs w:val="11"/>
                <w:color w:val="auto"/>
              </w:rPr>
              <w:t>1,738,710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000" w:type="dxa"/>
            <w:vAlign w:val="bottom"/>
          </w:tcPr>
          <w:p>
            <w:pPr>
              <w:ind w:left="20"/>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05/18/2026</w:t>
            </w:r>
          </w:p>
        </w:tc>
        <w:tc>
          <w:tcPr>
            <w:tcW w:w="14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4"/>
              </w:rPr>
              <w:t>Building Materials</w:t>
            </w:r>
          </w:p>
        </w:tc>
        <w:tc>
          <w:tcPr>
            <w:tcW w:w="140" w:type="dxa"/>
            <w:vAlign w:val="bottom"/>
          </w:tcPr>
          <w:p>
            <w:pPr>
              <w:spacing w:after="0"/>
              <w:rPr>
                <w:sz w:val="14"/>
                <w:szCs w:val="14"/>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645,161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(12,903 )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 Acquisitionco,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11/09/2027</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Retail</w:t>
            </w:r>
          </w:p>
        </w:tc>
        <w:tc>
          <w:tcPr>
            <w:tcW w:w="9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7.50 %</w:t>
            </w:r>
          </w:p>
        </w:tc>
        <w:tc>
          <w:tcPr>
            <w:tcW w:w="14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L+650</w:t>
            </w:r>
          </w:p>
        </w:tc>
        <w:tc>
          <w:tcPr>
            <w:tcW w:w="920" w:type="dxa"/>
            <w:vAlign w:val="bottom"/>
            <w:gridSpan w:val="2"/>
            <w:shd w:val="clear" w:color="auto" w:fill="CCECFF"/>
          </w:tcPr>
          <w:p>
            <w:pPr>
              <w:jc w:val="right"/>
              <w:ind w:right="6"/>
              <w:spacing w:after="0"/>
              <w:rPr>
                <w:sz w:val="20"/>
                <w:szCs w:val="20"/>
                <w:color w:val="auto"/>
              </w:rPr>
            </w:pPr>
            <w:r>
              <w:rPr>
                <w:rFonts w:ascii="Arial" w:cs="Arial" w:eastAsia="Arial" w:hAnsi="Arial"/>
                <w:sz w:val="11"/>
                <w:szCs w:val="11"/>
                <w:color w:val="auto"/>
              </w:rPr>
              <w:t>8,699,717</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8,548,960</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ind w:right="6"/>
              <w:spacing w:after="0"/>
              <w:rPr>
                <w:sz w:val="20"/>
                <w:szCs w:val="20"/>
                <w:color w:val="auto"/>
              </w:rPr>
            </w:pPr>
            <w:r>
              <w:rPr>
                <w:rFonts w:ascii="Arial" w:cs="Arial" w:eastAsia="Arial" w:hAnsi="Arial"/>
                <w:sz w:val="11"/>
                <w:szCs w:val="11"/>
                <w:color w:val="auto"/>
              </w:rPr>
              <w:t>8,547,472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000" w:type="dxa"/>
            <w:vAlign w:val="bottom"/>
          </w:tcPr>
          <w:p>
            <w:pPr>
              <w:ind w:left="20"/>
              <w:spacing w:after="0" w:line="105" w:lineRule="exact"/>
              <w:rPr>
                <w:sz w:val="20"/>
                <w:szCs w:val="20"/>
                <w:color w:val="auto"/>
              </w:rPr>
            </w:pPr>
            <w:r>
              <w:rPr>
                <w:rFonts w:ascii="Arial" w:cs="Arial" w:eastAsia="Arial" w:hAnsi="Arial"/>
                <w:sz w:val="11"/>
                <w:szCs w:val="11"/>
                <w:color w:val="auto"/>
              </w:rPr>
              <w:t>PL Acquisitionco, LLC - (Revolver)</w:t>
            </w:r>
          </w:p>
        </w:tc>
        <w:tc>
          <w:tcPr>
            <w:tcW w:w="78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87"/>
              </w:rPr>
              <w:t>11/09/2027</w:t>
            </w:r>
          </w:p>
        </w:tc>
        <w:tc>
          <w:tcPr>
            <w:tcW w:w="140" w:type="dxa"/>
            <w:vAlign w:val="bottom"/>
          </w:tcPr>
          <w:p>
            <w:pPr>
              <w:spacing w:after="0"/>
              <w:rPr>
                <w:sz w:val="9"/>
                <w:szCs w:val="9"/>
                <w:color w:val="auto"/>
              </w:rPr>
            </w:pPr>
          </w:p>
        </w:tc>
        <w:tc>
          <w:tcPr>
            <w:tcW w:w="2480" w:type="dxa"/>
            <w:vAlign w:val="bottom"/>
          </w:tcPr>
          <w:p>
            <w:pPr>
              <w:jc w:val="center"/>
              <w:spacing w:after="0" w:line="105" w:lineRule="exact"/>
              <w:rPr>
                <w:sz w:val="20"/>
                <w:szCs w:val="20"/>
                <w:color w:val="auto"/>
              </w:rPr>
            </w:pPr>
            <w:r>
              <w:rPr>
                <w:rFonts w:ascii="Arial" w:cs="Arial" w:eastAsia="Arial" w:hAnsi="Arial"/>
                <w:sz w:val="11"/>
                <w:szCs w:val="11"/>
                <w:color w:val="auto"/>
                <w:w w:val="92"/>
              </w:rPr>
              <w:t>Retail</w:t>
            </w:r>
          </w:p>
        </w:tc>
        <w:tc>
          <w:tcPr>
            <w:tcW w:w="98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7.50 %</w:t>
            </w:r>
          </w:p>
        </w:tc>
        <w:tc>
          <w:tcPr>
            <w:tcW w:w="140" w:type="dxa"/>
            <w:vAlign w:val="bottom"/>
          </w:tcPr>
          <w:p>
            <w:pPr>
              <w:spacing w:after="0"/>
              <w:rPr>
                <w:sz w:val="9"/>
                <w:szCs w:val="9"/>
                <w:color w:val="auto"/>
              </w:rPr>
            </w:pPr>
          </w:p>
        </w:tc>
        <w:tc>
          <w:tcPr>
            <w:tcW w:w="920" w:type="dxa"/>
            <w:vAlign w:val="bottom"/>
          </w:tcPr>
          <w:p>
            <w:pPr>
              <w:jc w:val="right"/>
              <w:spacing w:after="0" w:line="105" w:lineRule="exact"/>
              <w:rPr>
                <w:sz w:val="20"/>
                <w:szCs w:val="20"/>
                <w:color w:val="auto"/>
              </w:rPr>
            </w:pPr>
            <w:r>
              <w:rPr>
                <w:rFonts w:ascii="Arial" w:cs="Arial" w:eastAsia="Arial" w:hAnsi="Arial"/>
                <w:sz w:val="11"/>
                <w:szCs w:val="11"/>
                <w:color w:val="auto"/>
              </w:rPr>
              <w:t>3M L+650</w:t>
            </w:r>
          </w:p>
        </w:tc>
        <w:tc>
          <w:tcPr>
            <w:tcW w:w="920" w:type="dxa"/>
            <w:vAlign w:val="bottom"/>
            <w:gridSpan w:val="2"/>
          </w:tcPr>
          <w:p>
            <w:pPr>
              <w:jc w:val="right"/>
              <w:ind w:right="6"/>
              <w:spacing w:after="0" w:line="105" w:lineRule="exact"/>
              <w:rPr>
                <w:sz w:val="20"/>
                <w:szCs w:val="20"/>
                <w:color w:val="auto"/>
              </w:rPr>
            </w:pPr>
            <w:r>
              <w:rPr>
                <w:rFonts w:ascii="Arial" w:cs="Arial" w:eastAsia="Arial" w:hAnsi="Arial"/>
                <w:sz w:val="11"/>
                <w:szCs w:val="11"/>
                <w:color w:val="auto"/>
              </w:rPr>
              <w:t>862,861</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05" w:lineRule="exact"/>
              <w:rPr>
                <w:sz w:val="20"/>
                <w:szCs w:val="20"/>
                <w:color w:val="auto"/>
              </w:rPr>
            </w:pPr>
            <w:r>
              <w:rPr>
                <w:rFonts w:ascii="Arial" w:cs="Arial" w:eastAsia="Arial" w:hAnsi="Arial"/>
                <w:sz w:val="11"/>
                <w:szCs w:val="11"/>
                <w:color w:val="auto"/>
              </w:rPr>
              <w:t>862,861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6"/>
              <w:spacing w:after="0" w:line="105" w:lineRule="exact"/>
              <w:rPr>
                <w:sz w:val="20"/>
                <w:szCs w:val="20"/>
                <w:color w:val="auto"/>
              </w:rPr>
            </w:pPr>
            <w:r>
              <w:rPr>
                <w:rFonts w:ascii="Arial" w:cs="Arial" w:eastAsia="Arial" w:hAnsi="Arial"/>
                <w:sz w:val="11"/>
                <w:szCs w:val="11"/>
                <w:color w:val="auto"/>
              </w:rPr>
              <w:t>847,761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PL Acquisitionco, LLC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11/09/2027</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2"/>
              </w:rPr>
              <w:t>Retail</w:t>
            </w:r>
          </w:p>
        </w:tc>
        <w:tc>
          <w:tcPr>
            <w:tcW w:w="140" w:type="dxa"/>
            <w:vAlign w:val="bottom"/>
          </w:tcPr>
          <w:p>
            <w:pPr>
              <w:spacing w:after="0"/>
              <w:rPr>
                <w:sz w:val="13"/>
                <w:szCs w:val="13"/>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2,372,868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(41,525 )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Arial" w:cs="Arial" w:eastAsia="Arial" w:hAnsi="Arial"/>
                <w:sz w:val="11"/>
                <w:szCs w:val="11"/>
                <w:color w:val="auto"/>
              </w:rPr>
              <w:t>PRA Events, Inc.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08/07/2025</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11.50 %</w:t>
            </w: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3M L+1,050</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24,362,879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21,109,397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23,510,178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(PIK 11.50%)</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000" w:type="dxa"/>
            <w:vAlign w:val="bottom"/>
            <w:shd w:val="clear" w:color="auto" w:fill="CCECFF"/>
          </w:tcPr>
          <w:p>
            <w:pPr>
              <w:ind w:left="20"/>
              <w:spacing w:after="0"/>
              <w:rPr>
                <w:sz w:val="20"/>
                <w:szCs w:val="20"/>
                <w:color w:val="auto"/>
              </w:rPr>
            </w:pPr>
            <w:r>
              <w:rPr>
                <w:rFonts w:ascii="Arial" w:cs="Arial" w:eastAsia="Arial" w:hAnsi="Arial"/>
                <w:sz w:val="11"/>
                <w:szCs w:val="11"/>
                <w:color w:val="auto"/>
              </w:rPr>
              <w:t>PRA Events, Inc. (Revolver)</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90"/>
              </w:rPr>
              <w:t>08/07/2025</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9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11.50 %</w:t>
            </w:r>
          </w:p>
        </w:tc>
        <w:tc>
          <w:tcPr>
            <w:tcW w:w="14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L+1,050</w:t>
            </w:r>
          </w:p>
        </w:tc>
        <w:tc>
          <w:tcPr>
            <w:tcW w:w="920" w:type="dxa"/>
            <w:vAlign w:val="bottom"/>
            <w:gridSpan w:val="2"/>
            <w:shd w:val="clear" w:color="auto" w:fill="CCECFF"/>
          </w:tcPr>
          <w:p>
            <w:pPr>
              <w:jc w:val="right"/>
              <w:ind w:right="6"/>
              <w:spacing w:after="0"/>
              <w:rPr>
                <w:sz w:val="20"/>
                <w:szCs w:val="20"/>
                <w:color w:val="auto"/>
              </w:rPr>
            </w:pPr>
            <w:r>
              <w:rPr>
                <w:rFonts w:ascii="Arial" w:cs="Arial" w:eastAsia="Arial" w:hAnsi="Arial"/>
                <w:sz w:val="11"/>
                <w:szCs w:val="11"/>
                <w:color w:val="auto"/>
              </w:rPr>
              <w:t>2,532,744</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2,194,515</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ind w:right="6"/>
              <w:spacing w:after="0"/>
              <w:rPr>
                <w:sz w:val="20"/>
                <w:szCs w:val="20"/>
                <w:color w:val="auto"/>
              </w:rPr>
            </w:pPr>
            <w:r>
              <w:rPr>
                <w:rFonts w:ascii="Arial" w:cs="Arial" w:eastAsia="Arial" w:hAnsi="Arial"/>
                <w:sz w:val="11"/>
                <w:szCs w:val="11"/>
                <w:color w:val="auto"/>
              </w:rPr>
              <w:t>2,444,098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0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86"/>
              <w:spacing w:after="0"/>
              <w:rPr>
                <w:sz w:val="20"/>
                <w:szCs w:val="20"/>
                <w:color w:val="auto"/>
              </w:rPr>
            </w:pPr>
            <w:r>
              <w:rPr>
                <w:rFonts w:ascii="Arial" w:cs="Arial" w:eastAsia="Arial" w:hAnsi="Arial"/>
                <w:sz w:val="11"/>
                <w:szCs w:val="11"/>
                <w:color w:val="auto"/>
              </w:rPr>
              <w:t>(PIK 11.50%)</w:t>
            </w:r>
          </w:p>
        </w:tc>
        <w:tc>
          <w:tcPr>
            <w:tcW w:w="1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000" w:type="dxa"/>
            <w:vAlign w:val="bottom"/>
          </w:tcPr>
          <w:p>
            <w:pPr>
              <w:ind w:left="20"/>
              <w:spacing w:after="0" w:line="105" w:lineRule="exact"/>
              <w:rPr>
                <w:sz w:val="20"/>
                <w:szCs w:val="20"/>
                <w:color w:val="auto"/>
              </w:rPr>
            </w:pPr>
            <w:r>
              <w:rPr>
                <w:rFonts w:ascii="Arial" w:cs="Arial" w:eastAsia="Arial" w:hAnsi="Arial"/>
                <w:sz w:val="11"/>
                <w:szCs w:val="11"/>
                <w:color w:val="auto"/>
              </w:rPr>
              <w:t>Quantic Electronics, LLC</w:t>
            </w:r>
          </w:p>
        </w:tc>
        <w:tc>
          <w:tcPr>
            <w:tcW w:w="78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87"/>
              </w:rPr>
              <w:t>11/19/2026</w:t>
            </w:r>
          </w:p>
        </w:tc>
        <w:tc>
          <w:tcPr>
            <w:tcW w:w="140" w:type="dxa"/>
            <w:vAlign w:val="bottom"/>
          </w:tcPr>
          <w:p>
            <w:pPr>
              <w:spacing w:after="0"/>
              <w:rPr>
                <w:sz w:val="9"/>
                <w:szCs w:val="9"/>
                <w:color w:val="auto"/>
              </w:rPr>
            </w:pPr>
          </w:p>
        </w:tc>
        <w:tc>
          <w:tcPr>
            <w:tcW w:w="2480" w:type="dxa"/>
            <w:vAlign w:val="bottom"/>
          </w:tcPr>
          <w:p>
            <w:pPr>
              <w:jc w:val="center"/>
              <w:spacing w:after="0" w:line="105" w:lineRule="exact"/>
              <w:rPr>
                <w:sz w:val="20"/>
                <w:szCs w:val="20"/>
                <w:color w:val="auto"/>
              </w:rPr>
            </w:pPr>
            <w:r>
              <w:rPr>
                <w:rFonts w:ascii="Arial" w:cs="Arial" w:eastAsia="Arial" w:hAnsi="Arial"/>
                <w:sz w:val="11"/>
                <w:szCs w:val="11"/>
                <w:color w:val="auto"/>
                <w:w w:val="86"/>
              </w:rPr>
              <w:t>Aerospace and Defense</w:t>
            </w:r>
          </w:p>
        </w:tc>
        <w:tc>
          <w:tcPr>
            <w:tcW w:w="98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7.25 %</w:t>
            </w:r>
          </w:p>
        </w:tc>
        <w:tc>
          <w:tcPr>
            <w:tcW w:w="140" w:type="dxa"/>
            <w:vAlign w:val="bottom"/>
          </w:tcPr>
          <w:p>
            <w:pPr>
              <w:spacing w:after="0"/>
              <w:rPr>
                <w:sz w:val="9"/>
                <w:szCs w:val="9"/>
                <w:color w:val="auto"/>
              </w:rPr>
            </w:pPr>
          </w:p>
        </w:tc>
        <w:tc>
          <w:tcPr>
            <w:tcW w:w="920" w:type="dxa"/>
            <w:vAlign w:val="bottom"/>
          </w:tcPr>
          <w:p>
            <w:pPr>
              <w:jc w:val="right"/>
              <w:spacing w:after="0" w:line="105" w:lineRule="exact"/>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ind w:right="6"/>
              <w:spacing w:after="0" w:line="105" w:lineRule="exact"/>
              <w:rPr>
                <w:sz w:val="20"/>
                <w:szCs w:val="20"/>
                <w:color w:val="auto"/>
              </w:rPr>
            </w:pPr>
            <w:r>
              <w:rPr>
                <w:rFonts w:ascii="Arial" w:cs="Arial" w:eastAsia="Arial" w:hAnsi="Arial"/>
                <w:sz w:val="11"/>
                <w:szCs w:val="11"/>
                <w:color w:val="auto"/>
              </w:rPr>
              <w:t>2,743,108</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05" w:lineRule="exact"/>
              <w:rPr>
                <w:sz w:val="20"/>
                <w:szCs w:val="20"/>
                <w:color w:val="auto"/>
              </w:rPr>
            </w:pPr>
            <w:r>
              <w:rPr>
                <w:rFonts w:ascii="Arial" w:cs="Arial" w:eastAsia="Arial" w:hAnsi="Arial"/>
                <w:sz w:val="11"/>
                <w:szCs w:val="11"/>
                <w:color w:val="auto"/>
              </w:rPr>
              <w:t>2,716,593</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6"/>
              <w:spacing w:after="0" w:line="105" w:lineRule="exact"/>
              <w:rPr>
                <w:sz w:val="20"/>
                <w:szCs w:val="20"/>
                <w:color w:val="auto"/>
              </w:rPr>
            </w:pPr>
            <w:r>
              <w:rPr>
                <w:rFonts w:ascii="Arial" w:cs="Arial" w:eastAsia="Arial" w:hAnsi="Arial"/>
                <w:sz w:val="11"/>
                <w:szCs w:val="11"/>
                <w:color w:val="auto"/>
              </w:rPr>
              <w:t>2,688,246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Quantic Electronics, LLC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11/19/2026</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2,093,825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(20,938 )</w:t>
            </w:r>
          </w:p>
        </w:tc>
        <w:tc>
          <w:tcPr>
            <w:tcW w:w="0" w:type="dxa"/>
            <w:vAlign w:val="bottom"/>
          </w:tcPr>
          <w:p>
            <w:pPr>
              <w:spacing w:after="0"/>
              <w:rPr>
                <w:sz w:val="1"/>
                <w:szCs w:val="1"/>
                <w:color w:val="auto"/>
              </w:rPr>
            </w:pPr>
          </w:p>
        </w:tc>
      </w:tr>
      <w:tr>
        <w:trPr>
          <w:trHeight w:val="165"/>
        </w:trPr>
        <w:tc>
          <w:tcPr>
            <w:tcW w:w="3000" w:type="dxa"/>
            <w:vAlign w:val="bottom"/>
          </w:tcPr>
          <w:p>
            <w:pPr>
              <w:ind w:left="20"/>
              <w:spacing w:after="0"/>
              <w:rPr>
                <w:sz w:val="20"/>
                <w:szCs w:val="20"/>
                <w:color w:val="auto"/>
              </w:rPr>
            </w:pPr>
            <w:r>
              <w:rPr>
                <w:rFonts w:ascii="Arial" w:cs="Arial" w:eastAsia="Arial" w:hAnsi="Arial"/>
                <w:sz w:val="11"/>
                <w:szCs w:val="11"/>
                <w:color w:val="auto"/>
              </w:rPr>
              <w:t xml:space="preserve">Quantic Electronics, LLC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11/19/2026</w:t>
            </w:r>
          </w:p>
        </w:tc>
        <w:tc>
          <w:tcPr>
            <w:tcW w:w="14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4"/>
                <w:szCs w:val="14"/>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528,486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(10,570 )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Arial" w:cs="Arial" w:eastAsia="Arial" w:hAnsi="Arial"/>
                <w:sz w:val="11"/>
                <w:szCs w:val="11"/>
                <w:color w:val="auto"/>
              </w:rPr>
              <w:t>Questex, LLC</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90"/>
              </w:rPr>
              <w:t>09/09/2024</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9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6.00 %</w:t>
            </w:r>
          </w:p>
        </w:tc>
        <w:tc>
          <w:tcPr>
            <w:tcW w:w="14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20" w:type="dxa"/>
            <w:vAlign w:val="bottom"/>
            <w:gridSpan w:val="2"/>
            <w:shd w:val="clear" w:color="auto" w:fill="CCECFF"/>
          </w:tcPr>
          <w:p>
            <w:pPr>
              <w:jc w:val="right"/>
              <w:ind w:right="6"/>
              <w:spacing w:after="0"/>
              <w:rPr>
                <w:sz w:val="20"/>
                <w:szCs w:val="20"/>
                <w:color w:val="auto"/>
              </w:rPr>
            </w:pPr>
            <w:r>
              <w:rPr>
                <w:rFonts w:ascii="Arial" w:cs="Arial" w:eastAsia="Arial" w:hAnsi="Arial"/>
                <w:sz w:val="11"/>
                <w:szCs w:val="11"/>
                <w:color w:val="auto"/>
              </w:rPr>
              <w:t>21,768,750</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21,546,402</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ind w:right="6"/>
              <w:spacing w:after="0"/>
              <w:rPr>
                <w:sz w:val="20"/>
                <w:szCs w:val="20"/>
                <w:color w:val="auto"/>
              </w:rPr>
            </w:pPr>
            <w:r>
              <w:rPr>
                <w:rFonts w:ascii="Arial" w:cs="Arial" w:eastAsia="Arial" w:hAnsi="Arial"/>
                <w:sz w:val="11"/>
                <w:szCs w:val="11"/>
                <w:color w:val="auto"/>
              </w:rPr>
              <w:t>20,244,938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000" w:type="dxa"/>
            <w:vAlign w:val="bottom"/>
          </w:tcPr>
          <w:p>
            <w:pPr>
              <w:ind w:left="20"/>
              <w:spacing w:after="0" w:line="105" w:lineRule="exact"/>
              <w:rPr>
                <w:sz w:val="20"/>
                <w:szCs w:val="20"/>
                <w:color w:val="auto"/>
              </w:rPr>
            </w:pPr>
            <w:r>
              <w:rPr>
                <w:rFonts w:ascii="Arial" w:cs="Arial" w:eastAsia="Arial" w:hAnsi="Arial"/>
                <w:sz w:val="11"/>
                <w:szCs w:val="11"/>
                <w:color w:val="auto"/>
              </w:rPr>
              <w:t>Questex, LLC (Revolver)</w:t>
            </w:r>
          </w:p>
        </w:tc>
        <w:tc>
          <w:tcPr>
            <w:tcW w:w="780" w:type="dxa"/>
            <w:vAlign w:val="bottom"/>
            <w:gridSpan w:val="2"/>
          </w:tcPr>
          <w:p>
            <w:pPr>
              <w:jc w:val="center"/>
              <w:ind w:left="106"/>
              <w:spacing w:after="0" w:line="105" w:lineRule="exact"/>
              <w:rPr>
                <w:sz w:val="20"/>
                <w:szCs w:val="20"/>
                <w:color w:val="auto"/>
              </w:rPr>
            </w:pPr>
            <w:r>
              <w:rPr>
                <w:rFonts w:ascii="Arial" w:cs="Arial" w:eastAsia="Arial" w:hAnsi="Arial"/>
                <w:sz w:val="11"/>
                <w:szCs w:val="11"/>
                <w:color w:val="auto"/>
                <w:w w:val="90"/>
              </w:rPr>
              <w:t>09/09/2024</w:t>
            </w:r>
          </w:p>
        </w:tc>
        <w:tc>
          <w:tcPr>
            <w:tcW w:w="140" w:type="dxa"/>
            <w:vAlign w:val="bottom"/>
          </w:tcPr>
          <w:p>
            <w:pPr>
              <w:spacing w:after="0"/>
              <w:rPr>
                <w:sz w:val="9"/>
                <w:szCs w:val="9"/>
                <w:color w:val="auto"/>
              </w:rPr>
            </w:pPr>
          </w:p>
        </w:tc>
        <w:tc>
          <w:tcPr>
            <w:tcW w:w="248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98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6.00 %</w:t>
            </w:r>
          </w:p>
        </w:tc>
        <w:tc>
          <w:tcPr>
            <w:tcW w:w="140" w:type="dxa"/>
            <w:vAlign w:val="bottom"/>
          </w:tcPr>
          <w:p>
            <w:pPr>
              <w:spacing w:after="0"/>
              <w:rPr>
                <w:sz w:val="9"/>
                <w:szCs w:val="9"/>
                <w:color w:val="auto"/>
              </w:rPr>
            </w:pPr>
          </w:p>
        </w:tc>
        <w:tc>
          <w:tcPr>
            <w:tcW w:w="920" w:type="dxa"/>
            <w:vAlign w:val="bottom"/>
          </w:tcPr>
          <w:p>
            <w:pPr>
              <w:jc w:val="right"/>
              <w:spacing w:after="0" w:line="105" w:lineRule="exact"/>
              <w:rPr>
                <w:sz w:val="20"/>
                <w:szCs w:val="20"/>
                <w:color w:val="auto"/>
              </w:rPr>
            </w:pPr>
            <w:r>
              <w:rPr>
                <w:rFonts w:ascii="Arial" w:cs="Arial" w:eastAsia="Arial" w:hAnsi="Arial"/>
                <w:sz w:val="11"/>
                <w:szCs w:val="11"/>
                <w:color w:val="auto"/>
              </w:rPr>
              <w:t>3M L+500</w:t>
            </w:r>
          </w:p>
        </w:tc>
        <w:tc>
          <w:tcPr>
            <w:tcW w:w="920" w:type="dxa"/>
            <w:vAlign w:val="bottom"/>
            <w:gridSpan w:val="2"/>
          </w:tcPr>
          <w:p>
            <w:pPr>
              <w:jc w:val="right"/>
              <w:ind w:right="6"/>
              <w:spacing w:after="0" w:line="105" w:lineRule="exact"/>
              <w:rPr>
                <w:sz w:val="20"/>
                <w:szCs w:val="20"/>
                <w:color w:val="auto"/>
              </w:rPr>
            </w:pPr>
            <w:r>
              <w:rPr>
                <w:rFonts w:ascii="Arial" w:cs="Arial" w:eastAsia="Arial" w:hAnsi="Arial"/>
                <w:sz w:val="11"/>
                <w:szCs w:val="11"/>
                <w:color w:val="auto"/>
              </w:rPr>
              <w:t>2,154,255</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05" w:lineRule="exact"/>
              <w:rPr>
                <w:sz w:val="20"/>
                <w:szCs w:val="20"/>
                <w:color w:val="auto"/>
              </w:rPr>
            </w:pPr>
            <w:r>
              <w:rPr>
                <w:rFonts w:ascii="Arial" w:cs="Arial" w:eastAsia="Arial" w:hAnsi="Arial"/>
                <w:sz w:val="11"/>
                <w:szCs w:val="11"/>
                <w:color w:val="auto"/>
              </w:rPr>
              <w:t>2,154,255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6"/>
              <w:spacing w:after="0" w:line="105" w:lineRule="exact"/>
              <w:rPr>
                <w:sz w:val="20"/>
                <w:szCs w:val="20"/>
                <w:color w:val="auto"/>
              </w:rPr>
            </w:pPr>
            <w:r>
              <w:rPr>
                <w:rFonts w:ascii="Arial" w:cs="Arial" w:eastAsia="Arial" w:hAnsi="Arial"/>
                <w:sz w:val="11"/>
                <w:szCs w:val="11"/>
                <w:color w:val="auto"/>
              </w:rPr>
              <w:t>2,003,457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09/09/2024</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1,436,170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(100,532 )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Radius Aerospace, Inc. (Revolver)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03/31/2025</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2,227,142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(22,271 )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Rancho Health MSO, Inc.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12/18/2025</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11"/>
                <w:szCs w:val="11"/>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1,050,000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Rancho Health MSO, Inc. (Revolver)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12/18/2025</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11"/>
                <w:szCs w:val="11"/>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525,000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Recteq, LLC (Revolver)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01/29/2026</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Consumer Products</w:t>
            </w:r>
          </w:p>
        </w:tc>
        <w:tc>
          <w:tcPr>
            <w:tcW w:w="140" w:type="dxa"/>
            <w:vAlign w:val="bottom"/>
          </w:tcPr>
          <w:p>
            <w:pPr>
              <w:spacing w:after="0"/>
              <w:rPr>
                <w:sz w:val="13"/>
                <w:szCs w:val="13"/>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1,126,761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(16,901 )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Arial" w:cs="Arial" w:eastAsia="Arial" w:hAnsi="Arial"/>
                <w:sz w:val="11"/>
                <w:szCs w:val="11"/>
                <w:color w:val="auto"/>
              </w:rPr>
              <w:t>Research Horizons, LLC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06/28/2022</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7.25 %</w:t>
            </w: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23,005,912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22,932,586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22,775,853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5" w:lineRule="exact"/>
              <w:rPr>
                <w:sz w:val="20"/>
                <w:szCs w:val="20"/>
                <w:color w:val="auto"/>
              </w:rPr>
            </w:pPr>
            <w:r>
              <w:rPr>
                <w:rFonts w:ascii="Arial" w:cs="Arial" w:eastAsia="Arial" w:hAnsi="Arial"/>
                <w:sz w:val="11"/>
                <w:szCs w:val="11"/>
                <w:color w:val="auto"/>
              </w:rPr>
              <w:t>Research Now Group, Inc. and Dynata, LLC</w:t>
            </w:r>
          </w:p>
        </w:tc>
        <w:tc>
          <w:tcPr>
            <w:tcW w:w="780" w:type="dxa"/>
            <w:vAlign w:val="bottom"/>
            <w:gridSpan w:val="2"/>
          </w:tcPr>
          <w:p>
            <w:pPr>
              <w:jc w:val="center"/>
              <w:ind w:left="106"/>
              <w:spacing w:after="0" w:line="115" w:lineRule="exact"/>
              <w:rPr>
                <w:sz w:val="20"/>
                <w:szCs w:val="20"/>
                <w:color w:val="auto"/>
              </w:rPr>
            </w:pPr>
            <w:r>
              <w:rPr>
                <w:rFonts w:ascii="Arial" w:cs="Arial" w:eastAsia="Arial" w:hAnsi="Arial"/>
                <w:sz w:val="11"/>
                <w:szCs w:val="11"/>
                <w:color w:val="auto"/>
                <w:w w:val="90"/>
              </w:rPr>
              <w:t>12/20/2024</w:t>
            </w:r>
          </w:p>
        </w:tc>
        <w:tc>
          <w:tcPr>
            <w:tcW w:w="14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9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6.50 %</w:t>
            </w:r>
          </w:p>
        </w:tc>
        <w:tc>
          <w:tcPr>
            <w:tcW w:w="140" w:type="dxa"/>
            <w:vAlign w:val="bottom"/>
          </w:tcPr>
          <w:p>
            <w:pPr>
              <w:spacing w:after="0"/>
              <w:rPr>
                <w:sz w:val="9"/>
                <w:szCs w:val="9"/>
                <w:color w:val="auto"/>
              </w:rPr>
            </w:pP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ind w:right="6"/>
              <w:spacing w:after="0" w:line="115" w:lineRule="exact"/>
              <w:rPr>
                <w:sz w:val="20"/>
                <w:szCs w:val="20"/>
                <w:color w:val="auto"/>
              </w:rPr>
            </w:pPr>
            <w:r>
              <w:rPr>
                <w:rFonts w:ascii="Arial" w:cs="Arial" w:eastAsia="Arial" w:hAnsi="Arial"/>
                <w:sz w:val="11"/>
                <w:szCs w:val="11"/>
                <w:color w:val="auto"/>
              </w:rPr>
              <w:t>2,876,279</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15" w:lineRule="exact"/>
              <w:rPr>
                <w:sz w:val="20"/>
                <w:szCs w:val="20"/>
                <w:color w:val="auto"/>
              </w:rPr>
            </w:pPr>
            <w:r>
              <w:rPr>
                <w:rFonts w:ascii="Arial" w:cs="Arial" w:eastAsia="Arial" w:hAnsi="Arial"/>
                <w:sz w:val="11"/>
                <w:szCs w:val="11"/>
                <w:color w:val="auto"/>
              </w:rPr>
              <w:t>2,876,279</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6"/>
              <w:spacing w:after="0" w:line="115" w:lineRule="exact"/>
              <w:rPr>
                <w:sz w:val="20"/>
                <w:szCs w:val="20"/>
                <w:color w:val="auto"/>
              </w:rPr>
            </w:pPr>
            <w:r>
              <w:rPr>
                <w:rFonts w:ascii="Arial" w:cs="Arial" w:eastAsia="Arial" w:hAnsi="Arial"/>
                <w:sz w:val="11"/>
                <w:szCs w:val="11"/>
                <w:color w:val="auto"/>
              </w:rPr>
              <w:t>2,834,947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06/20/2025</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13"/>
                <w:szCs w:val="13"/>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363,636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(2,545 )</w:t>
            </w: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5" w:lineRule="exact"/>
              <w:rPr>
                <w:sz w:val="20"/>
                <w:szCs w:val="20"/>
                <w:color w:val="auto"/>
              </w:rPr>
            </w:pPr>
            <w:r>
              <w:rPr>
                <w:rFonts w:ascii="Arial" w:cs="Arial" w:eastAsia="Arial" w:hAnsi="Arial"/>
                <w:sz w:val="11"/>
                <w:szCs w:val="11"/>
                <w:color w:val="auto"/>
              </w:rPr>
              <w:t>Riverside Assessments, LLC</w:t>
            </w:r>
          </w:p>
        </w:tc>
        <w:tc>
          <w:tcPr>
            <w:tcW w:w="780" w:type="dxa"/>
            <w:vAlign w:val="bottom"/>
            <w:gridSpan w:val="2"/>
          </w:tcPr>
          <w:p>
            <w:pPr>
              <w:jc w:val="center"/>
              <w:ind w:left="106"/>
              <w:spacing w:after="0" w:line="115" w:lineRule="exact"/>
              <w:rPr>
                <w:sz w:val="20"/>
                <w:szCs w:val="20"/>
                <w:color w:val="auto"/>
              </w:rPr>
            </w:pPr>
            <w:r>
              <w:rPr>
                <w:rFonts w:ascii="Arial" w:cs="Arial" w:eastAsia="Arial" w:hAnsi="Arial"/>
                <w:sz w:val="11"/>
                <w:szCs w:val="11"/>
                <w:color w:val="auto"/>
                <w:w w:val="90"/>
              </w:rPr>
              <w:t>03/10/2025</w:t>
            </w:r>
          </w:p>
        </w:tc>
        <w:tc>
          <w:tcPr>
            <w:tcW w:w="14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89"/>
              </w:rPr>
              <w:t>Education</w:t>
            </w:r>
          </w:p>
        </w:tc>
        <w:tc>
          <w:tcPr>
            <w:tcW w:w="9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6.75 %</w:t>
            </w:r>
          </w:p>
        </w:tc>
        <w:tc>
          <w:tcPr>
            <w:tcW w:w="140" w:type="dxa"/>
            <w:vAlign w:val="bottom"/>
          </w:tcPr>
          <w:p>
            <w:pPr>
              <w:spacing w:after="0"/>
              <w:rPr>
                <w:sz w:val="9"/>
                <w:szCs w:val="9"/>
                <w:color w:val="auto"/>
              </w:rPr>
            </w:pP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ind w:right="6"/>
              <w:spacing w:after="0" w:line="115" w:lineRule="exact"/>
              <w:rPr>
                <w:sz w:val="20"/>
                <w:szCs w:val="20"/>
                <w:color w:val="auto"/>
              </w:rPr>
            </w:pPr>
            <w:r>
              <w:rPr>
                <w:rFonts w:ascii="Arial" w:cs="Arial" w:eastAsia="Arial" w:hAnsi="Arial"/>
                <w:sz w:val="11"/>
                <w:szCs w:val="11"/>
                <w:color w:val="auto"/>
              </w:rPr>
              <w:t>15,474,375</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15" w:lineRule="exact"/>
              <w:rPr>
                <w:sz w:val="20"/>
                <w:szCs w:val="20"/>
                <w:color w:val="auto"/>
              </w:rPr>
            </w:pPr>
            <w:r>
              <w:rPr>
                <w:rFonts w:ascii="Arial" w:cs="Arial" w:eastAsia="Arial" w:hAnsi="Arial"/>
                <w:sz w:val="11"/>
                <w:szCs w:val="11"/>
                <w:color w:val="auto"/>
              </w:rPr>
              <w:t>15,276,346</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6"/>
              <w:spacing w:after="0" w:line="115" w:lineRule="exact"/>
              <w:rPr>
                <w:sz w:val="20"/>
                <w:szCs w:val="20"/>
                <w:color w:val="auto"/>
              </w:rPr>
            </w:pPr>
            <w:r>
              <w:rPr>
                <w:rFonts w:ascii="Arial" w:cs="Arial" w:eastAsia="Arial" w:hAnsi="Arial"/>
                <w:sz w:val="11"/>
                <w:szCs w:val="11"/>
                <w:color w:val="auto"/>
              </w:rPr>
              <w:t>15,319,631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01/03/2025</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3"/>
                <w:szCs w:val="13"/>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731,707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(10,976 )</w:t>
            </w: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5" w:lineRule="exact"/>
              <w:rPr>
                <w:sz w:val="20"/>
                <w:szCs w:val="20"/>
                <w:color w:val="auto"/>
              </w:rPr>
            </w:pPr>
            <w:r>
              <w:rPr>
                <w:rFonts w:ascii="Arial" w:cs="Arial" w:eastAsia="Arial" w:hAnsi="Arial"/>
                <w:sz w:val="11"/>
                <w:szCs w:val="11"/>
                <w:color w:val="auto"/>
              </w:rPr>
              <w:t>Sargent &amp; Greenleaf Inc. (Revolver)</w:t>
            </w:r>
          </w:p>
        </w:tc>
        <w:tc>
          <w:tcPr>
            <w:tcW w:w="780" w:type="dxa"/>
            <w:vAlign w:val="bottom"/>
            <w:gridSpan w:val="2"/>
          </w:tcPr>
          <w:p>
            <w:pPr>
              <w:jc w:val="center"/>
              <w:ind w:left="106"/>
              <w:spacing w:after="0" w:line="115" w:lineRule="exact"/>
              <w:rPr>
                <w:sz w:val="20"/>
                <w:szCs w:val="20"/>
                <w:color w:val="auto"/>
              </w:rPr>
            </w:pPr>
            <w:r>
              <w:rPr>
                <w:rFonts w:ascii="Arial" w:cs="Arial" w:eastAsia="Arial" w:hAnsi="Arial"/>
                <w:sz w:val="11"/>
                <w:szCs w:val="11"/>
                <w:color w:val="auto"/>
                <w:w w:val="90"/>
              </w:rPr>
              <w:t>12/20/2024</w:t>
            </w:r>
          </w:p>
        </w:tc>
        <w:tc>
          <w:tcPr>
            <w:tcW w:w="14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89"/>
              </w:rPr>
              <w:t>Electronics</w:t>
            </w:r>
          </w:p>
        </w:tc>
        <w:tc>
          <w:tcPr>
            <w:tcW w:w="9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7.00 %</w:t>
            </w:r>
          </w:p>
        </w:tc>
        <w:tc>
          <w:tcPr>
            <w:tcW w:w="140" w:type="dxa"/>
            <w:vAlign w:val="bottom"/>
          </w:tcPr>
          <w:p>
            <w:pPr>
              <w:spacing w:after="0"/>
              <w:rPr>
                <w:sz w:val="9"/>
                <w:szCs w:val="9"/>
                <w:color w:val="auto"/>
              </w:rPr>
            </w:pP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ind w:right="6"/>
              <w:spacing w:after="0" w:line="115" w:lineRule="exact"/>
              <w:rPr>
                <w:sz w:val="20"/>
                <w:szCs w:val="20"/>
                <w:color w:val="auto"/>
              </w:rPr>
            </w:pPr>
            <w:r>
              <w:rPr>
                <w:rFonts w:ascii="Arial" w:cs="Arial" w:eastAsia="Arial" w:hAnsi="Arial"/>
                <w:sz w:val="11"/>
                <w:szCs w:val="11"/>
                <w:color w:val="auto"/>
              </w:rPr>
              <w:t>493,303</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15" w:lineRule="exact"/>
              <w:rPr>
                <w:sz w:val="20"/>
                <w:szCs w:val="20"/>
                <w:color w:val="auto"/>
              </w:rPr>
            </w:pPr>
            <w:r>
              <w:rPr>
                <w:rFonts w:ascii="Arial" w:cs="Arial" w:eastAsia="Arial" w:hAnsi="Arial"/>
                <w:sz w:val="11"/>
                <w:szCs w:val="11"/>
                <w:color w:val="auto"/>
              </w:rPr>
              <w:t>493,303</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6"/>
              <w:spacing w:after="0" w:line="115" w:lineRule="exact"/>
              <w:rPr>
                <w:sz w:val="20"/>
                <w:szCs w:val="20"/>
                <w:color w:val="auto"/>
              </w:rPr>
            </w:pPr>
            <w:r>
              <w:rPr>
                <w:rFonts w:ascii="Arial" w:cs="Arial" w:eastAsia="Arial" w:hAnsi="Arial"/>
                <w:sz w:val="11"/>
                <w:szCs w:val="11"/>
                <w:color w:val="auto"/>
              </w:rPr>
              <w:t>493,303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000" w:type="dxa"/>
            <w:vAlign w:val="bottom"/>
          </w:tcPr>
          <w:p>
            <w:pPr>
              <w:ind w:left="20"/>
              <w:spacing w:after="0"/>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12/20/2024</w:t>
            </w:r>
          </w:p>
        </w:tc>
        <w:tc>
          <w:tcPr>
            <w:tcW w:w="14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Electronics</w:t>
            </w:r>
          </w:p>
        </w:tc>
        <w:tc>
          <w:tcPr>
            <w:tcW w:w="140" w:type="dxa"/>
            <w:vAlign w:val="bottom"/>
          </w:tcPr>
          <w:p>
            <w:pPr>
              <w:spacing w:after="0"/>
              <w:rPr>
                <w:sz w:val="14"/>
                <w:szCs w:val="14"/>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104,640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00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Schlesinger Global, Inc.</w:t>
            </w:r>
          </w:p>
        </w:tc>
        <w:tc>
          <w:tcPr>
            <w:tcW w:w="780" w:type="dxa"/>
            <w:vAlign w:val="bottom"/>
            <w:gridSpan w:val="2"/>
            <w:shd w:val="clear" w:color="auto" w:fill="CCECFF"/>
          </w:tcPr>
          <w:p>
            <w:pPr>
              <w:jc w:val="center"/>
              <w:ind w:left="106"/>
              <w:spacing w:after="0" w:line="125" w:lineRule="exact"/>
              <w:rPr>
                <w:sz w:val="20"/>
                <w:szCs w:val="20"/>
                <w:color w:val="auto"/>
              </w:rPr>
            </w:pPr>
            <w:r>
              <w:rPr>
                <w:rFonts w:ascii="Arial" w:cs="Arial" w:eastAsia="Arial" w:hAnsi="Arial"/>
                <w:sz w:val="11"/>
                <w:szCs w:val="11"/>
                <w:color w:val="auto"/>
                <w:w w:val="90"/>
              </w:rPr>
              <w:t>07/14/2025</w:t>
            </w:r>
          </w:p>
        </w:tc>
        <w:tc>
          <w:tcPr>
            <w:tcW w:w="140" w:type="dxa"/>
            <w:vAlign w:val="bottom"/>
            <w:shd w:val="clear" w:color="auto" w:fill="CCECFF"/>
          </w:tcPr>
          <w:p>
            <w:pPr>
              <w:spacing w:after="0"/>
              <w:rPr>
                <w:sz w:val="10"/>
                <w:szCs w:val="10"/>
                <w:color w:val="auto"/>
              </w:rPr>
            </w:pPr>
          </w:p>
        </w:tc>
        <w:tc>
          <w:tcPr>
            <w:tcW w:w="248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98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8.00 %</w:t>
            </w:r>
          </w:p>
        </w:tc>
        <w:tc>
          <w:tcPr>
            <w:tcW w:w="140" w:type="dxa"/>
            <w:vAlign w:val="bottom"/>
            <w:shd w:val="clear" w:color="auto" w:fill="CCECFF"/>
          </w:tcPr>
          <w:p>
            <w:pPr>
              <w:spacing w:after="0"/>
              <w:rPr>
                <w:sz w:val="10"/>
                <w:szCs w:val="10"/>
                <w:color w:val="auto"/>
              </w:rPr>
            </w:pPr>
          </w:p>
        </w:tc>
        <w:tc>
          <w:tcPr>
            <w:tcW w:w="92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3M L+700</w:t>
            </w:r>
          </w:p>
        </w:tc>
        <w:tc>
          <w:tcPr>
            <w:tcW w:w="920" w:type="dxa"/>
            <w:vAlign w:val="bottom"/>
            <w:gridSpan w:val="2"/>
            <w:shd w:val="clear" w:color="auto" w:fill="CCECFF"/>
          </w:tcPr>
          <w:p>
            <w:pPr>
              <w:jc w:val="right"/>
              <w:ind w:right="6"/>
              <w:spacing w:after="0" w:line="125" w:lineRule="exact"/>
              <w:rPr>
                <w:sz w:val="20"/>
                <w:szCs w:val="20"/>
                <w:color w:val="auto"/>
              </w:rPr>
            </w:pPr>
            <w:r>
              <w:rPr>
                <w:rFonts w:ascii="Arial" w:cs="Arial" w:eastAsia="Arial" w:hAnsi="Arial"/>
                <w:sz w:val="11"/>
                <w:szCs w:val="11"/>
                <w:color w:val="auto"/>
              </w:rPr>
              <w:t>4,513,480</w:t>
            </w:r>
          </w:p>
        </w:tc>
        <w:tc>
          <w:tcPr>
            <w:tcW w:w="1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4,450,701</w:t>
            </w:r>
          </w:p>
        </w:tc>
        <w:tc>
          <w:tcPr>
            <w:tcW w:w="1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40" w:type="dxa"/>
            <w:vAlign w:val="bottom"/>
            <w:shd w:val="clear" w:color="auto" w:fill="CCECFF"/>
          </w:tcPr>
          <w:p>
            <w:pPr>
              <w:jc w:val="right"/>
              <w:ind w:right="6"/>
              <w:spacing w:after="0" w:line="125" w:lineRule="exact"/>
              <w:rPr>
                <w:sz w:val="20"/>
                <w:szCs w:val="20"/>
                <w:color w:val="auto"/>
              </w:rPr>
            </w:pPr>
            <w:r>
              <w:rPr>
                <w:rFonts w:ascii="Arial" w:cs="Arial" w:eastAsia="Arial" w:hAnsi="Arial"/>
                <w:sz w:val="11"/>
                <w:szCs w:val="11"/>
                <w:color w:val="auto"/>
              </w:rPr>
              <w:t>4,366,792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0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86"/>
              <w:spacing w:after="0"/>
              <w:rPr>
                <w:sz w:val="20"/>
                <w:szCs w:val="20"/>
                <w:color w:val="auto"/>
              </w:rPr>
            </w:pPr>
            <w:r>
              <w:rPr>
                <w:rFonts w:ascii="Arial" w:cs="Arial" w:eastAsia="Arial" w:hAnsi="Arial"/>
                <w:sz w:val="11"/>
                <w:szCs w:val="11"/>
                <w:color w:val="auto"/>
              </w:rPr>
              <w:t>(PIK 1.00%)</w:t>
            </w:r>
          </w:p>
        </w:tc>
        <w:tc>
          <w:tcPr>
            <w:tcW w:w="1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000" w:type="dxa"/>
            <w:vAlign w:val="bottom"/>
          </w:tcPr>
          <w:p>
            <w:pPr>
              <w:ind w:left="20"/>
              <w:spacing w:after="0" w:line="125" w:lineRule="exact"/>
              <w:rPr>
                <w:sz w:val="20"/>
                <w:szCs w:val="20"/>
                <w:color w:val="auto"/>
              </w:rPr>
            </w:pPr>
            <w:r>
              <w:rPr>
                <w:rFonts w:ascii="Arial" w:cs="Arial" w:eastAsia="Arial" w:hAnsi="Arial"/>
                <w:sz w:val="11"/>
                <w:szCs w:val="11"/>
                <w:color w:val="auto"/>
              </w:rPr>
              <w:t>Schlesinger Global, Inc. (Revolver)</w:t>
            </w:r>
          </w:p>
        </w:tc>
        <w:tc>
          <w:tcPr>
            <w:tcW w:w="780" w:type="dxa"/>
            <w:vAlign w:val="bottom"/>
            <w:gridSpan w:val="2"/>
          </w:tcPr>
          <w:p>
            <w:pPr>
              <w:jc w:val="center"/>
              <w:ind w:left="106"/>
              <w:spacing w:after="0" w:line="125" w:lineRule="exact"/>
              <w:rPr>
                <w:sz w:val="20"/>
                <w:szCs w:val="20"/>
                <w:color w:val="auto"/>
              </w:rPr>
            </w:pPr>
            <w:r>
              <w:rPr>
                <w:rFonts w:ascii="Arial" w:cs="Arial" w:eastAsia="Arial" w:hAnsi="Arial"/>
                <w:sz w:val="11"/>
                <w:szCs w:val="11"/>
                <w:color w:val="auto"/>
                <w:w w:val="90"/>
              </w:rPr>
              <w:t>07/14/2025</w:t>
            </w:r>
          </w:p>
        </w:tc>
        <w:tc>
          <w:tcPr>
            <w:tcW w:w="140" w:type="dxa"/>
            <w:vAlign w:val="bottom"/>
          </w:tcPr>
          <w:p>
            <w:pPr>
              <w:spacing w:after="0"/>
              <w:rPr>
                <w:sz w:val="10"/>
                <w:szCs w:val="10"/>
                <w:color w:val="auto"/>
              </w:rPr>
            </w:pPr>
          </w:p>
        </w:tc>
        <w:tc>
          <w:tcPr>
            <w:tcW w:w="248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9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7.00 %</w:t>
            </w:r>
          </w:p>
        </w:tc>
        <w:tc>
          <w:tcPr>
            <w:tcW w:w="140" w:type="dxa"/>
            <w:vAlign w:val="bottom"/>
          </w:tcPr>
          <w:p>
            <w:pPr>
              <w:spacing w:after="0"/>
              <w:rPr>
                <w:sz w:val="10"/>
                <w:szCs w:val="10"/>
                <w:color w:val="auto"/>
              </w:rPr>
            </w:pPr>
          </w:p>
        </w:tc>
        <w:tc>
          <w:tcPr>
            <w:tcW w:w="920" w:type="dxa"/>
            <w:vAlign w:val="bottom"/>
          </w:tcPr>
          <w:p>
            <w:pPr>
              <w:jc w:val="right"/>
              <w:spacing w:after="0" w:line="12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ind w:right="6"/>
              <w:spacing w:after="0" w:line="125" w:lineRule="exact"/>
              <w:rPr>
                <w:sz w:val="20"/>
                <w:szCs w:val="20"/>
                <w:color w:val="auto"/>
              </w:rPr>
            </w:pPr>
            <w:r>
              <w:rPr>
                <w:rFonts w:ascii="Arial" w:cs="Arial" w:eastAsia="Arial" w:hAnsi="Arial"/>
                <w:sz w:val="11"/>
                <w:szCs w:val="11"/>
                <w:color w:val="auto"/>
              </w:rPr>
              <w:t>30,275</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30,275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6"/>
              <w:spacing w:after="0" w:line="125" w:lineRule="exact"/>
              <w:rPr>
                <w:sz w:val="20"/>
                <w:szCs w:val="20"/>
                <w:color w:val="auto"/>
              </w:rPr>
            </w:pPr>
            <w:r>
              <w:rPr>
                <w:rFonts w:ascii="Arial" w:cs="Arial" w:eastAsia="Arial" w:hAnsi="Arial"/>
                <w:sz w:val="11"/>
                <w:szCs w:val="11"/>
                <w:color w:val="auto"/>
              </w:rPr>
              <w:t>29,291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vMerge w:val="restart"/>
          </w:tcPr>
          <w:p>
            <w:pPr>
              <w:ind w:left="20"/>
              <w:spacing w:after="0"/>
              <w:rPr>
                <w:sz w:val="20"/>
                <w:szCs w:val="20"/>
                <w:color w:val="auto"/>
              </w:rPr>
            </w:pPr>
            <w:r>
              <w:rPr>
                <w:rFonts w:ascii="Arial" w:cs="Arial" w:eastAsia="Arial" w:hAnsi="Arial"/>
                <w:sz w:val="11"/>
                <w:szCs w:val="11"/>
                <w:color w:val="auto"/>
              </w:rPr>
              <w:t>Schlesinger Global, Inc. (Revolver)</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(PIK 1.00%)</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vMerge w:val="continue"/>
          </w:tcPr>
          <w:p>
            <w:pPr>
              <w:spacing w:after="0"/>
              <w:rPr>
                <w:sz w:val="11"/>
                <w:szCs w:val="11"/>
                <w:color w:val="auto"/>
              </w:rPr>
            </w:pP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07/14/2025</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8,112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(264 )</w:t>
            </w: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5" w:lineRule="exact"/>
              <w:rPr>
                <w:sz w:val="20"/>
                <w:szCs w:val="20"/>
                <w:color w:val="auto"/>
              </w:rPr>
            </w:pPr>
            <w:r>
              <w:rPr>
                <w:rFonts w:ascii="Arial" w:cs="Arial" w:eastAsia="Arial" w:hAnsi="Arial"/>
                <w:sz w:val="11"/>
                <w:szCs w:val="11"/>
                <w:color w:val="auto"/>
              </w:rPr>
              <w:t>Sigma Defense Systems, LLC</w:t>
            </w:r>
          </w:p>
        </w:tc>
        <w:tc>
          <w:tcPr>
            <w:tcW w:w="780" w:type="dxa"/>
            <w:vAlign w:val="bottom"/>
            <w:gridSpan w:val="2"/>
          </w:tcPr>
          <w:p>
            <w:pPr>
              <w:jc w:val="center"/>
              <w:ind w:left="106"/>
              <w:spacing w:after="0" w:line="115" w:lineRule="exact"/>
              <w:rPr>
                <w:sz w:val="20"/>
                <w:szCs w:val="20"/>
                <w:color w:val="auto"/>
              </w:rPr>
            </w:pPr>
            <w:r>
              <w:rPr>
                <w:rFonts w:ascii="Arial" w:cs="Arial" w:eastAsia="Arial" w:hAnsi="Arial"/>
                <w:sz w:val="11"/>
                <w:szCs w:val="11"/>
                <w:color w:val="auto"/>
                <w:w w:val="90"/>
              </w:rPr>
              <w:t>12/18/2025</w:t>
            </w:r>
          </w:p>
        </w:tc>
        <w:tc>
          <w:tcPr>
            <w:tcW w:w="14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89"/>
              </w:rPr>
              <w:t>Telecommunications</w:t>
            </w:r>
          </w:p>
        </w:tc>
        <w:tc>
          <w:tcPr>
            <w:tcW w:w="9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9.50 %</w:t>
            </w:r>
          </w:p>
        </w:tc>
        <w:tc>
          <w:tcPr>
            <w:tcW w:w="140" w:type="dxa"/>
            <w:vAlign w:val="bottom"/>
          </w:tcPr>
          <w:p>
            <w:pPr>
              <w:spacing w:after="0"/>
              <w:rPr>
                <w:sz w:val="9"/>
                <w:szCs w:val="9"/>
                <w:color w:val="auto"/>
              </w:rPr>
            </w:pP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L+850</w:t>
            </w:r>
          </w:p>
        </w:tc>
        <w:tc>
          <w:tcPr>
            <w:tcW w:w="920" w:type="dxa"/>
            <w:vAlign w:val="bottom"/>
            <w:gridSpan w:val="2"/>
          </w:tcPr>
          <w:p>
            <w:pPr>
              <w:jc w:val="right"/>
              <w:ind w:right="6"/>
              <w:spacing w:after="0" w:line="115" w:lineRule="exact"/>
              <w:rPr>
                <w:sz w:val="20"/>
                <w:szCs w:val="20"/>
                <w:color w:val="auto"/>
              </w:rPr>
            </w:pPr>
            <w:r>
              <w:rPr>
                <w:rFonts w:ascii="Arial" w:cs="Arial" w:eastAsia="Arial" w:hAnsi="Arial"/>
                <w:sz w:val="11"/>
                <w:szCs w:val="11"/>
                <w:color w:val="auto"/>
              </w:rPr>
              <w:t>25,171,796</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15" w:lineRule="exact"/>
              <w:rPr>
                <w:sz w:val="20"/>
                <w:szCs w:val="20"/>
                <w:color w:val="auto"/>
              </w:rPr>
            </w:pPr>
            <w:r>
              <w:rPr>
                <w:rFonts w:ascii="Arial" w:cs="Arial" w:eastAsia="Arial" w:hAnsi="Arial"/>
                <w:sz w:val="11"/>
                <w:szCs w:val="11"/>
                <w:color w:val="auto"/>
              </w:rPr>
              <w:t>24,576,942</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6"/>
              <w:spacing w:after="0" w:line="115" w:lineRule="exact"/>
              <w:rPr>
                <w:sz w:val="20"/>
                <w:szCs w:val="20"/>
                <w:color w:val="auto"/>
              </w:rPr>
            </w:pPr>
            <w:r>
              <w:rPr>
                <w:rFonts w:ascii="Arial" w:cs="Arial" w:eastAsia="Arial" w:hAnsi="Arial"/>
                <w:sz w:val="11"/>
                <w:szCs w:val="11"/>
                <w:color w:val="auto"/>
              </w:rPr>
              <w:t>24,542,502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Sigma Defense Systems, LLC (Revolver)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12/18/2025</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40" w:type="dxa"/>
            <w:vAlign w:val="bottom"/>
          </w:tcPr>
          <w:p>
            <w:pPr>
              <w:spacing w:after="0"/>
              <w:rPr>
                <w:sz w:val="11"/>
                <w:szCs w:val="11"/>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2,975,869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(74,397 )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05/03/2024</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40" w:type="dxa"/>
            <w:vAlign w:val="bottom"/>
          </w:tcPr>
          <w:p>
            <w:pPr>
              <w:spacing w:after="0"/>
              <w:rPr>
                <w:sz w:val="11"/>
                <w:szCs w:val="11"/>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2,016,129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(20,161 )</w:t>
            </w: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01/17/2024</w:t>
            </w:r>
          </w:p>
        </w:tc>
        <w:tc>
          <w:tcPr>
            <w:tcW w:w="1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0"/>
              </w:rPr>
              <w:t>Communications</w:t>
            </w:r>
          </w:p>
        </w:tc>
        <w:tc>
          <w:tcPr>
            <w:tcW w:w="140" w:type="dxa"/>
            <w:vAlign w:val="bottom"/>
          </w:tcPr>
          <w:p>
            <w:pPr>
              <w:spacing w:after="0"/>
              <w:rPr>
                <w:sz w:val="13"/>
                <w:szCs w:val="13"/>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1,665,000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5" w:lineRule="exact"/>
              <w:rPr>
                <w:sz w:val="20"/>
                <w:szCs w:val="20"/>
                <w:color w:val="auto"/>
              </w:rPr>
            </w:pPr>
            <w:r>
              <w:rPr>
                <w:rFonts w:ascii="Arial" w:cs="Arial" w:eastAsia="Arial" w:hAnsi="Arial"/>
                <w:sz w:val="11"/>
                <w:szCs w:val="11"/>
                <w:color w:val="auto"/>
              </w:rPr>
              <w:t>Spear Education, LLC</w:t>
            </w:r>
          </w:p>
        </w:tc>
        <w:tc>
          <w:tcPr>
            <w:tcW w:w="780" w:type="dxa"/>
            <w:vAlign w:val="bottom"/>
            <w:gridSpan w:val="2"/>
          </w:tcPr>
          <w:p>
            <w:pPr>
              <w:jc w:val="center"/>
              <w:ind w:left="106"/>
              <w:spacing w:after="0" w:line="115" w:lineRule="exact"/>
              <w:rPr>
                <w:sz w:val="20"/>
                <w:szCs w:val="20"/>
                <w:color w:val="auto"/>
              </w:rPr>
            </w:pPr>
            <w:r>
              <w:rPr>
                <w:rFonts w:ascii="Arial" w:cs="Arial" w:eastAsia="Arial" w:hAnsi="Arial"/>
                <w:sz w:val="11"/>
                <w:szCs w:val="11"/>
                <w:color w:val="auto"/>
                <w:w w:val="90"/>
              </w:rPr>
              <w:t>02/26/2025</w:t>
            </w:r>
          </w:p>
        </w:tc>
        <w:tc>
          <w:tcPr>
            <w:tcW w:w="14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89"/>
              </w:rPr>
              <w:t>Education</w:t>
            </w:r>
          </w:p>
        </w:tc>
        <w:tc>
          <w:tcPr>
            <w:tcW w:w="9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6.00 %</w:t>
            </w:r>
          </w:p>
        </w:tc>
        <w:tc>
          <w:tcPr>
            <w:tcW w:w="140" w:type="dxa"/>
            <w:vAlign w:val="bottom"/>
          </w:tcPr>
          <w:p>
            <w:pPr>
              <w:spacing w:after="0"/>
              <w:rPr>
                <w:sz w:val="9"/>
                <w:szCs w:val="9"/>
                <w:color w:val="auto"/>
              </w:rPr>
            </w:pP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20" w:type="dxa"/>
            <w:vAlign w:val="bottom"/>
            <w:gridSpan w:val="2"/>
          </w:tcPr>
          <w:p>
            <w:pPr>
              <w:jc w:val="right"/>
              <w:ind w:right="6"/>
              <w:spacing w:after="0" w:line="115" w:lineRule="exact"/>
              <w:rPr>
                <w:sz w:val="20"/>
                <w:szCs w:val="20"/>
                <w:color w:val="auto"/>
              </w:rPr>
            </w:pPr>
            <w:r>
              <w:rPr>
                <w:rFonts w:ascii="Arial" w:cs="Arial" w:eastAsia="Arial" w:hAnsi="Arial"/>
                <w:sz w:val="11"/>
                <w:szCs w:val="11"/>
                <w:color w:val="auto"/>
              </w:rPr>
              <w:t>14,860,313</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15" w:lineRule="exact"/>
              <w:rPr>
                <w:sz w:val="20"/>
                <w:szCs w:val="20"/>
                <w:color w:val="auto"/>
              </w:rPr>
            </w:pPr>
            <w:r>
              <w:rPr>
                <w:rFonts w:ascii="Arial" w:cs="Arial" w:eastAsia="Arial" w:hAnsi="Arial"/>
                <w:sz w:val="11"/>
                <w:szCs w:val="11"/>
                <w:color w:val="auto"/>
              </w:rPr>
              <w:t>14,749,439</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6"/>
              <w:spacing w:after="0" w:line="115" w:lineRule="exact"/>
              <w:rPr>
                <w:sz w:val="20"/>
                <w:szCs w:val="20"/>
                <w:color w:val="auto"/>
              </w:rPr>
            </w:pPr>
            <w:r>
              <w:rPr>
                <w:rFonts w:ascii="Arial" w:cs="Arial" w:eastAsia="Arial" w:hAnsi="Arial"/>
                <w:sz w:val="11"/>
                <w:szCs w:val="11"/>
                <w:color w:val="auto"/>
              </w:rPr>
              <w:t>14,860,313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Spear Education, LLC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02/26/2022</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Education</w:t>
            </w:r>
          </w:p>
        </w:tc>
        <w:tc>
          <w:tcPr>
            <w:tcW w:w="140" w:type="dxa"/>
            <w:vAlign w:val="bottom"/>
          </w:tcPr>
          <w:p>
            <w:pPr>
              <w:spacing w:after="0"/>
              <w:rPr>
                <w:sz w:val="11"/>
                <w:szCs w:val="11"/>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6,875,000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00" w:type="dxa"/>
            <w:vAlign w:val="bottom"/>
          </w:tcPr>
          <w:p>
            <w:pPr>
              <w:ind w:left="20"/>
              <w:spacing w:after="0"/>
              <w:rPr>
                <w:sz w:val="20"/>
                <w:szCs w:val="20"/>
                <w:color w:val="auto"/>
              </w:rPr>
            </w:pPr>
            <w:r>
              <w:rPr>
                <w:rFonts w:ascii="Arial" w:cs="Arial" w:eastAsia="Arial" w:hAnsi="Arial"/>
                <w:sz w:val="11"/>
                <w:szCs w:val="11"/>
                <w:color w:val="auto"/>
              </w:rPr>
              <w:t xml:space="preserve">TAC LifePort Purchaser, LLC (Revolver) </w:t>
            </w:r>
            <w:r>
              <w:rPr>
                <w:rFonts w:ascii="Arial" w:cs="Arial" w:eastAsia="Arial" w:hAnsi="Arial"/>
                <w:sz w:val="14"/>
                <w:szCs w:val="14"/>
                <w:color w:val="auto"/>
                <w:vertAlign w:val="superscript"/>
              </w:rPr>
              <w:t>(7)</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90"/>
              </w:rPr>
              <w:t>03/01/2026</w:t>
            </w:r>
          </w:p>
        </w:tc>
        <w:tc>
          <w:tcPr>
            <w:tcW w:w="14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4"/>
                <w:szCs w:val="14"/>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620,155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Aegis Technologies Group, LLC</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90"/>
              </w:rPr>
              <w:t>10/31/2025</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9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7.00 %</w:t>
            </w:r>
          </w:p>
        </w:tc>
        <w:tc>
          <w:tcPr>
            <w:tcW w:w="140" w:type="dxa"/>
            <w:vAlign w:val="bottom"/>
            <w:shd w:val="clear" w:color="auto" w:fill="CCECFF"/>
          </w:tcPr>
          <w:p>
            <w:pPr>
              <w:spacing w:after="0"/>
              <w:rPr>
                <w:sz w:val="11"/>
                <w:szCs w:val="11"/>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2"/>
            <w:shd w:val="clear" w:color="auto" w:fill="CCECFF"/>
          </w:tcPr>
          <w:p>
            <w:pPr>
              <w:jc w:val="right"/>
              <w:ind w:right="6"/>
              <w:spacing w:after="0"/>
              <w:rPr>
                <w:sz w:val="20"/>
                <w:szCs w:val="20"/>
                <w:color w:val="auto"/>
              </w:rPr>
            </w:pPr>
            <w:r>
              <w:rPr>
                <w:rFonts w:ascii="Arial" w:cs="Arial" w:eastAsia="Arial" w:hAnsi="Arial"/>
                <w:sz w:val="11"/>
                <w:szCs w:val="11"/>
                <w:color w:val="auto"/>
              </w:rPr>
              <w:t>11,293,244</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11,183,002</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40" w:type="dxa"/>
            <w:vAlign w:val="bottom"/>
            <w:shd w:val="clear" w:color="auto" w:fill="CCECFF"/>
          </w:tcPr>
          <w:p>
            <w:pPr>
              <w:jc w:val="right"/>
              <w:ind w:right="6"/>
              <w:spacing w:after="0"/>
              <w:rPr>
                <w:sz w:val="20"/>
                <w:szCs w:val="20"/>
                <w:color w:val="auto"/>
              </w:rPr>
            </w:pPr>
            <w:r>
              <w:rPr>
                <w:rFonts w:ascii="Arial" w:cs="Arial" w:eastAsia="Arial" w:hAnsi="Arial"/>
                <w:sz w:val="11"/>
                <w:szCs w:val="11"/>
                <w:color w:val="auto"/>
              </w:rPr>
              <w:t>11,180,311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-5742940</wp:posOffset>
            </wp:positionV>
            <wp:extent cx="7132320" cy="857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-5400040</wp:posOffset>
            </wp:positionV>
            <wp:extent cx="7132320" cy="857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-5057140</wp:posOffset>
            </wp:positionV>
            <wp:extent cx="7132320" cy="857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-4885690</wp:posOffset>
            </wp:positionV>
            <wp:extent cx="7132320" cy="857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-4714240</wp:posOffset>
            </wp:positionV>
            <wp:extent cx="7132320" cy="857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-4542790</wp:posOffset>
            </wp:positionV>
            <wp:extent cx="7132320" cy="85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-4371340</wp:posOffset>
            </wp:positionV>
            <wp:extent cx="7132320" cy="857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-4199890</wp:posOffset>
            </wp:positionV>
            <wp:extent cx="7132320" cy="857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-4028440</wp:posOffset>
            </wp:positionV>
            <wp:extent cx="7132320" cy="857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-3514090</wp:posOffset>
            </wp:positionV>
            <wp:extent cx="7132320" cy="857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-3342640</wp:posOffset>
            </wp:positionV>
            <wp:extent cx="7132320" cy="857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-2999740</wp:posOffset>
            </wp:positionV>
            <wp:extent cx="7132320" cy="857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7132320" cy="857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-2142490</wp:posOffset>
            </wp:positionV>
            <wp:extent cx="7132320" cy="857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-1971040</wp:posOffset>
            </wp:positionV>
            <wp:extent cx="7132320" cy="857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-1799590</wp:posOffset>
            </wp:positionV>
            <wp:extent cx="7132320" cy="857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-1628140</wp:posOffset>
            </wp:positionV>
            <wp:extent cx="7132320" cy="857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-1456690</wp:posOffset>
            </wp:positionV>
            <wp:extent cx="7132320" cy="857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85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857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57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57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57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(Unaudited)</w:t>
      </w:r>
    </w:p>
    <w:tbl>
      <w:tblPr>
        <w:tblLayout w:type="fixed"/>
        <w:tblInd w:w="0" w:type="dxa"/>
        <w:tblCellMar>
          <w:top w:w="0" w:type="dxa"/>
          <w:left w:w="0" w:type="dxa"/>
          <w:bottom w:w="0" w:type="dxa"/>
          <w:right w:w="0" w:type="dxa"/>
        </w:tblCellMar>
      </w:tblPr>
      <w:tr>
        <w:trPr>
          <w:trHeight w:val="102"/>
        </w:trPr>
        <w:tc>
          <w:tcPr>
            <w:tcW w:w="3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Maturity /</w:t>
            </w:r>
          </w:p>
        </w:tc>
        <w:tc>
          <w:tcPr>
            <w:tcW w:w="1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right"/>
              <w:ind w:right="346"/>
              <w:spacing w:after="0"/>
              <w:rPr>
                <w:sz w:val="20"/>
                <w:szCs w:val="20"/>
                <w:color w:val="auto"/>
              </w:rPr>
            </w:pPr>
            <w:r>
              <w:rPr>
                <w:rFonts w:ascii="Arial" w:cs="Arial" w:eastAsia="Arial" w:hAnsi="Arial"/>
                <w:sz w:val="11"/>
                <w:szCs w:val="11"/>
                <w:b w:val="1"/>
                <w:bCs w:val="1"/>
                <w:color w:val="auto"/>
              </w:rPr>
              <w:t>Current</w:t>
            </w:r>
          </w:p>
        </w:tc>
        <w:tc>
          <w:tcPr>
            <w:tcW w:w="8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6"/>
              </w:rPr>
              <w:t>Basis Point</w:t>
            </w:r>
          </w:p>
        </w:tc>
        <w:tc>
          <w:tcPr>
            <w:tcW w:w="160" w:type="dxa"/>
            <w:vAlign w:val="bottom"/>
          </w:tcPr>
          <w:p>
            <w:pPr>
              <w:spacing w:after="0"/>
              <w:rPr>
                <w:sz w:val="8"/>
                <w:szCs w:val="8"/>
                <w:color w:val="auto"/>
              </w:rPr>
            </w:pPr>
          </w:p>
        </w:tc>
        <w:tc>
          <w:tcPr>
            <w:tcW w:w="7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Par /</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0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6"/>
              </w:rPr>
              <w:t>Spread Above</w:t>
            </w: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14"/>
                <w:szCs w:val="14"/>
                <w:b w:val="1"/>
                <w:bCs w:val="1"/>
                <w:color w:val="auto"/>
                <w:w w:val="89"/>
                <w:vertAlign w:val="superscript"/>
              </w:rPr>
              <w:t>(3)</w:t>
            </w:r>
          </w:p>
        </w:tc>
        <w:tc>
          <w:tcPr>
            <w:tcW w:w="0" w:type="dxa"/>
            <w:vAlign w:val="bottom"/>
          </w:tcPr>
          <w:p>
            <w:pPr>
              <w:spacing w:after="0"/>
              <w:rPr>
                <w:sz w:val="1"/>
                <w:szCs w:val="1"/>
                <w:color w:val="auto"/>
              </w:rPr>
            </w:pPr>
          </w:p>
        </w:tc>
      </w:tr>
      <w:tr>
        <w:trPr>
          <w:trHeight w:val="148"/>
        </w:trPr>
        <w:tc>
          <w:tcPr>
            <w:tcW w:w="3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18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26"/>
              <w:spacing w:after="0"/>
              <w:rPr>
                <w:sz w:val="20"/>
                <w:szCs w:val="20"/>
                <w:color w:val="auto"/>
              </w:rPr>
            </w:pPr>
            <w:r>
              <w:rPr>
                <w:rFonts w:ascii="Arial" w:cs="Arial" w:eastAsia="Arial" w:hAnsi="Arial"/>
                <w:sz w:val="11"/>
                <w:szCs w:val="11"/>
                <w:b w:val="1"/>
                <w:bCs w:val="1"/>
                <w:color w:val="auto"/>
              </w:rPr>
              <w:t>Coupon</w:t>
            </w:r>
          </w:p>
        </w:tc>
        <w:tc>
          <w:tcPr>
            <w:tcW w:w="88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3"/>
              </w:rPr>
              <w:t xml:space="preserve">Index </w:t>
            </w:r>
            <w:r>
              <w:rPr>
                <w:rFonts w:ascii="Arial" w:cs="Arial" w:eastAsia="Arial" w:hAnsi="Arial"/>
                <w:sz w:val="14"/>
                <w:szCs w:val="14"/>
                <w:b w:val="1"/>
                <w:bCs w:val="1"/>
                <w:color w:val="auto"/>
                <w:w w:val="83"/>
                <w:vertAlign w:val="superscript"/>
              </w:rPr>
              <w:t>(4)</w:t>
            </w:r>
          </w:p>
        </w:tc>
        <w:tc>
          <w:tcPr>
            <w:tcW w:w="160" w:type="dxa"/>
            <w:vAlign w:val="bottom"/>
          </w:tcPr>
          <w:p>
            <w:pPr>
              <w:spacing w:after="0"/>
              <w:rPr>
                <w:sz w:val="12"/>
                <w:szCs w:val="12"/>
                <w:color w:val="auto"/>
              </w:rPr>
            </w:pPr>
          </w:p>
        </w:tc>
        <w:tc>
          <w:tcPr>
            <w:tcW w:w="760" w:type="dxa"/>
            <w:vAlign w:val="bottom"/>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000" w:type="dxa"/>
            <w:vAlign w:val="bottom"/>
            <w:tcBorders>
              <w:top w:val="single" w:sz="8" w:color="auto"/>
            </w:tcBorders>
          </w:tcPr>
          <w:p>
            <w:pPr>
              <w:ind w:left="20"/>
              <w:spacing w:after="0" w:line="99" w:lineRule="exact"/>
              <w:rPr>
                <w:sz w:val="20"/>
                <w:szCs w:val="20"/>
                <w:color w:val="auto"/>
              </w:rPr>
            </w:pPr>
            <w:r>
              <w:rPr>
                <w:rFonts w:ascii="Arial" w:cs="Arial" w:eastAsia="Arial" w:hAnsi="Arial"/>
                <w:sz w:val="11"/>
                <w:szCs w:val="11"/>
                <w:color w:val="auto"/>
              </w:rPr>
              <w:t>The Bluebird Group LLC</w:t>
            </w:r>
          </w:p>
        </w:tc>
        <w:tc>
          <w:tcPr>
            <w:tcW w:w="140" w:type="dxa"/>
            <w:vAlign w:val="bottom"/>
          </w:tcPr>
          <w:p>
            <w:pPr>
              <w:spacing w:after="0"/>
              <w:rPr>
                <w:sz w:val="8"/>
                <w:szCs w:val="8"/>
                <w:color w:val="auto"/>
              </w:rPr>
            </w:pPr>
          </w:p>
        </w:tc>
        <w:tc>
          <w:tcPr>
            <w:tcW w:w="640" w:type="dxa"/>
            <w:vAlign w:val="bottom"/>
            <w:tcBorders>
              <w:top w:val="single" w:sz="8" w:color="auto"/>
            </w:tcBorders>
          </w:tcPr>
          <w:p>
            <w:pPr>
              <w:ind w:left="80"/>
              <w:spacing w:after="0" w:line="99" w:lineRule="exact"/>
              <w:rPr>
                <w:sz w:val="20"/>
                <w:szCs w:val="20"/>
                <w:color w:val="auto"/>
              </w:rPr>
            </w:pPr>
            <w:r>
              <w:rPr>
                <w:rFonts w:ascii="Arial" w:cs="Arial" w:eastAsia="Arial" w:hAnsi="Arial"/>
                <w:sz w:val="11"/>
                <w:szCs w:val="11"/>
                <w:color w:val="auto"/>
                <w:w w:val="98"/>
              </w:rPr>
              <w:t>07/27/2026</w:t>
            </w:r>
          </w:p>
        </w:tc>
        <w:tc>
          <w:tcPr>
            <w:tcW w:w="180" w:type="dxa"/>
            <w:vAlign w:val="bottom"/>
          </w:tcPr>
          <w:p>
            <w:pPr>
              <w:spacing w:after="0"/>
              <w:rPr>
                <w:sz w:val="8"/>
                <w:szCs w:val="8"/>
                <w:color w:val="auto"/>
              </w:rPr>
            </w:pPr>
          </w:p>
        </w:tc>
        <w:tc>
          <w:tcPr>
            <w:tcW w:w="2480" w:type="dxa"/>
            <w:vAlign w:val="bottom"/>
            <w:tcBorders>
              <w:top w:val="single" w:sz="8" w:color="auto"/>
            </w:tcBorders>
          </w:tcPr>
          <w:p>
            <w:pPr>
              <w:jc w:val="center"/>
              <w:spacing w:after="0" w:line="99" w:lineRule="exact"/>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8"/>
                <w:szCs w:val="8"/>
                <w:color w:val="auto"/>
              </w:rPr>
            </w:pPr>
          </w:p>
        </w:tc>
        <w:tc>
          <w:tcPr>
            <w:tcW w:w="70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8.00</w:t>
            </w:r>
          </w:p>
        </w:tc>
        <w:tc>
          <w:tcPr>
            <w:tcW w:w="240" w:type="dxa"/>
            <w:vAlign w:val="bottom"/>
          </w:tcPr>
          <w:p>
            <w:pPr>
              <w:jc w:val="right"/>
              <w:ind w:right="86"/>
              <w:spacing w:after="0" w:line="99" w:lineRule="exact"/>
              <w:rPr>
                <w:sz w:val="20"/>
                <w:szCs w:val="20"/>
                <w:color w:val="auto"/>
              </w:rPr>
            </w:pPr>
            <w:r>
              <w:rPr>
                <w:rFonts w:ascii="Arial" w:cs="Arial" w:eastAsia="Arial" w:hAnsi="Arial"/>
                <w:sz w:val="11"/>
                <w:szCs w:val="11"/>
                <w:color w:val="auto"/>
                <w:w w:val="81"/>
              </w:rPr>
              <w:t>%</w:t>
            </w:r>
          </w:p>
        </w:tc>
        <w:tc>
          <w:tcPr>
            <w:tcW w:w="88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3M L+700</w:t>
            </w:r>
          </w:p>
        </w:tc>
        <w:tc>
          <w:tcPr>
            <w:tcW w:w="160" w:type="dxa"/>
            <w:vAlign w:val="bottom"/>
          </w:tcPr>
          <w:p>
            <w:pPr>
              <w:spacing w:after="0"/>
              <w:rPr>
                <w:sz w:val="8"/>
                <w:szCs w:val="8"/>
                <w:color w:val="auto"/>
              </w:rPr>
            </w:pPr>
          </w:p>
        </w:tc>
        <w:tc>
          <w:tcPr>
            <w:tcW w:w="76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2,577,412</w:t>
            </w:r>
          </w:p>
        </w:tc>
        <w:tc>
          <w:tcPr>
            <w:tcW w:w="160" w:type="dxa"/>
            <w:vAlign w:val="bottom"/>
          </w:tcPr>
          <w:p>
            <w:pPr>
              <w:spacing w:after="0"/>
              <w:rPr>
                <w:sz w:val="8"/>
                <w:szCs w:val="8"/>
                <w:color w:val="auto"/>
              </w:rPr>
            </w:pPr>
          </w:p>
        </w:tc>
        <w:tc>
          <w:tcPr>
            <w:tcW w:w="160" w:type="dxa"/>
            <w:vAlign w:val="bottom"/>
            <w:tcBorders>
              <w:top w:val="single" w:sz="8" w:color="auto"/>
            </w:tcBorders>
          </w:tcPr>
          <w:p>
            <w:pPr>
              <w:jc w:val="right"/>
              <w:ind w:right="26"/>
              <w:spacing w:after="0" w:line="99" w:lineRule="exact"/>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2,529,405</w:t>
            </w:r>
          </w:p>
        </w:tc>
        <w:tc>
          <w:tcPr>
            <w:tcW w:w="160" w:type="dxa"/>
            <w:vAlign w:val="bottom"/>
          </w:tcPr>
          <w:p>
            <w:pPr>
              <w:spacing w:after="0"/>
              <w:rPr>
                <w:sz w:val="8"/>
                <w:szCs w:val="8"/>
                <w:color w:val="auto"/>
              </w:rPr>
            </w:pPr>
          </w:p>
        </w:tc>
        <w:tc>
          <w:tcPr>
            <w:tcW w:w="8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2,628,960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The Bluebird Group LLC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07/27/2026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733,737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14,675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The Vertex Companies, LLC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08/30/2027</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2,220,985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(2,221 )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The Vertex Companies, LLC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08/30/2027</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740,328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(8,144 )</w:t>
            </w: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14"/>
                <w:szCs w:val="14"/>
                <w:color w:val="auto"/>
                <w:vertAlign w:val="superscript"/>
              </w:rPr>
              <w:t>(8),(11)</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11/24/2025</w:t>
            </w:r>
          </w:p>
        </w:tc>
        <w:tc>
          <w:tcPr>
            <w:tcW w:w="1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7"/>
              </w:rPr>
              <w:t>Food</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6.25 %</w:t>
            </w:r>
          </w:p>
        </w:tc>
        <w:tc>
          <w:tcPr>
            <w:tcW w:w="880" w:type="dxa"/>
            <w:vAlign w:val="bottom"/>
          </w:tcPr>
          <w:p>
            <w:pPr>
              <w:jc w:val="right"/>
              <w:spacing w:after="0"/>
              <w:rPr>
                <w:sz w:val="20"/>
                <w:szCs w:val="20"/>
                <w:color w:val="auto"/>
              </w:rPr>
            </w:pPr>
            <w:r>
              <w:rPr>
                <w:rFonts w:ascii="Arial" w:cs="Arial" w:eastAsia="Arial" w:hAnsi="Arial"/>
                <w:sz w:val="11"/>
                <w:szCs w:val="11"/>
                <w:color w:val="auto"/>
              </w:rPr>
              <w:t>3M 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1,766,566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1,766,566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1,713,569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5" w:lineRule="exact"/>
              <w:rPr>
                <w:sz w:val="20"/>
                <w:szCs w:val="20"/>
                <w:color w:val="auto"/>
              </w:rPr>
            </w:pPr>
            <w:r>
              <w:rPr>
                <w:rFonts w:ascii="Arial" w:cs="Arial" w:eastAsia="Arial" w:hAnsi="Arial"/>
                <w:sz w:val="11"/>
                <w:szCs w:val="11"/>
                <w:color w:val="auto"/>
              </w:rPr>
              <w:t>TVC Enterprises, LLC</w:t>
            </w:r>
          </w:p>
        </w:tc>
        <w:tc>
          <w:tcPr>
            <w:tcW w:w="78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8"/>
              </w:rPr>
              <w:t>03/26/2026</w:t>
            </w:r>
          </w:p>
        </w:tc>
        <w:tc>
          <w:tcPr>
            <w:tcW w:w="18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90"/>
              </w:rPr>
              <w:t>Transportation</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6.75 %</w:t>
            </w:r>
          </w:p>
        </w:tc>
        <w:tc>
          <w:tcPr>
            <w:tcW w:w="880" w:type="dxa"/>
            <w:vAlign w:val="bottom"/>
          </w:tcPr>
          <w:p>
            <w:pPr>
              <w:jc w:val="right"/>
              <w:spacing w:after="0" w:line="115" w:lineRule="exact"/>
              <w:rPr>
                <w:sz w:val="20"/>
                <w:szCs w:val="20"/>
                <w:color w:val="auto"/>
              </w:rPr>
            </w:pPr>
            <w:r>
              <w:rPr>
                <w:rFonts w:ascii="Arial" w:cs="Arial" w:eastAsia="Arial" w:hAnsi="Arial"/>
                <w:sz w:val="11"/>
                <w:szCs w:val="11"/>
                <w:color w:val="auto"/>
              </w:rPr>
              <w:t>1M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15,467,122</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15,324,328</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15,467,122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03/26/2026</w:t>
            </w:r>
          </w:p>
        </w:tc>
        <w:tc>
          <w:tcPr>
            <w:tcW w:w="1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0"/>
              </w:rPr>
              <w:t>Transportation</w:t>
            </w:r>
          </w:p>
        </w:tc>
        <w:tc>
          <w:tcPr>
            <w:tcW w:w="140" w:type="dxa"/>
            <w:vAlign w:val="bottom"/>
          </w:tcPr>
          <w:p>
            <w:pPr>
              <w:spacing w:after="0"/>
              <w:rPr>
                <w:sz w:val="13"/>
                <w:szCs w:val="13"/>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2,702,152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5" w:lineRule="exact"/>
              <w:rPr>
                <w:sz w:val="20"/>
                <w:szCs w:val="20"/>
                <w:color w:val="auto"/>
              </w:rPr>
            </w:pPr>
            <w:r>
              <w:rPr>
                <w:rFonts w:ascii="Arial" w:cs="Arial" w:eastAsia="Arial" w:hAnsi="Arial"/>
                <w:sz w:val="11"/>
                <w:szCs w:val="11"/>
                <w:color w:val="auto"/>
              </w:rPr>
              <w:t>TWS Acquisition Corporation</w:t>
            </w:r>
          </w:p>
        </w:tc>
        <w:tc>
          <w:tcPr>
            <w:tcW w:w="78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8"/>
              </w:rPr>
              <w:t>06/16/2025</w:t>
            </w:r>
          </w:p>
        </w:tc>
        <w:tc>
          <w:tcPr>
            <w:tcW w:w="18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89"/>
              </w:rPr>
              <w:t>Education</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7.25 %</w:t>
            </w:r>
          </w:p>
        </w:tc>
        <w:tc>
          <w:tcPr>
            <w:tcW w:w="880" w:type="dxa"/>
            <w:vAlign w:val="bottom"/>
          </w:tcPr>
          <w:p>
            <w:pPr>
              <w:jc w:val="right"/>
              <w:spacing w:after="0" w:line="115" w:lineRule="exact"/>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4,136,641</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4,136,641</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4,136,641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06/16/2025</w:t>
            </w:r>
          </w:p>
        </w:tc>
        <w:tc>
          <w:tcPr>
            <w:tcW w:w="1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Education</w:t>
            </w:r>
          </w:p>
        </w:tc>
        <w:tc>
          <w:tcPr>
            <w:tcW w:w="140" w:type="dxa"/>
            <w:vAlign w:val="bottom"/>
          </w:tcPr>
          <w:p>
            <w:pPr>
              <w:spacing w:after="0"/>
              <w:rPr>
                <w:sz w:val="13"/>
                <w:szCs w:val="13"/>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1,643,571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5" w:lineRule="exact"/>
              <w:rPr>
                <w:sz w:val="20"/>
                <w:szCs w:val="20"/>
                <w:color w:val="auto"/>
              </w:rPr>
            </w:pPr>
            <w:r>
              <w:rPr>
                <w:rFonts w:ascii="Arial" w:cs="Arial" w:eastAsia="Arial" w:hAnsi="Arial"/>
                <w:sz w:val="11"/>
                <w:szCs w:val="11"/>
                <w:color w:val="auto"/>
              </w:rPr>
              <w:t>Tyto Athene, LLC</w:t>
            </w:r>
          </w:p>
        </w:tc>
        <w:tc>
          <w:tcPr>
            <w:tcW w:w="78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8"/>
              </w:rPr>
              <w:t>04/01/2026</w:t>
            </w:r>
          </w:p>
        </w:tc>
        <w:tc>
          <w:tcPr>
            <w:tcW w:w="18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86"/>
              </w:rPr>
              <w:t>Aerospace and Defense</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6.25 %</w:t>
            </w:r>
          </w:p>
        </w:tc>
        <w:tc>
          <w:tcPr>
            <w:tcW w:w="88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4,987,500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4,938,287</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4,950,094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04/01/2026</w:t>
            </w:r>
          </w:p>
        </w:tc>
        <w:tc>
          <w:tcPr>
            <w:tcW w:w="1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3"/>
                <w:szCs w:val="13"/>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363,610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(2,727 )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Arial" w:cs="Arial" w:eastAsia="Arial" w:hAnsi="Arial"/>
                <w:sz w:val="11"/>
                <w:szCs w:val="11"/>
                <w:color w:val="auto"/>
              </w:rPr>
              <w:t>Walker Edison Furniture Company LLC</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03/31/2027</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Home and Office Furnishings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9.75 %</w:t>
            </w:r>
          </w:p>
        </w:tc>
        <w:tc>
          <w:tcPr>
            <w:tcW w:w="880" w:type="dxa"/>
            <w:vAlign w:val="bottom"/>
          </w:tcPr>
          <w:p>
            <w:pPr>
              <w:jc w:val="right"/>
              <w:spacing w:after="0"/>
              <w:rPr>
                <w:sz w:val="20"/>
                <w:szCs w:val="20"/>
                <w:color w:val="auto"/>
              </w:rPr>
            </w:pPr>
            <w:r>
              <w:rPr>
                <w:rFonts w:ascii="Arial" w:cs="Arial" w:eastAsia="Arial" w:hAnsi="Arial"/>
                <w:sz w:val="11"/>
                <w:szCs w:val="11"/>
                <w:color w:val="auto"/>
              </w:rPr>
              <w:t>3M L+875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24,984,790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24,421,425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24,610,019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5" w:lineRule="exact"/>
              <w:rPr>
                <w:sz w:val="20"/>
                <w:szCs w:val="20"/>
                <w:color w:val="auto"/>
              </w:rPr>
            </w:pPr>
            <w:r>
              <w:rPr>
                <w:rFonts w:ascii="Arial" w:cs="Arial" w:eastAsia="Arial" w:hAnsi="Arial"/>
                <w:sz w:val="11"/>
                <w:szCs w:val="11"/>
                <w:color w:val="auto"/>
              </w:rPr>
              <w:t>Wildcat Buyerco, Inc.</w:t>
            </w:r>
          </w:p>
        </w:tc>
        <w:tc>
          <w:tcPr>
            <w:tcW w:w="78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8"/>
              </w:rPr>
              <w:t>02/27/2026</w:t>
            </w:r>
          </w:p>
        </w:tc>
        <w:tc>
          <w:tcPr>
            <w:tcW w:w="18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89"/>
              </w:rPr>
              <w:t>Electronics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6.75 %</w:t>
            </w:r>
          </w:p>
        </w:tc>
        <w:tc>
          <w:tcPr>
            <w:tcW w:w="88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4,198,081</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4,154,313</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4,177,091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Wildcat Buyerco, Inc. Term Loan B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02/15/2022</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Electronics</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1,496,874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26,195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Wildcat Buyerco, Inc. Term Loan C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05/11/2023</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Electronics</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2,022,802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12,643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02/27/2026</w:t>
            </w:r>
          </w:p>
        </w:tc>
        <w:tc>
          <w:tcPr>
            <w:tcW w:w="1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Electronics</w:t>
            </w:r>
          </w:p>
        </w:tc>
        <w:tc>
          <w:tcPr>
            <w:tcW w:w="140" w:type="dxa"/>
            <w:vAlign w:val="bottom"/>
          </w:tcPr>
          <w:p>
            <w:pPr>
              <w:spacing w:after="0"/>
              <w:rPr>
                <w:sz w:val="13"/>
                <w:szCs w:val="13"/>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551,471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(7,279 )</w:t>
            </w: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5" w:lineRule="exact"/>
              <w:rPr>
                <w:sz w:val="20"/>
                <w:szCs w:val="20"/>
                <w:color w:val="auto"/>
              </w:rPr>
            </w:pPr>
            <w:r>
              <w:rPr>
                <w:rFonts w:ascii="Arial" w:cs="Arial" w:eastAsia="Arial" w:hAnsi="Arial"/>
                <w:sz w:val="11"/>
                <w:szCs w:val="11"/>
                <w:color w:val="auto"/>
              </w:rPr>
              <w:t>Zips Car Wash, LLC</w:t>
            </w:r>
          </w:p>
        </w:tc>
        <w:tc>
          <w:tcPr>
            <w:tcW w:w="78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8"/>
              </w:rPr>
              <w:t>03/01/2024</w:t>
            </w:r>
          </w:p>
        </w:tc>
        <w:tc>
          <w:tcPr>
            <w:tcW w:w="18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90"/>
              </w:rPr>
              <w:t>Auto Sector</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7.81 %</w:t>
            </w:r>
          </w:p>
        </w:tc>
        <w:tc>
          <w:tcPr>
            <w:tcW w:w="880" w:type="dxa"/>
            <w:vAlign w:val="bottom"/>
          </w:tcPr>
          <w:p>
            <w:pPr>
              <w:jc w:val="right"/>
              <w:spacing w:after="0" w:line="115" w:lineRule="exact"/>
              <w:rPr>
                <w:sz w:val="20"/>
                <w:szCs w:val="20"/>
                <w:color w:val="auto"/>
              </w:rPr>
            </w:pPr>
            <w:r>
              <w:rPr>
                <w:rFonts w:ascii="Arial" w:cs="Arial" w:eastAsia="Arial" w:hAnsi="Arial"/>
                <w:sz w:val="11"/>
                <w:szCs w:val="11"/>
                <w:color w:val="auto"/>
              </w:rPr>
              <w:t>3M L+675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23,442,912</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23,192,079</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22,974,053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000" w:type="dxa"/>
            <w:vAlign w:val="bottom"/>
          </w:tcPr>
          <w:p>
            <w:pPr>
              <w:ind w:left="20"/>
              <w:spacing w:after="0"/>
              <w:rPr>
                <w:sz w:val="20"/>
                <w:szCs w:val="20"/>
                <w:color w:val="auto"/>
              </w:rPr>
            </w:pPr>
            <w:r>
              <w:rPr>
                <w:rFonts w:ascii="Arial" w:cs="Arial" w:eastAsia="Arial" w:hAnsi="Arial"/>
                <w:sz w:val="11"/>
                <w:szCs w:val="11"/>
                <w:color w:val="auto"/>
              </w:rPr>
              <w:t xml:space="preserve">Zips Car Wash, LLC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03/01/2024</w:t>
            </w:r>
          </w:p>
        </w:tc>
        <w:tc>
          <w:tcPr>
            <w:tcW w:w="1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0"/>
              </w:rPr>
              <w:t>Auto Sector</w:t>
            </w:r>
          </w:p>
        </w:tc>
        <w:tc>
          <w:tcPr>
            <w:tcW w:w="140" w:type="dxa"/>
            <w:vAlign w:val="bottom"/>
          </w:tcPr>
          <w:p>
            <w:pPr>
              <w:spacing w:after="0"/>
              <w:rPr>
                <w:sz w:val="14"/>
                <w:szCs w:val="14"/>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1,949,337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(19,493 )</w:t>
            </w: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top w:val="single" w:sz="8" w:color="auto"/>
              <w:bottom w:val="single" w:sz="8" w:color="auto"/>
            </w:tcBorders>
            <w:shd w:val="clear" w:color="auto" w:fill="CCECFF"/>
          </w:tcPr>
          <w:p>
            <w:pPr>
              <w:spacing w:after="0"/>
              <w:rPr>
                <w:sz w:val="11"/>
                <w:szCs w:val="11"/>
                <w:color w:val="auto"/>
              </w:rPr>
            </w:pP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8"/>
              </w:rPr>
              <w:t>628,912,539</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top w:val="single" w:sz="8" w:color="auto"/>
              <w:bottom w:val="single" w:sz="8" w:color="auto"/>
            </w:tcBorders>
            <w:shd w:val="clear" w:color="auto" w:fill="CCECFF"/>
          </w:tcPr>
          <w:p>
            <w:pPr>
              <w:spacing w:after="0"/>
              <w:rPr>
                <w:sz w:val="11"/>
                <w:szCs w:val="11"/>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628,024,290</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tcPr>
          <w:p>
            <w:pPr>
              <w:ind w:left="20"/>
              <w:spacing w:after="0"/>
              <w:rPr>
                <w:sz w:val="20"/>
                <w:szCs w:val="20"/>
                <w:color w:val="auto"/>
              </w:rPr>
            </w:pPr>
            <w:r>
              <w:rPr>
                <w:rFonts w:ascii="Arial" w:cs="Arial" w:eastAsia="Arial" w:hAnsi="Arial"/>
                <w:sz w:val="11"/>
                <w:szCs w:val="11"/>
                <w:b w:val="1"/>
                <w:bCs w:val="1"/>
                <w:color w:val="auto"/>
              </w:rPr>
              <w:t>Second Lien Secured Debt—19.7%</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Arial" w:cs="Arial" w:eastAsia="Arial" w:hAnsi="Arial"/>
                <w:sz w:val="11"/>
                <w:szCs w:val="11"/>
                <w:color w:val="auto"/>
              </w:rPr>
              <w:t>Atlas Purchaser, Inc</w:t>
            </w:r>
          </w:p>
        </w:tc>
        <w:tc>
          <w:tcPr>
            <w:tcW w:w="780" w:type="dxa"/>
            <w:vAlign w:val="bottom"/>
            <w:gridSpan w:val="2"/>
            <w:shd w:val="clear" w:color="auto" w:fill="CCECFF"/>
          </w:tcPr>
          <w:p>
            <w:pPr>
              <w:ind w:left="220"/>
              <w:spacing w:after="0"/>
              <w:rPr>
                <w:sz w:val="20"/>
                <w:szCs w:val="20"/>
                <w:color w:val="auto"/>
              </w:rPr>
            </w:pPr>
            <w:r>
              <w:rPr>
                <w:rFonts w:ascii="Arial" w:cs="Arial" w:eastAsia="Arial" w:hAnsi="Arial"/>
                <w:sz w:val="11"/>
                <w:szCs w:val="11"/>
                <w:color w:val="auto"/>
                <w:w w:val="98"/>
              </w:rPr>
              <w:t>05/07/2029</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Telecommunications</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9.75 %</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L+900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17,000,000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16,516,287</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16,702,500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Arial" w:cs="Arial" w:eastAsia="Arial" w:hAnsi="Arial"/>
                <w:sz w:val="11"/>
                <w:szCs w:val="11"/>
                <w:color w:val="auto"/>
              </w:rPr>
              <w:t>Best Practice Associates LLC</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06/29/2027</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10.00 %</w:t>
            </w:r>
          </w:p>
        </w:tc>
        <w:tc>
          <w:tcPr>
            <w:tcW w:w="880" w:type="dxa"/>
            <w:vAlign w:val="bottom"/>
          </w:tcPr>
          <w:p>
            <w:pPr>
              <w:jc w:val="right"/>
              <w:spacing w:after="0"/>
              <w:rPr>
                <w:sz w:val="20"/>
                <w:szCs w:val="20"/>
                <w:color w:val="auto"/>
              </w:rPr>
            </w:pPr>
            <w:r>
              <w:rPr>
                <w:rFonts w:ascii="Arial" w:cs="Arial" w:eastAsia="Arial" w:hAnsi="Arial"/>
                <w:sz w:val="11"/>
                <w:szCs w:val="11"/>
                <w:color w:val="auto"/>
              </w:rPr>
              <w:t>3M L+900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27,176,471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26,633,555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26,632,941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Arial" w:cs="Arial" w:eastAsia="Arial" w:hAnsi="Arial"/>
                <w:sz w:val="11"/>
                <w:szCs w:val="11"/>
                <w:color w:val="auto"/>
              </w:rPr>
              <w:t>Data Axle, Inc.</w:t>
            </w:r>
          </w:p>
        </w:tc>
        <w:tc>
          <w:tcPr>
            <w:tcW w:w="780" w:type="dxa"/>
            <w:vAlign w:val="bottom"/>
            <w:gridSpan w:val="2"/>
            <w:shd w:val="clear" w:color="auto" w:fill="CCECFF"/>
          </w:tcPr>
          <w:p>
            <w:pPr>
              <w:ind w:left="220"/>
              <w:spacing w:after="0"/>
              <w:rPr>
                <w:sz w:val="20"/>
                <w:szCs w:val="20"/>
                <w:color w:val="auto"/>
              </w:rPr>
            </w:pPr>
            <w:r>
              <w:rPr>
                <w:rFonts w:ascii="Arial" w:cs="Arial" w:eastAsia="Arial" w:hAnsi="Arial"/>
                <w:sz w:val="11"/>
                <w:szCs w:val="11"/>
                <w:color w:val="auto"/>
                <w:w w:val="98"/>
              </w:rPr>
              <w:t>04/03/2024</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Other Media</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10.25 %</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L+925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20,400,000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20,236,691</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20,400,000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Arial" w:cs="Arial" w:eastAsia="Arial" w:hAnsi="Arial"/>
                <w:sz w:val="11"/>
                <w:szCs w:val="11"/>
                <w:color w:val="auto"/>
              </w:rPr>
              <w:t>ENC Parent Corporation</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08/19/2029</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8.25 %</w:t>
            </w:r>
          </w:p>
        </w:tc>
        <w:tc>
          <w:tcPr>
            <w:tcW w:w="880" w:type="dxa"/>
            <w:vAlign w:val="bottom"/>
          </w:tcPr>
          <w:p>
            <w:pPr>
              <w:jc w:val="right"/>
              <w:spacing w:after="0"/>
              <w:rPr>
                <w:sz w:val="20"/>
                <w:szCs w:val="20"/>
                <w:color w:val="auto"/>
              </w:rPr>
            </w:pPr>
            <w:r>
              <w:rPr>
                <w:rFonts w:ascii="Arial" w:cs="Arial" w:eastAsia="Arial" w:hAnsi="Arial"/>
                <w:sz w:val="11"/>
                <w:szCs w:val="11"/>
                <w:color w:val="auto"/>
              </w:rPr>
              <w:t>3M L+750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7,500,000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7,426,742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7,425,000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Arial" w:cs="Arial" w:eastAsia="Arial" w:hAnsi="Arial"/>
                <w:sz w:val="11"/>
                <w:szCs w:val="11"/>
                <w:color w:val="auto"/>
              </w:rPr>
              <w:t>Halo Buyer, Inc.</w:t>
            </w:r>
          </w:p>
        </w:tc>
        <w:tc>
          <w:tcPr>
            <w:tcW w:w="780" w:type="dxa"/>
            <w:vAlign w:val="bottom"/>
            <w:gridSpan w:val="2"/>
            <w:shd w:val="clear" w:color="auto" w:fill="CCECFF"/>
          </w:tcPr>
          <w:p>
            <w:pPr>
              <w:ind w:left="220"/>
              <w:spacing w:after="0"/>
              <w:rPr>
                <w:sz w:val="20"/>
                <w:szCs w:val="20"/>
                <w:color w:val="auto"/>
              </w:rPr>
            </w:pPr>
            <w:r>
              <w:rPr>
                <w:rFonts w:ascii="Arial" w:cs="Arial" w:eastAsia="Arial" w:hAnsi="Arial"/>
                <w:sz w:val="11"/>
                <w:szCs w:val="11"/>
                <w:color w:val="auto"/>
                <w:w w:val="98"/>
              </w:rPr>
              <w:t>07/06/2026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Consumer Products</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9.25 %</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L+825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32,500,000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32,121,120</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31,118,750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Arial" w:cs="Arial" w:eastAsia="Arial" w:hAnsi="Arial"/>
                <w:sz w:val="11"/>
                <w:szCs w:val="11"/>
                <w:color w:val="auto"/>
              </w:rPr>
              <w:t>Inventus Power, Inc.</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09/29/2024</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Electronics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9.50 %</w:t>
            </w:r>
          </w:p>
        </w:tc>
        <w:tc>
          <w:tcPr>
            <w:tcW w:w="880" w:type="dxa"/>
            <w:vAlign w:val="bottom"/>
          </w:tcPr>
          <w:p>
            <w:pPr>
              <w:jc w:val="right"/>
              <w:spacing w:after="0"/>
              <w:rPr>
                <w:sz w:val="20"/>
                <w:szCs w:val="20"/>
                <w:color w:val="auto"/>
              </w:rPr>
            </w:pPr>
            <w:r>
              <w:rPr>
                <w:rFonts w:ascii="Arial" w:cs="Arial" w:eastAsia="Arial" w:hAnsi="Arial"/>
                <w:sz w:val="11"/>
                <w:szCs w:val="11"/>
                <w:color w:val="auto"/>
              </w:rPr>
              <w:t>3M L+850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16,593,290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16,318,273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16,178,457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Arial" w:cs="Arial" w:eastAsia="Arial" w:hAnsi="Arial"/>
                <w:sz w:val="11"/>
                <w:szCs w:val="11"/>
                <w:color w:val="auto"/>
              </w:rPr>
              <w:t>QuantiTech LLC</w:t>
            </w:r>
          </w:p>
        </w:tc>
        <w:tc>
          <w:tcPr>
            <w:tcW w:w="780" w:type="dxa"/>
            <w:vAlign w:val="bottom"/>
            <w:gridSpan w:val="2"/>
            <w:shd w:val="clear" w:color="auto" w:fill="CCECFF"/>
          </w:tcPr>
          <w:p>
            <w:pPr>
              <w:ind w:left="220"/>
              <w:spacing w:after="0"/>
              <w:rPr>
                <w:sz w:val="20"/>
                <w:szCs w:val="20"/>
                <w:color w:val="auto"/>
              </w:rPr>
            </w:pPr>
            <w:r>
              <w:rPr>
                <w:rFonts w:ascii="Arial" w:cs="Arial" w:eastAsia="Arial" w:hAnsi="Arial"/>
                <w:sz w:val="11"/>
                <w:szCs w:val="11"/>
                <w:color w:val="auto"/>
                <w:w w:val="98"/>
              </w:rPr>
              <w:t>02/04/2027</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08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11.00 %</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L+1,000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150,000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147,326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Arial" w:cs="Arial" w:eastAsia="Arial" w:hAnsi="Arial"/>
                <w:sz w:val="11"/>
                <w:szCs w:val="11"/>
                <w:color w:val="auto"/>
              </w:rPr>
              <w:t>VT Topco, Inc.</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08/17/2026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7.06 %</w:t>
            </w:r>
          </w:p>
        </w:tc>
        <w:tc>
          <w:tcPr>
            <w:tcW w:w="880" w:type="dxa"/>
            <w:vAlign w:val="bottom"/>
          </w:tcPr>
          <w:p>
            <w:pPr>
              <w:jc w:val="right"/>
              <w:spacing w:after="0"/>
              <w:rPr>
                <w:sz w:val="20"/>
                <w:szCs w:val="20"/>
                <w:color w:val="auto"/>
              </w:rPr>
            </w:pPr>
            <w:r>
              <w:rPr>
                <w:rFonts w:ascii="Arial" w:cs="Arial" w:eastAsia="Arial" w:hAnsi="Arial"/>
                <w:sz w:val="11"/>
                <w:szCs w:val="11"/>
                <w:color w:val="auto"/>
              </w:rPr>
              <w:t>3M L+675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15,000,000</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14,923,875</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14,962,500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8"/>
              </w:rPr>
              <w:t>134,323,869</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133,570,148</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ind w:left="20"/>
              <w:spacing w:after="0"/>
              <w:rPr>
                <w:sz w:val="20"/>
                <w:szCs w:val="20"/>
                <w:color w:val="auto"/>
              </w:rPr>
            </w:pPr>
            <w:r>
              <w:rPr>
                <w:rFonts w:ascii="Arial" w:cs="Arial" w:eastAsia="Arial" w:hAnsi="Arial"/>
                <w:sz w:val="11"/>
                <w:szCs w:val="11"/>
                <w:b w:val="1"/>
                <w:bCs w:val="1"/>
                <w:color w:val="auto"/>
              </w:rPr>
              <w:t>Subordinated Debt/Corporate Notes—8.1%</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00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Blackhawk Industrial Distribution, Inc.</w:t>
            </w:r>
          </w:p>
        </w:tc>
        <w:tc>
          <w:tcPr>
            <w:tcW w:w="780" w:type="dxa"/>
            <w:vAlign w:val="bottom"/>
            <w:gridSpan w:val="2"/>
            <w:shd w:val="clear" w:color="auto" w:fill="CCECFF"/>
          </w:tcPr>
          <w:p>
            <w:pPr>
              <w:ind w:left="220"/>
              <w:spacing w:after="0" w:line="125" w:lineRule="exact"/>
              <w:rPr>
                <w:sz w:val="20"/>
                <w:szCs w:val="20"/>
                <w:color w:val="auto"/>
              </w:rPr>
            </w:pPr>
            <w:r>
              <w:rPr>
                <w:rFonts w:ascii="Arial" w:cs="Arial" w:eastAsia="Arial" w:hAnsi="Arial"/>
                <w:sz w:val="11"/>
                <w:szCs w:val="11"/>
                <w:color w:val="auto"/>
                <w:w w:val="98"/>
              </w:rPr>
              <w:t>03/17/2025</w:t>
            </w:r>
          </w:p>
        </w:tc>
        <w:tc>
          <w:tcPr>
            <w:tcW w:w="180" w:type="dxa"/>
            <w:vAlign w:val="bottom"/>
            <w:shd w:val="clear" w:color="auto" w:fill="CCECFF"/>
          </w:tcPr>
          <w:p>
            <w:pPr>
              <w:spacing w:after="0"/>
              <w:rPr>
                <w:sz w:val="10"/>
                <w:szCs w:val="10"/>
                <w:color w:val="auto"/>
              </w:rPr>
            </w:pPr>
          </w:p>
        </w:tc>
        <w:tc>
          <w:tcPr>
            <w:tcW w:w="248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94"/>
              </w:rPr>
              <w:t>Distribution</w:t>
            </w:r>
          </w:p>
        </w:tc>
        <w:tc>
          <w:tcPr>
            <w:tcW w:w="1080" w:type="dxa"/>
            <w:vAlign w:val="bottom"/>
            <w:gridSpan w:val="3"/>
            <w:shd w:val="clear" w:color="auto" w:fill="CCECFF"/>
          </w:tcPr>
          <w:p>
            <w:pPr>
              <w:jc w:val="right"/>
              <w:ind w:right="86"/>
              <w:spacing w:after="0" w:line="125" w:lineRule="exact"/>
              <w:rPr>
                <w:sz w:val="20"/>
                <w:szCs w:val="20"/>
                <w:color w:val="auto"/>
              </w:rPr>
            </w:pPr>
            <w:r>
              <w:rPr>
                <w:rFonts w:ascii="Arial" w:cs="Arial" w:eastAsia="Arial" w:hAnsi="Arial"/>
                <w:sz w:val="11"/>
                <w:szCs w:val="11"/>
                <w:color w:val="auto"/>
              </w:rPr>
              <w:t>12.00 %</w:t>
            </w:r>
          </w:p>
        </w:tc>
        <w:tc>
          <w:tcPr>
            <w:tcW w:w="8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14,406,473</w:t>
            </w:r>
          </w:p>
        </w:tc>
        <w:tc>
          <w:tcPr>
            <w:tcW w:w="1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14,246,765</w:t>
            </w:r>
          </w:p>
        </w:tc>
        <w:tc>
          <w:tcPr>
            <w:tcW w:w="1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14,406,473</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0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86"/>
              <w:spacing w:after="0"/>
              <w:rPr>
                <w:sz w:val="20"/>
                <w:szCs w:val="20"/>
                <w:color w:val="auto"/>
              </w:rPr>
            </w:pPr>
            <w:r>
              <w:rPr>
                <w:rFonts w:ascii="Arial" w:cs="Arial" w:eastAsia="Arial" w:hAnsi="Arial"/>
                <w:sz w:val="11"/>
                <w:szCs w:val="11"/>
                <w:color w:val="auto"/>
              </w:rPr>
              <w:t>(PIK 2.00%)</w:t>
            </w:r>
          </w:p>
        </w:tc>
        <w:tc>
          <w:tcPr>
            <w:tcW w:w="8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000" w:type="dxa"/>
            <w:vAlign w:val="bottom"/>
          </w:tcPr>
          <w:p>
            <w:pPr>
              <w:ind w:left="20"/>
              <w:spacing w:after="0" w:line="125" w:lineRule="exact"/>
              <w:rPr>
                <w:sz w:val="20"/>
                <w:szCs w:val="20"/>
                <w:color w:val="auto"/>
              </w:rPr>
            </w:pPr>
            <w:r>
              <w:rPr>
                <w:rFonts w:ascii="Arial" w:cs="Arial" w:eastAsia="Arial" w:hAnsi="Arial"/>
                <w:sz w:val="11"/>
                <w:szCs w:val="11"/>
                <w:color w:val="auto"/>
              </w:rPr>
              <w:t>Cascade Environmental LLC</w:t>
            </w:r>
          </w:p>
        </w:tc>
        <w:tc>
          <w:tcPr>
            <w:tcW w:w="780" w:type="dxa"/>
            <w:vAlign w:val="bottom"/>
            <w:gridSpan w:val="2"/>
          </w:tcPr>
          <w:p>
            <w:pPr>
              <w:ind w:left="220"/>
              <w:spacing w:after="0" w:line="125" w:lineRule="exact"/>
              <w:rPr>
                <w:sz w:val="20"/>
                <w:szCs w:val="20"/>
                <w:color w:val="auto"/>
              </w:rPr>
            </w:pPr>
            <w:r>
              <w:rPr>
                <w:rFonts w:ascii="Arial" w:cs="Arial" w:eastAsia="Arial" w:hAnsi="Arial"/>
                <w:sz w:val="11"/>
                <w:szCs w:val="11"/>
                <w:color w:val="auto"/>
                <w:w w:val="98"/>
              </w:rPr>
              <w:t>12/30/2023</w:t>
            </w:r>
          </w:p>
        </w:tc>
        <w:tc>
          <w:tcPr>
            <w:tcW w:w="180" w:type="dxa"/>
            <w:vAlign w:val="bottom"/>
          </w:tcPr>
          <w:p>
            <w:pPr>
              <w:spacing w:after="0"/>
              <w:rPr>
                <w:sz w:val="10"/>
                <w:szCs w:val="10"/>
                <w:color w:val="auto"/>
              </w:rPr>
            </w:pPr>
          </w:p>
        </w:tc>
        <w:tc>
          <w:tcPr>
            <w:tcW w:w="2480" w:type="dxa"/>
            <w:vAlign w:val="bottom"/>
          </w:tcPr>
          <w:p>
            <w:pPr>
              <w:jc w:val="center"/>
              <w:spacing w:after="0" w:line="125" w:lineRule="exact"/>
              <w:rPr>
                <w:sz w:val="20"/>
                <w:szCs w:val="20"/>
                <w:color w:val="auto"/>
              </w:rPr>
            </w:pPr>
            <w:r>
              <w:rPr>
                <w:rFonts w:ascii="Arial" w:cs="Arial" w:eastAsia="Arial" w:hAnsi="Arial"/>
                <w:sz w:val="11"/>
                <w:szCs w:val="11"/>
                <w:color w:val="auto"/>
                <w:w w:val="89"/>
              </w:rPr>
              <w:t>Environmental Services</w:t>
            </w:r>
          </w:p>
        </w:tc>
        <w:tc>
          <w:tcPr>
            <w:tcW w:w="1080" w:type="dxa"/>
            <w:vAlign w:val="bottom"/>
            <w:gridSpan w:val="3"/>
          </w:tcPr>
          <w:p>
            <w:pPr>
              <w:jc w:val="right"/>
              <w:ind w:right="86"/>
              <w:spacing w:after="0" w:line="125" w:lineRule="exact"/>
              <w:rPr>
                <w:sz w:val="20"/>
                <w:szCs w:val="20"/>
                <w:color w:val="auto"/>
              </w:rPr>
            </w:pPr>
            <w:r>
              <w:rPr>
                <w:rFonts w:ascii="Arial" w:cs="Arial" w:eastAsia="Arial" w:hAnsi="Arial"/>
                <w:sz w:val="11"/>
                <w:szCs w:val="11"/>
                <w:color w:val="auto"/>
              </w:rPr>
              <w:t>13.00 %</w:t>
            </w:r>
          </w:p>
        </w:tc>
        <w:tc>
          <w:tcPr>
            <w:tcW w:w="8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43,844,080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Arial" w:cs="Arial" w:eastAsia="Arial" w:hAnsi="Arial"/>
                <w:sz w:val="11"/>
                <w:szCs w:val="11"/>
                <w:color w:val="auto"/>
              </w:rPr>
              <w:t>43,561,436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40,146,452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(PIK 13.00%)</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0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Total Subordinated Debt/Corporate Notes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57,808,201</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54,552,925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000" w:type="dxa"/>
            <w:vAlign w:val="bottom"/>
          </w:tcPr>
          <w:p>
            <w:pPr>
              <w:ind w:left="20"/>
              <w:spacing w:after="0" w:line="105" w:lineRule="exact"/>
              <w:rPr>
                <w:sz w:val="20"/>
                <w:szCs w:val="20"/>
                <w:color w:val="auto"/>
              </w:rPr>
            </w:pPr>
            <w:r>
              <w:rPr>
                <w:rFonts w:ascii="Arial" w:cs="Arial" w:eastAsia="Arial" w:hAnsi="Arial"/>
                <w:sz w:val="9"/>
                <w:szCs w:val="9"/>
                <w:b w:val="1"/>
                <w:bCs w:val="1"/>
                <w:color w:val="auto"/>
              </w:rPr>
              <w:t xml:space="preserve">Preferred Equity/Partnership Interests—0.8% </w:t>
            </w:r>
            <w:r>
              <w:rPr>
                <w:rFonts w:ascii="Arial" w:cs="Arial" w:eastAsia="Arial" w:hAnsi="Arial"/>
                <w:sz w:val="12"/>
                <w:szCs w:val="12"/>
                <w:b w:val="1"/>
                <w:bCs w:val="1"/>
                <w:color w:val="auto"/>
                <w:vertAlign w:val="superscript"/>
              </w:rPr>
              <w:t>(6)</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14"/>
                <w:szCs w:val="14"/>
                <w:color w:val="auto"/>
                <w:vertAlign w:val="superscript"/>
              </w:rPr>
              <w:t>(9)</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2,400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240,000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240,000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Arial" w:cs="Arial" w:eastAsia="Arial" w:hAnsi="Arial"/>
                <w:sz w:val="11"/>
                <w:szCs w:val="11"/>
                <w:color w:val="auto"/>
              </w:rPr>
              <w:t>Affinion Group Holdings, Inc. (Warrants)</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04/10/2024</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8"/>
              </w:rPr>
              <w:t>Consumer Products</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77,190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2,126,399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5" w:lineRule="exact"/>
              <w:rPr>
                <w:sz w:val="20"/>
                <w:szCs w:val="20"/>
                <w:color w:val="auto"/>
              </w:rPr>
            </w:pPr>
            <w:r>
              <w:rPr>
                <w:rFonts w:ascii="Arial" w:cs="Arial" w:eastAsia="Arial" w:hAnsi="Arial"/>
                <w:sz w:val="11"/>
                <w:szCs w:val="11"/>
                <w:color w:val="auto"/>
              </w:rPr>
              <w:t>AH Newco Equityholdings, LLC</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Education and Childcare</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6.00 %</w:t>
            </w:r>
          </w:p>
        </w:tc>
        <w:tc>
          <w:tcPr>
            <w:tcW w:w="8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211</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500,000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958,951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Cascade Environmental LLC </w:t>
            </w:r>
            <w:r>
              <w:rPr>
                <w:rFonts w:ascii="Arial" w:cs="Arial" w:eastAsia="Arial" w:hAnsi="Arial"/>
                <w:sz w:val="14"/>
                <w:szCs w:val="14"/>
                <w:color w:val="auto"/>
                <w:vertAlign w:val="superscript"/>
              </w:rPr>
              <w:t>(9)</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Environmental Services</w:t>
            </w:r>
          </w:p>
        </w:tc>
        <w:tc>
          <w:tcPr>
            <w:tcW w:w="1080" w:type="dxa"/>
            <w:vAlign w:val="bottom"/>
            <w:gridSpan w:val="3"/>
          </w:tcPr>
          <w:p>
            <w:pPr>
              <w:jc w:val="right"/>
              <w:ind w:right="86"/>
              <w:spacing w:after="0"/>
              <w:rPr>
                <w:sz w:val="20"/>
                <w:szCs w:val="20"/>
                <w:color w:val="auto"/>
              </w:rPr>
            </w:pPr>
            <w:r>
              <w:rPr>
                <w:rFonts w:ascii="Arial" w:cs="Arial" w:eastAsia="Arial" w:hAnsi="Arial"/>
                <w:sz w:val="11"/>
                <w:szCs w:val="11"/>
                <w:color w:val="auto"/>
              </w:rPr>
              <w:t>16.00 %</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178,304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17,607,478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5" w:lineRule="exact"/>
              <w:rPr>
                <w:sz w:val="20"/>
                <w:szCs w:val="20"/>
                <w:color w:val="auto"/>
              </w:rPr>
            </w:pPr>
            <w:r>
              <w:rPr>
                <w:rFonts w:ascii="Arial" w:cs="Arial" w:eastAsia="Arial" w:hAnsi="Arial"/>
                <w:sz w:val="11"/>
                <w:szCs w:val="11"/>
                <w:color w:val="auto"/>
              </w:rPr>
              <w:t>Imagine Topco, LP</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08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8.00 %</w:t>
            </w:r>
          </w:p>
        </w:tc>
        <w:tc>
          <w:tcPr>
            <w:tcW w:w="8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743,826</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743,826</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743,826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Mars Intermediate Holdings II, Inc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414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414,000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444,667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14"/>
                <w:szCs w:val="14"/>
                <w:color w:val="auto"/>
                <w:vertAlign w:val="superscript"/>
              </w:rPr>
              <w:t>(9)</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1,135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1,135,350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1,320,969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Arial" w:cs="Arial" w:eastAsia="Arial" w:hAnsi="Arial"/>
                <w:sz w:val="11"/>
                <w:szCs w:val="11"/>
                <w:color w:val="auto"/>
              </w:rPr>
              <w:t>NXOF Holdings, Inc. (Tyto Athene, LLC)</w:t>
            </w:r>
          </w:p>
        </w:tc>
        <w:tc>
          <w:tcPr>
            <w:tcW w:w="140" w:type="dxa"/>
            <w:vAlign w:val="bottom"/>
          </w:tcPr>
          <w:p>
            <w:pPr>
              <w:spacing w:after="0"/>
              <w:rPr>
                <w:sz w:val="12"/>
                <w:szCs w:val="12"/>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2"/>
                <w:szCs w:val="12"/>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2"/>
                <w:szCs w:val="12"/>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159,808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160,327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00" w:type="dxa"/>
            <w:vAlign w:val="bottom"/>
            <w:shd w:val="clear" w:color="auto" w:fill="CCECFF"/>
          </w:tcPr>
          <w:p>
            <w:pPr>
              <w:ind w:left="20"/>
              <w:spacing w:after="0"/>
              <w:rPr>
                <w:sz w:val="20"/>
                <w:szCs w:val="20"/>
                <w:color w:val="auto"/>
              </w:rPr>
            </w:pPr>
            <w:r>
              <w:rPr>
                <w:rFonts w:ascii="Arial" w:cs="Arial" w:eastAsia="Arial" w:hAnsi="Arial"/>
                <w:sz w:val="11"/>
                <w:szCs w:val="11"/>
                <w:color w:val="auto"/>
              </w:rPr>
              <w:t>ORL Holdco, Inc.</w:t>
            </w: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CECFF"/>
          </w:tcPr>
          <w:p>
            <w:pPr>
              <w:spacing w:after="0"/>
              <w:rPr>
                <w:sz w:val="12"/>
                <w:szCs w:val="12"/>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575</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57,461</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58,866</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000" w:type="dxa"/>
            <w:vAlign w:val="bottom"/>
          </w:tcPr>
          <w:p>
            <w:pPr>
              <w:ind w:left="20"/>
              <w:spacing w:after="0" w:line="105" w:lineRule="exact"/>
              <w:rPr>
                <w:sz w:val="20"/>
                <w:szCs w:val="20"/>
                <w:color w:val="auto"/>
              </w:rPr>
            </w:pPr>
            <w:r>
              <w:rPr>
                <w:rFonts w:ascii="Arial" w:cs="Arial" w:eastAsia="Arial" w:hAnsi="Arial"/>
                <w:sz w:val="11"/>
                <w:szCs w:val="11"/>
                <w:color w:val="auto"/>
              </w:rPr>
              <w:t>Signature CR Intermediate Holdco, Inc.</w:t>
            </w:r>
          </w:p>
        </w:tc>
        <w:tc>
          <w:tcPr>
            <w:tcW w:w="140" w:type="dxa"/>
            <w:vAlign w:val="bottom"/>
          </w:tcPr>
          <w:p>
            <w:pPr>
              <w:spacing w:after="0"/>
              <w:rPr>
                <w:sz w:val="9"/>
                <w:szCs w:val="9"/>
                <w:color w:val="auto"/>
              </w:rPr>
            </w:pPr>
          </w:p>
        </w:tc>
        <w:tc>
          <w:tcPr>
            <w:tcW w:w="640" w:type="dxa"/>
            <w:vAlign w:val="bottom"/>
          </w:tcPr>
          <w:p>
            <w:pPr>
              <w:ind w:left="520"/>
              <w:spacing w:after="0" w:line="10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480" w:type="dxa"/>
            <w:vAlign w:val="bottom"/>
          </w:tcPr>
          <w:p>
            <w:pPr>
              <w:jc w:val="center"/>
              <w:spacing w:after="0" w:line="105" w:lineRule="exact"/>
              <w:rPr>
                <w:sz w:val="20"/>
                <w:szCs w:val="20"/>
                <w:color w:val="auto"/>
              </w:rPr>
            </w:pPr>
            <w:r>
              <w:rPr>
                <w:rFonts w:ascii="Arial" w:cs="Arial" w:eastAsia="Arial" w:hAnsi="Arial"/>
                <w:sz w:val="11"/>
                <w:szCs w:val="11"/>
                <w:color w:val="auto"/>
                <w:w w:val="87"/>
              </w:rPr>
              <w:t>Chemicals, Plastics and Rubber</w:t>
            </w:r>
          </w:p>
        </w:tc>
        <w:tc>
          <w:tcPr>
            <w:tcW w:w="1080" w:type="dxa"/>
            <w:vAlign w:val="bottom"/>
            <w:gridSpan w:val="3"/>
          </w:tcPr>
          <w:p>
            <w:pPr>
              <w:jc w:val="right"/>
              <w:ind w:right="86"/>
              <w:spacing w:after="0" w:line="105" w:lineRule="exact"/>
              <w:rPr>
                <w:sz w:val="20"/>
                <w:szCs w:val="20"/>
                <w:color w:val="auto"/>
              </w:rPr>
            </w:pPr>
            <w:r>
              <w:rPr>
                <w:rFonts w:ascii="Arial" w:cs="Arial" w:eastAsia="Arial" w:hAnsi="Arial"/>
                <w:sz w:val="11"/>
                <w:szCs w:val="11"/>
                <w:color w:val="auto"/>
              </w:rPr>
              <w:t>11.00 %</w:t>
            </w:r>
          </w:p>
        </w:tc>
        <w:tc>
          <w:tcPr>
            <w:tcW w:w="88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1,527</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jc w:val="right"/>
              <w:spacing w:after="0" w:line="105" w:lineRule="exact"/>
              <w:rPr>
                <w:sz w:val="20"/>
                <w:szCs w:val="20"/>
                <w:color w:val="auto"/>
              </w:rPr>
            </w:pPr>
            <w:r>
              <w:rPr>
                <w:rFonts w:ascii="Arial" w:cs="Arial" w:eastAsia="Arial" w:hAnsi="Arial"/>
                <w:sz w:val="11"/>
                <w:szCs w:val="11"/>
                <w:color w:val="auto"/>
              </w:rPr>
              <w:t>1,527,026</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5" w:lineRule="exact"/>
              <w:rPr>
                <w:sz w:val="20"/>
                <w:szCs w:val="20"/>
                <w:color w:val="auto"/>
              </w:rPr>
            </w:pPr>
            <w:r>
              <w:rPr>
                <w:rFonts w:ascii="Arial" w:cs="Arial" w:eastAsia="Arial" w:hAnsi="Arial"/>
                <w:sz w:val="11"/>
                <w:szCs w:val="11"/>
                <w:color w:val="auto"/>
              </w:rPr>
              <w:t>1,427,879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(8),(11)</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7"/>
              </w:rPr>
              <w:t>Food</w:t>
            </w:r>
          </w:p>
        </w:tc>
        <w:tc>
          <w:tcPr>
            <w:tcW w:w="140" w:type="dxa"/>
            <w:vAlign w:val="bottom"/>
          </w:tcPr>
          <w:p>
            <w:pPr>
              <w:spacing w:after="0"/>
              <w:rPr>
                <w:sz w:val="13"/>
                <w:szCs w:val="13"/>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219,012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268,980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Arial" w:cs="Arial" w:eastAsia="Arial" w:hAnsi="Arial"/>
                <w:sz w:val="11"/>
                <w:szCs w:val="11"/>
                <w:color w:val="auto"/>
              </w:rPr>
              <w:t>TWD Parent Holdings, LLC</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29,804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30,797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000" w:type="dxa"/>
            <w:vAlign w:val="bottom"/>
          </w:tcPr>
          <w:p>
            <w:pPr>
              <w:ind w:left="100"/>
              <w:spacing w:after="0"/>
              <w:rPr>
                <w:sz w:val="20"/>
                <w:szCs w:val="20"/>
                <w:color w:val="auto"/>
              </w:rPr>
            </w:pPr>
            <w:r>
              <w:rPr>
                <w:rFonts w:ascii="Arial" w:cs="Arial" w:eastAsia="Arial" w:hAnsi="Arial"/>
                <w:sz w:val="11"/>
                <w:szCs w:val="11"/>
                <w:color w:val="auto"/>
              </w:rPr>
              <w:t>(The Vertex Companies, LLC)</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0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Total Preferred Equity/Partnership Interests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24,760,164</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5,655,262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000" w:type="dxa"/>
            <w:vAlign w:val="bottom"/>
          </w:tcPr>
          <w:p>
            <w:pPr>
              <w:ind w:left="20"/>
              <w:spacing w:after="0" w:line="105" w:lineRule="exact"/>
              <w:rPr>
                <w:sz w:val="20"/>
                <w:szCs w:val="20"/>
                <w:color w:val="auto"/>
              </w:rPr>
            </w:pPr>
            <w:r>
              <w:rPr>
                <w:rFonts w:ascii="Arial" w:cs="Arial" w:eastAsia="Arial" w:hAnsi="Arial"/>
                <w:sz w:val="9"/>
                <w:szCs w:val="9"/>
                <w:b w:val="1"/>
                <w:bCs w:val="1"/>
                <w:color w:val="auto"/>
              </w:rPr>
              <w:t xml:space="preserve">Common Equity/Partnership Interests/Warrants—16.2% </w:t>
            </w:r>
            <w:r>
              <w:rPr>
                <w:rFonts w:ascii="Arial" w:cs="Arial" w:eastAsia="Arial" w:hAnsi="Arial"/>
                <w:sz w:val="12"/>
                <w:szCs w:val="12"/>
                <w:b w:val="1"/>
                <w:bCs w:val="1"/>
                <w:color w:val="auto"/>
                <w:vertAlign w:val="superscript"/>
              </w:rPr>
              <w:t>(6)</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2,667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26,667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68,271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805,164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805,164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1,161,409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(7), (9)</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3"/>
                <w:szCs w:val="13"/>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194,836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5" w:lineRule="exact"/>
              <w:rPr>
                <w:sz w:val="20"/>
                <w:szCs w:val="20"/>
                <w:color w:val="auto"/>
              </w:rPr>
            </w:pPr>
            <w:r>
              <w:rPr>
                <w:rFonts w:ascii="Arial" w:cs="Arial" w:eastAsia="Arial" w:hAnsi="Arial"/>
                <w:sz w:val="11"/>
                <w:szCs w:val="11"/>
                <w:color w:val="auto"/>
              </w:rPr>
              <w:t>Altamira Intermediate Company II, Inc.</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9"/>
                <w:szCs w:val="9"/>
                <w:color w:val="auto"/>
              </w:rPr>
            </w:pPr>
          </w:p>
        </w:tc>
        <w:tc>
          <w:tcPr>
            <w:tcW w:w="940" w:type="dxa"/>
            <w:vAlign w:val="bottom"/>
            <w:gridSpan w:val="2"/>
          </w:tcPr>
          <w:p>
            <w:pPr>
              <w:jc w:val="right"/>
              <w:ind w:right="186"/>
              <w:spacing w:after="0" w:line="115" w:lineRule="exact"/>
              <w:rPr>
                <w:sz w:val="20"/>
                <w:szCs w:val="20"/>
                <w:color w:val="auto"/>
              </w:rPr>
            </w:pPr>
            <w:r>
              <w:rPr>
                <w:rFonts w:ascii="Arial" w:cs="Arial" w:eastAsia="Arial" w:hAnsi="Arial"/>
                <w:sz w:val="11"/>
                <w:szCs w:val="11"/>
                <w:color w:val="auto"/>
              </w:rPr>
              <w:t>—</w:t>
            </w:r>
          </w:p>
        </w:tc>
        <w:tc>
          <w:tcPr>
            <w:tcW w:w="8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125,000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125,000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30,522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Atlas Investment Aggregator, LLC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Telecomunications</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1,700,000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1,700,000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1,853,000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Cascade Environmental Holdings, LLC </w:t>
            </w:r>
            <w:r>
              <w:rPr>
                <w:rFonts w:ascii="Arial" w:cs="Arial" w:eastAsia="Arial" w:hAnsi="Arial"/>
                <w:sz w:val="14"/>
                <w:szCs w:val="14"/>
                <w:color w:val="auto"/>
                <w:vertAlign w:val="superscript"/>
              </w:rPr>
              <w:t>(9)</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Environmental Services</w:t>
            </w:r>
          </w:p>
        </w:tc>
        <w:tc>
          <w:tcPr>
            <w:tcW w:w="140" w:type="dxa"/>
            <w:vAlign w:val="bottom"/>
          </w:tcPr>
          <w:p>
            <w:pPr>
              <w:spacing w:after="0"/>
              <w:rPr>
                <w:sz w:val="13"/>
                <w:szCs w:val="13"/>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33,901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2,852,080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000" w:type="dxa"/>
            <w:vAlign w:val="bottom"/>
            <w:shd w:val="clear" w:color="auto" w:fill="CCECFF"/>
          </w:tcPr>
          <w:p>
            <w:pPr>
              <w:ind w:left="20"/>
              <w:spacing w:after="0" w:line="115" w:lineRule="exact"/>
              <w:rPr>
                <w:sz w:val="20"/>
                <w:szCs w:val="20"/>
                <w:color w:val="auto"/>
              </w:rPr>
            </w:pPr>
            <w:r>
              <w:rPr>
                <w:rFonts w:ascii="Arial" w:cs="Arial" w:eastAsia="Arial" w:hAnsi="Arial"/>
                <w:sz w:val="11"/>
                <w:szCs w:val="11"/>
                <w:color w:val="auto"/>
              </w:rPr>
              <w:t>CI (Allied) Investment Holdings, LLC</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9"/>
                <w:szCs w:val="9"/>
                <w:color w:val="auto"/>
              </w:rPr>
            </w:pPr>
          </w:p>
        </w:tc>
        <w:tc>
          <w:tcPr>
            <w:tcW w:w="940" w:type="dxa"/>
            <w:vAlign w:val="bottom"/>
            <w:gridSpan w:val="2"/>
          </w:tcPr>
          <w:p>
            <w:pPr>
              <w:jc w:val="right"/>
              <w:ind w:right="186"/>
              <w:spacing w:after="0" w:line="115" w:lineRule="exact"/>
              <w:rPr>
                <w:sz w:val="20"/>
                <w:szCs w:val="20"/>
                <w:color w:val="auto"/>
              </w:rPr>
            </w:pPr>
            <w:r>
              <w:rPr>
                <w:rFonts w:ascii="Arial" w:cs="Arial" w:eastAsia="Arial" w:hAnsi="Arial"/>
                <w:sz w:val="11"/>
                <w:szCs w:val="11"/>
                <w:color w:val="auto"/>
              </w:rPr>
              <w:t>—</w:t>
            </w:r>
          </w:p>
        </w:tc>
        <w:tc>
          <w:tcPr>
            <w:tcW w:w="8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120,962</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1,243,217</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612,281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3000" w:type="dxa"/>
            <w:vAlign w:val="bottom"/>
            <w:vMerge w:val="restart"/>
            <w:shd w:val="clear" w:color="auto" w:fill="CCECFF"/>
          </w:tcPr>
          <w:p>
            <w:pPr>
              <w:ind w:left="100"/>
              <w:spacing w:after="0"/>
              <w:rPr>
                <w:sz w:val="20"/>
                <w:szCs w:val="20"/>
                <w:color w:val="auto"/>
              </w:rPr>
            </w:pPr>
            <w:r>
              <w:rPr>
                <w:rFonts w:ascii="Arial" w:cs="Arial" w:eastAsia="Arial" w:hAnsi="Arial"/>
                <w:sz w:val="11"/>
                <w:szCs w:val="11"/>
                <w:color w:val="auto"/>
              </w:rPr>
              <w:t xml:space="preserve">(PRA Events, Inc.) </w:t>
            </w:r>
            <w:r>
              <w:rPr>
                <w:rFonts w:ascii="Arial" w:cs="Arial" w:eastAsia="Arial" w:hAnsi="Arial"/>
                <w:sz w:val="14"/>
                <w:szCs w:val="14"/>
                <w:color w:val="auto"/>
                <w:vertAlign w:val="superscript"/>
              </w:rPr>
              <w:t>(9)</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000" w:type="dxa"/>
            <w:vAlign w:val="bottom"/>
            <w:vMerge w:val="continue"/>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Arial" w:cs="Arial" w:eastAsia="Arial" w:hAnsi="Arial"/>
                <w:sz w:val="11"/>
                <w:szCs w:val="11"/>
                <w:color w:val="auto"/>
              </w:rPr>
              <w:t>Connatix Parent, LLC</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57,416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631,576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837,227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00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Cowboy Parent LLC</w:t>
            </w:r>
          </w:p>
        </w:tc>
        <w:tc>
          <w:tcPr>
            <w:tcW w:w="140" w:type="dxa"/>
            <w:vAlign w:val="bottom"/>
            <w:shd w:val="clear" w:color="auto" w:fill="CCECFF"/>
          </w:tcPr>
          <w:p>
            <w:pPr>
              <w:spacing w:after="0"/>
              <w:rPr>
                <w:sz w:val="10"/>
                <w:szCs w:val="10"/>
                <w:color w:val="auto"/>
              </w:rPr>
            </w:pPr>
          </w:p>
        </w:tc>
        <w:tc>
          <w:tcPr>
            <w:tcW w:w="640" w:type="dxa"/>
            <w:vAlign w:val="bottom"/>
            <w:shd w:val="clear" w:color="auto" w:fill="CCECFF"/>
          </w:tcPr>
          <w:p>
            <w:pPr>
              <w:ind w:left="520"/>
              <w:spacing w:after="0" w:line="125" w:lineRule="exact"/>
              <w:rPr>
                <w:sz w:val="20"/>
                <w:szCs w:val="20"/>
                <w:color w:val="auto"/>
              </w:rPr>
            </w:pPr>
            <w:r>
              <w:rPr>
                <w:rFonts w:ascii="Arial" w:cs="Arial" w:eastAsia="Arial" w:hAnsi="Arial"/>
                <w:sz w:val="11"/>
                <w:szCs w:val="11"/>
                <w:color w:val="auto"/>
                <w:w w:val="90"/>
              </w:rPr>
              <w:t>—</w:t>
            </w:r>
          </w:p>
        </w:tc>
        <w:tc>
          <w:tcPr>
            <w:tcW w:w="180" w:type="dxa"/>
            <w:vAlign w:val="bottom"/>
            <w:shd w:val="clear" w:color="auto" w:fill="CCECFF"/>
          </w:tcPr>
          <w:p>
            <w:pPr>
              <w:spacing w:after="0"/>
              <w:rPr>
                <w:sz w:val="10"/>
                <w:szCs w:val="10"/>
                <w:color w:val="auto"/>
              </w:rPr>
            </w:pPr>
          </w:p>
        </w:tc>
        <w:tc>
          <w:tcPr>
            <w:tcW w:w="248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94"/>
              </w:rPr>
              <w:t>Distribution</w:t>
            </w:r>
          </w:p>
        </w:tc>
        <w:tc>
          <w:tcPr>
            <w:tcW w:w="14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186"/>
              <w:spacing w:after="0" w:line="125" w:lineRule="exact"/>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22,500</w:t>
            </w:r>
          </w:p>
        </w:tc>
        <w:tc>
          <w:tcPr>
            <w:tcW w:w="1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2,250,000</w:t>
            </w:r>
          </w:p>
        </w:tc>
        <w:tc>
          <w:tcPr>
            <w:tcW w:w="1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2,263,401</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000" w:type="dxa"/>
            <w:vAlign w:val="bottom"/>
            <w:shd w:val="clear" w:color="auto" w:fill="CCECFF"/>
          </w:tcPr>
          <w:p>
            <w:pPr>
              <w:ind w:left="100"/>
              <w:spacing w:after="0"/>
              <w:rPr>
                <w:sz w:val="20"/>
                <w:szCs w:val="20"/>
                <w:color w:val="auto"/>
              </w:rPr>
            </w:pPr>
            <w:r>
              <w:rPr>
                <w:rFonts w:ascii="Arial" w:cs="Arial" w:eastAsia="Arial" w:hAnsi="Arial"/>
                <w:sz w:val="11"/>
                <w:szCs w:val="11"/>
                <w:color w:val="auto"/>
              </w:rPr>
              <w:t>(Blackhawk Industrial Distribution, Inc.)</w:t>
            </w: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000" w:type="dxa"/>
            <w:vAlign w:val="bottom"/>
          </w:tcPr>
          <w:p>
            <w:pPr>
              <w:ind w:left="20"/>
              <w:spacing w:after="0" w:line="105" w:lineRule="exact"/>
              <w:rPr>
                <w:sz w:val="20"/>
                <w:szCs w:val="20"/>
                <w:color w:val="auto"/>
              </w:rPr>
            </w:pPr>
            <w:r>
              <w:rPr>
                <w:rFonts w:ascii="Arial" w:cs="Arial" w:eastAsia="Arial" w:hAnsi="Arial"/>
                <w:sz w:val="11"/>
                <w:szCs w:val="11"/>
                <w:color w:val="auto"/>
              </w:rPr>
              <w:t>Crane 1 Acquisition Parent Holdings, L.P.</w:t>
            </w:r>
          </w:p>
        </w:tc>
        <w:tc>
          <w:tcPr>
            <w:tcW w:w="140" w:type="dxa"/>
            <w:vAlign w:val="bottom"/>
          </w:tcPr>
          <w:p>
            <w:pPr>
              <w:spacing w:after="0"/>
              <w:rPr>
                <w:sz w:val="9"/>
                <w:szCs w:val="9"/>
                <w:color w:val="auto"/>
              </w:rPr>
            </w:pPr>
          </w:p>
        </w:tc>
        <w:tc>
          <w:tcPr>
            <w:tcW w:w="640" w:type="dxa"/>
            <w:vAlign w:val="bottom"/>
          </w:tcPr>
          <w:p>
            <w:pPr>
              <w:ind w:left="520"/>
              <w:spacing w:after="0" w:line="10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480" w:type="dxa"/>
            <w:vAlign w:val="bottom"/>
          </w:tcPr>
          <w:p>
            <w:pPr>
              <w:jc w:val="center"/>
              <w:spacing w:after="0" w:line="105" w:lineRule="exact"/>
              <w:rPr>
                <w:sz w:val="20"/>
                <w:szCs w:val="20"/>
                <w:color w:val="auto"/>
              </w:rPr>
            </w:pPr>
            <w:r>
              <w:rPr>
                <w:rFonts w:ascii="Arial" w:cs="Arial" w:eastAsia="Arial" w:hAnsi="Arial"/>
                <w:sz w:val="11"/>
                <w:szCs w:val="11"/>
                <w:color w:val="auto"/>
                <w:w w:val="87"/>
              </w:rPr>
              <w:t>Personal, Food and Miscellaneous Services</w:t>
            </w:r>
          </w:p>
        </w:tc>
        <w:tc>
          <w:tcPr>
            <w:tcW w:w="140" w:type="dxa"/>
            <w:vAlign w:val="bottom"/>
          </w:tcPr>
          <w:p>
            <w:pPr>
              <w:spacing w:after="0"/>
              <w:rPr>
                <w:sz w:val="9"/>
                <w:szCs w:val="9"/>
                <w:color w:val="auto"/>
              </w:rPr>
            </w:pPr>
          </w:p>
        </w:tc>
        <w:tc>
          <w:tcPr>
            <w:tcW w:w="940" w:type="dxa"/>
            <w:vAlign w:val="bottom"/>
            <w:gridSpan w:val="2"/>
          </w:tcPr>
          <w:p>
            <w:pPr>
              <w:jc w:val="right"/>
              <w:ind w:right="186"/>
              <w:spacing w:after="0" w:line="105" w:lineRule="exact"/>
              <w:rPr>
                <w:sz w:val="20"/>
                <w:szCs w:val="20"/>
                <w:color w:val="auto"/>
              </w:rPr>
            </w:pPr>
            <w:r>
              <w:rPr>
                <w:rFonts w:ascii="Arial" w:cs="Arial" w:eastAsia="Arial" w:hAnsi="Arial"/>
                <w:sz w:val="11"/>
                <w:szCs w:val="11"/>
                <w:color w:val="auto"/>
              </w:rPr>
              <w:t>—</w:t>
            </w:r>
          </w:p>
        </w:tc>
        <w:tc>
          <w:tcPr>
            <w:tcW w:w="88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113</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jc w:val="right"/>
              <w:spacing w:after="0" w:line="105" w:lineRule="exact"/>
              <w:rPr>
                <w:sz w:val="20"/>
                <w:szCs w:val="20"/>
                <w:color w:val="auto"/>
              </w:rPr>
            </w:pPr>
            <w:r>
              <w:rPr>
                <w:rFonts w:ascii="Arial" w:cs="Arial" w:eastAsia="Arial" w:hAnsi="Arial"/>
                <w:sz w:val="11"/>
                <w:szCs w:val="11"/>
                <w:color w:val="auto"/>
              </w:rPr>
              <w:t>104,000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5" w:lineRule="exact"/>
              <w:rPr>
                <w:sz w:val="20"/>
                <w:szCs w:val="20"/>
                <w:color w:val="auto"/>
              </w:rPr>
            </w:pPr>
            <w:r>
              <w:rPr>
                <w:rFonts w:ascii="Arial" w:cs="Arial" w:eastAsia="Arial" w:hAnsi="Arial"/>
                <w:sz w:val="11"/>
                <w:szCs w:val="11"/>
                <w:color w:val="auto"/>
              </w:rPr>
              <w:t>114,651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Crash Champion Holdings, LLC </w:t>
            </w:r>
            <w:r>
              <w:rPr>
                <w:rFonts w:ascii="Arial" w:cs="Arial" w:eastAsia="Arial" w:hAnsi="Arial"/>
                <w:sz w:val="14"/>
                <w:szCs w:val="14"/>
                <w:color w:val="auto"/>
                <w:vertAlign w:val="superscript"/>
              </w:rPr>
              <w:t>(9)</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0"/>
              </w:rPr>
              <w:t>Auto Sector</w:t>
            </w:r>
          </w:p>
        </w:tc>
        <w:tc>
          <w:tcPr>
            <w:tcW w:w="140" w:type="dxa"/>
            <w:vAlign w:val="bottom"/>
          </w:tcPr>
          <w:p>
            <w:pPr>
              <w:spacing w:after="0"/>
              <w:rPr>
                <w:sz w:val="13"/>
                <w:szCs w:val="13"/>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327,778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714,550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5" w:lineRule="exact"/>
              <w:rPr>
                <w:sz w:val="20"/>
                <w:szCs w:val="20"/>
                <w:color w:val="auto"/>
              </w:rPr>
            </w:pPr>
            <w:r>
              <w:rPr>
                <w:rFonts w:ascii="Arial" w:cs="Arial" w:eastAsia="Arial" w:hAnsi="Arial"/>
                <w:sz w:val="11"/>
                <w:szCs w:val="11"/>
                <w:color w:val="auto"/>
              </w:rPr>
              <w:t>Delta InvestCo LP</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89"/>
              </w:rPr>
              <w:t>Telecommunications</w:t>
            </w:r>
          </w:p>
        </w:tc>
        <w:tc>
          <w:tcPr>
            <w:tcW w:w="140" w:type="dxa"/>
            <w:vAlign w:val="bottom"/>
          </w:tcPr>
          <w:p>
            <w:pPr>
              <w:spacing w:after="0"/>
              <w:rPr>
                <w:sz w:val="9"/>
                <w:szCs w:val="9"/>
                <w:color w:val="auto"/>
              </w:rPr>
            </w:pPr>
          </w:p>
        </w:tc>
        <w:tc>
          <w:tcPr>
            <w:tcW w:w="940" w:type="dxa"/>
            <w:vAlign w:val="bottom"/>
            <w:gridSpan w:val="2"/>
          </w:tcPr>
          <w:p>
            <w:pPr>
              <w:jc w:val="right"/>
              <w:ind w:right="186"/>
              <w:spacing w:after="0" w:line="115" w:lineRule="exact"/>
              <w:rPr>
                <w:sz w:val="20"/>
                <w:szCs w:val="20"/>
                <w:color w:val="auto"/>
              </w:rPr>
            </w:pPr>
            <w:r>
              <w:rPr>
                <w:rFonts w:ascii="Arial" w:cs="Arial" w:eastAsia="Arial" w:hAnsi="Arial"/>
                <w:sz w:val="11"/>
                <w:szCs w:val="11"/>
                <w:color w:val="auto"/>
              </w:rPr>
              <w:t>—</w:t>
            </w:r>
          </w:p>
        </w:tc>
        <w:tc>
          <w:tcPr>
            <w:tcW w:w="8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698,889</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698,889</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1,135,361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00" w:type="dxa"/>
            <w:vAlign w:val="bottom"/>
          </w:tcPr>
          <w:p>
            <w:pPr>
              <w:ind w:left="100"/>
              <w:spacing w:after="0" w:line="155" w:lineRule="exact"/>
              <w:rPr>
                <w:sz w:val="20"/>
                <w:szCs w:val="20"/>
                <w:color w:val="auto"/>
              </w:rPr>
            </w:pPr>
            <w:r>
              <w:rPr>
                <w:rFonts w:ascii="Arial" w:cs="Arial" w:eastAsia="Arial" w:hAnsi="Arial"/>
                <w:sz w:val="11"/>
                <w:szCs w:val="11"/>
                <w:color w:val="auto"/>
              </w:rPr>
              <w:t xml:space="preserve">(Sigma Defense Systems, LLC) </w:t>
            </w:r>
            <w:r>
              <w:rPr>
                <w:rFonts w:ascii="Arial" w:cs="Arial" w:eastAsia="Arial" w:hAnsi="Arial"/>
                <w:sz w:val="14"/>
                <w:szCs w:val="14"/>
                <w:color w:val="auto"/>
                <w:vertAlign w:val="superscript"/>
              </w:rPr>
              <w:t>(9)</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5" w:lineRule="exact"/>
              <w:rPr>
                <w:sz w:val="20"/>
                <w:szCs w:val="20"/>
                <w:color w:val="auto"/>
              </w:rPr>
            </w:pPr>
            <w:r>
              <w:rPr>
                <w:rFonts w:ascii="Arial" w:cs="Arial" w:eastAsia="Arial" w:hAnsi="Arial"/>
                <w:sz w:val="11"/>
                <w:szCs w:val="11"/>
                <w:color w:val="auto"/>
              </w:rPr>
              <w:t>Delta InvestCo LP</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89"/>
              </w:rPr>
              <w:t>Telecommunications</w:t>
            </w:r>
          </w:p>
        </w:tc>
        <w:tc>
          <w:tcPr>
            <w:tcW w:w="140" w:type="dxa"/>
            <w:vAlign w:val="bottom"/>
          </w:tcPr>
          <w:p>
            <w:pPr>
              <w:spacing w:after="0"/>
              <w:rPr>
                <w:sz w:val="9"/>
                <w:szCs w:val="9"/>
                <w:color w:val="auto"/>
              </w:rPr>
            </w:pPr>
          </w:p>
        </w:tc>
        <w:tc>
          <w:tcPr>
            <w:tcW w:w="940" w:type="dxa"/>
            <w:vAlign w:val="bottom"/>
            <w:gridSpan w:val="2"/>
          </w:tcPr>
          <w:p>
            <w:pPr>
              <w:jc w:val="right"/>
              <w:ind w:right="186"/>
              <w:spacing w:after="0" w:line="115" w:lineRule="exact"/>
              <w:rPr>
                <w:sz w:val="20"/>
                <w:szCs w:val="20"/>
                <w:color w:val="auto"/>
              </w:rPr>
            </w:pPr>
            <w:r>
              <w:rPr>
                <w:rFonts w:ascii="Arial" w:cs="Arial" w:eastAsia="Arial" w:hAnsi="Arial"/>
                <w:sz w:val="11"/>
                <w:szCs w:val="11"/>
                <w:color w:val="auto"/>
              </w:rPr>
              <w:t>—</w:t>
            </w:r>
          </w:p>
        </w:tc>
        <w:tc>
          <w:tcPr>
            <w:tcW w:w="8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442,155</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right"/>
              <w:ind w:right="60"/>
              <w:spacing w:after="0" w:line="11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
        </w:trPr>
        <w:tc>
          <w:tcPr>
            <w:tcW w:w="3000" w:type="dxa"/>
            <w:vAlign w:val="bottom"/>
            <w:vMerge w:val="restart"/>
          </w:tcPr>
          <w:p>
            <w:pPr>
              <w:ind w:left="100"/>
              <w:spacing w:after="0" w:line="135" w:lineRule="exact"/>
              <w:rPr>
                <w:sz w:val="20"/>
                <w:szCs w:val="20"/>
                <w:color w:val="auto"/>
              </w:rPr>
            </w:pPr>
            <w:r>
              <w:rPr>
                <w:rFonts w:ascii="Arial" w:cs="Arial" w:eastAsia="Arial" w:hAnsi="Arial"/>
                <w:sz w:val="11"/>
                <w:szCs w:val="11"/>
                <w:color w:val="auto"/>
              </w:rPr>
              <w:t xml:space="preserve">(Sigma Defense Systems, LLC) </w:t>
            </w:r>
            <w:r>
              <w:rPr>
                <w:rFonts w:ascii="Arial" w:cs="Arial" w:eastAsia="Arial" w:hAnsi="Arial"/>
                <w:sz w:val="14"/>
                <w:szCs w:val="14"/>
                <w:color w:val="auto"/>
                <w:vertAlign w:val="superscript"/>
              </w:rPr>
              <w:t>(7), (9)</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3000" w:type="dxa"/>
            <w:vAlign w:val="bottom"/>
            <w:vMerge w:val="continue"/>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248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88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7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4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000" w:type="dxa"/>
            <w:vAlign w:val="bottom"/>
          </w:tcPr>
          <w:p>
            <w:pPr>
              <w:ind w:left="20"/>
              <w:spacing w:after="0" w:line="105" w:lineRule="exact"/>
              <w:rPr>
                <w:sz w:val="20"/>
                <w:szCs w:val="20"/>
                <w:color w:val="auto"/>
              </w:rPr>
            </w:pPr>
            <w:r>
              <w:rPr>
                <w:rFonts w:ascii="Arial" w:cs="Arial" w:eastAsia="Arial" w:hAnsi="Arial"/>
                <w:sz w:val="9"/>
                <w:szCs w:val="9"/>
                <w:color w:val="auto"/>
              </w:rPr>
              <w:t xml:space="preserve">ECM Investors, LLC </w:t>
            </w:r>
            <w:r>
              <w:rPr>
                <w:rFonts w:ascii="Arial" w:cs="Arial" w:eastAsia="Arial" w:hAnsi="Arial"/>
                <w:sz w:val="12"/>
                <w:szCs w:val="12"/>
                <w:color w:val="auto"/>
                <w:vertAlign w:val="superscript"/>
              </w:rPr>
              <w:t>(9)</w:t>
            </w:r>
          </w:p>
        </w:tc>
        <w:tc>
          <w:tcPr>
            <w:tcW w:w="140" w:type="dxa"/>
            <w:vAlign w:val="bottom"/>
          </w:tcPr>
          <w:p>
            <w:pPr>
              <w:spacing w:after="0"/>
              <w:rPr>
                <w:sz w:val="9"/>
                <w:szCs w:val="9"/>
                <w:color w:val="auto"/>
              </w:rPr>
            </w:pPr>
          </w:p>
        </w:tc>
        <w:tc>
          <w:tcPr>
            <w:tcW w:w="640" w:type="dxa"/>
            <w:vAlign w:val="bottom"/>
          </w:tcPr>
          <w:p>
            <w:pPr>
              <w:ind w:left="520"/>
              <w:spacing w:after="0" w:line="10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480" w:type="dxa"/>
            <w:vAlign w:val="bottom"/>
          </w:tcPr>
          <w:p>
            <w:pPr>
              <w:jc w:val="center"/>
              <w:spacing w:after="0" w:line="105" w:lineRule="exact"/>
              <w:rPr>
                <w:sz w:val="20"/>
                <w:szCs w:val="20"/>
                <w:color w:val="auto"/>
              </w:rPr>
            </w:pPr>
            <w:r>
              <w:rPr>
                <w:rFonts w:ascii="Arial" w:cs="Arial" w:eastAsia="Arial" w:hAnsi="Arial"/>
                <w:sz w:val="11"/>
                <w:szCs w:val="11"/>
                <w:color w:val="auto"/>
                <w:w w:val="89"/>
              </w:rPr>
              <w:t>Electronics</w:t>
            </w:r>
          </w:p>
        </w:tc>
        <w:tc>
          <w:tcPr>
            <w:tcW w:w="140" w:type="dxa"/>
            <w:vAlign w:val="bottom"/>
          </w:tcPr>
          <w:p>
            <w:pPr>
              <w:spacing w:after="0"/>
              <w:rPr>
                <w:sz w:val="9"/>
                <w:szCs w:val="9"/>
                <w:color w:val="auto"/>
              </w:rPr>
            </w:pPr>
          </w:p>
        </w:tc>
        <w:tc>
          <w:tcPr>
            <w:tcW w:w="940" w:type="dxa"/>
            <w:vAlign w:val="bottom"/>
            <w:gridSpan w:val="2"/>
          </w:tcPr>
          <w:p>
            <w:pPr>
              <w:jc w:val="right"/>
              <w:ind w:right="186"/>
              <w:spacing w:after="0" w:line="105" w:lineRule="exact"/>
              <w:rPr>
                <w:sz w:val="20"/>
                <w:szCs w:val="20"/>
                <w:color w:val="auto"/>
              </w:rPr>
            </w:pPr>
            <w:r>
              <w:rPr>
                <w:rFonts w:ascii="Arial" w:cs="Arial" w:eastAsia="Arial" w:hAnsi="Arial"/>
                <w:sz w:val="11"/>
                <w:szCs w:val="11"/>
                <w:color w:val="auto"/>
              </w:rPr>
              <w:t>—</w:t>
            </w:r>
          </w:p>
        </w:tc>
        <w:tc>
          <w:tcPr>
            <w:tcW w:w="88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167,537</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jc w:val="right"/>
              <w:spacing w:after="0" w:line="105" w:lineRule="exact"/>
              <w:rPr>
                <w:sz w:val="20"/>
                <w:szCs w:val="20"/>
                <w:color w:val="auto"/>
              </w:rPr>
            </w:pPr>
            <w:r>
              <w:rPr>
                <w:rFonts w:ascii="Arial" w:cs="Arial" w:eastAsia="Arial" w:hAnsi="Arial"/>
                <w:sz w:val="11"/>
                <w:szCs w:val="11"/>
                <w:color w:val="auto"/>
              </w:rPr>
              <w:t>40,735</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5" w:lineRule="exact"/>
              <w:rPr>
                <w:sz w:val="20"/>
                <w:szCs w:val="20"/>
                <w:color w:val="auto"/>
              </w:rPr>
            </w:pPr>
            <w:r>
              <w:rPr>
                <w:rFonts w:ascii="Arial" w:cs="Arial" w:eastAsia="Arial" w:hAnsi="Arial"/>
                <w:sz w:val="11"/>
                <w:szCs w:val="11"/>
                <w:color w:val="auto"/>
              </w:rPr>
              <w:t>453,589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14"/>
                <w:szCs w:val="14"/>
                <w:color w:val="auto"/>
                <w:vertAlign w:val="superscript"/>
              </w:rPr>
              <w:t>(11)</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1,004,625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1,268,600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5,835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583,506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1,595,954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(7),(9)</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1,568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3000" w:type="dxa"/>
            <w:vAlign w:val="bottom"/>
          </w:tcPr>
          <w:p>
            <w:pPr>
              <w:ind w:left="20"/>
              <w:spacing w:after="0"/>
              <w:rPr>
                <w:sz w:val="20"/>
                <w:szCs w:val="20"/>
                <w:color w:val="auto"/>
              </w:rPr>
            </w:pPr>
            <w:r>
              <w:rPr>
                <w:rFonts w:ascii="Arial" w:cs="Arial" w:eastAsia="Arial" w:hAnsi="Arial"/>
                <w:sz w:val="11"/>
                <w:szCs w:val="11"/>
                <w:color w:val="auto"/>
              </w:rPr>
              <w:t xml:space="preserve">FedHC InvestCo II LP </w:t>
            </w:r>
            <w:r>
              <w:rPr>
                <w:rFonts w:ascii="Arial" w:cs="Arial" w:eastAsia="Arial" w:hAnsi="Arial"/>
                <w:sz w:val="14"/>
                <w:szCs w:val="14"/>
                <w:color w:val="auto"/>
                <w:vertAlign w:val="superscript"/>
              </w:rPr>
              <w:t>(9)</w:t>
            </w:r>
          </w:p>
        </w:tc>
        <w:tc>
          <w:tcPr>
            <w:tcW w:w="14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47,024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5,290,196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5,290,196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Arial" w:cs="Arial" w:eastAsia="Arial" w:hAnsi="Arial"/>
                <w:sz w:val="11"/>
                <w:szCs w:val="11"/>
                <w:color w:val="auto"/>
              </w:rPr>
              <w:t>Gauge Lash Coinvest LLC</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Consumer Products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889,376</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135,598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4,586,956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Arial" w:cs="Arial" w:eastAsia="Arial" w:hAnsi="Arial"/>
                <w:sz w:val="11"/>
                <w:szCs w:val="11"/>
                <w:color w:val="auto"/>
              </w:rPr>
              <w:t>Gauge Schlesinger Coinvest, LLC</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8,896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14,914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Arial" w:cs="Arial" w:eastAsia="Arial" w:hAnsi="Arial"/>
                <w:sz w:val="11"/>
                <w:szCs w:val="11"/>
                <w:color w:val="auto"/>
              </w:rPr>
              <w:t>Gauge TVC Coinvest, LLC</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Transportation</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810,645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3,284,630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00" w:type="dxa"/>
            <w:vAlign w:val="bottom"/>
          </w:tcPr>
          <w:p>
            <w:pPr>
              <w:ind w:left="100"/>
              <w:spacing w:after="0" w:line="105" w:lineRule="exact"/>
              <w:rPr>
                <w:sz w:val="20"/>
                <w:szCs w:val="20"/>
                <w:color w:val="auto"/>
              </w:rPr>
            </w:pPr>
            <w:r>
              <w:rPr>
                <w:rFonts w:ascii="Arial" w:cs="Arial" w:eastAsia="Arial" w:hAnsi="Arial"/>
                <w:sz w:val="11"/>
                <w:szCs w:val="11"/>
                <w:color w:val="auto"/>
              </w:rPr>
              <w:t>(TVC Enterprises, LLC)</w:t>
            </w:r>
          </w:p>
        </w:tc>
        <w:tc>
          <w:tcPr>
            <w:tcW w:w="14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248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88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7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4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000" w:type="dxa"/>
            <w:vAlign w:val="bottom"/>
          </w:tcPr>
          <w:p>
            <w:pPr>
              <w:ind w:left="20"/>
              <w:spacing w:after="0" w:line="125"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4"/>
                <w:szCs w:val="14"/>
                <w:color w:val="auto"/>
                <w:vertAlign w:val="superscript"/>
              </w:rPr>
              <w:t>(9)</w:t>
            </w:r>
          </w:p>
        </w:tc>
        <w:tc>
          <w:tcPr>
            <w:tcW w:w="140" w:type="dxa"/>
            <w:vAlign w:val="bottom"/>
          </w:tcPr>
          <w:p>
            <w:pPr>
              <w:spacing w:after="0"/>
              <w:rPr>
                <w:sz w:val="10"/>
                <w:szCs w:val="10"/>
                <w:color w:val="auto"/>
              </w:rPr>
            </w:pPr>
          </w:p>
        </w:tc>
        <w:tc>
          <w:tcPr>
            <w:tcW w:w="640" w:type="dxa"/>
            <w:vAlign w:val="bottom"/>
          </w:tcPr>
          <w:p>
            <w:pPr>
              <w:ind w:left="520"/>
              <w:spacing w:after="0" w:line="12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0"/>
                <w:szCs w:val="10"/>
                <w:color w:val="auto"/>
              </w:rPr>
            </w:pPr>
          </w:p>
        </w:tc>
        <w:tc>
          <w:tcPr>
            <w:tcW w:w="248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0"/>
                <w:szCs w:val="10"/>
                <w:color w:val="auto"/>
              </w:rPr>
            </w:pPr>
          </w:p>
        </w:tc>
        <w:tc>
          <w:tcPr>
            <w:tcW w:w="940" w:type="dxa"/>
            <w:vAlign w:val="bottom"/>
            <w:gridSpan w:val="2"/>
          </w:tcPr>
          <w:p>
            <w:pPr>
              <w:jc w:val="right"/>
              <w:ind w:right="186"/>
              <w:spacing w:after="0" w:line="125" w:lineRule="exact"/>
              <w:rPr>
                <w:sz w:val="20"/>
                <w:szCs w:val="20"/>
                <w:color w:val="auto"/>
              </w:rPr>
            </w:pPr>
            <w:r>
              <w:rPr>
                <w:rFonts w:ascii="Arial" w:cs="Arial" w:eastAsia="Arial" w:hAnsi="Arial"/>
                <w:sz w:val="11"/>
                <w:szCs w:val="11"/>
                <w:color w:val="auto"/>
              </w:rPr>
              <w:t>—</w:t>
            </w:r>
          </w:p>
        </w:tc>
        <w:tc>
          <w:tcPr>
            <w:tcW w:w="8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2,434</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Arial" w:cs="Arial" w:eastAsia="Arial" w:hAnsi="Arial"/>
                <w:sz w:val="11"/>
                <w:szCs w:val="11"/>
                <w:color w:val="auto"/>
              </w:rPr>
              <w:t>1,002,556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577,304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000" w:type="dxa"/>
            <w:vAlign w:val="bottom"/>
            <w:shd w:val="clear" w:color="auto" w:fill="CCECFF"/>
          </w:tcPr>
          <w:p>
            <w:pPr>
              <w:ind w:left="20"/>
              <w:spacing w:after="0" w:line="115" w:lineRule="exact"/>
              <w:rPr>
                <w:sz w:val="20"/>
                <w:szCs w:val="20"/>
                <w:color w:val="auto"/>
              </w:rPr>
            </w:pPr>
            <w:r>
              <w:rPr>
                <w:rFonts w:ascii="Arial" w:cs="Arial" w:eastAsia="Arial" w:hAnsi="Arial"/>
                <w:sz w:val="11"/>
                <w:szCs w:val="11"/>
                <w:color w:val="auto"/>
              </w:rPr>
              <w:t>Go Dawgs Capital III, LP</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94"/>
              </w:rPr>
              <w:t>Building Materials</w:t>
            </w:r>
          </w:p>
        </w:tc>
        <w:tc>
          <w:tcPr>
            <w:tcW w:w="140" w:type="dxa"/>
            <w:vAlign w:val="bottom"/>
          </w:tcPr>
          <w:p>
            <w:pPr>
              <w:spacing w:after="0"/>
              <w:rPr>
                <w:sz w:val="9"/>
                <w:szCs w:val="9"/>
                <w:color w:val="auto"/>
              </w:rPr>
            </w:pPr>
          </w:p>
        </w:tc>
        <w:tc>
          <w:tcPr>
            <w:tcW w:w="940" w:type="dxa"/>
            <w:vAlign w:val="bottom"/>
            <w:gridSpan w:val="2"/>
          </w:tcPr>
          <w:p>
            <w:pPr>
              <w:jc w:val="right"/>
              <w:ind w:right="186"/>
              <w:spacing w:after="0" w:line="115" w:lineRule="exact"/>
              <w:rPr>
                <w:sz w:val="20"/>
                <w:szCs w:val="20"/>
                <w:color w:val="auto"/>
              </w:rPr>
            </w:pPr>
            <w:r>
              <w:rPr>
                <w:rFonts w:ascii="Arial" w:cs="Arial" w:eastAsia="Arial" w:hAnsi="Arial"/>
                <w:sz w:val="11"/>
                <w:szCs w:val="11"/>
                <w:color w:val="auto"/>
              </w:rPr>
              <w:t>—</w:t>
            </w:r>
          </w:p>
        </w:tc>
        <w:tc>
          <w:tcPr>
            <w:tcW w:w="8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675,325</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675,325</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898,182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3000" w:type="dxa"/>
            <w:vAlign w:val="bottom"/>
            <w:vMerge w:val="restart"/>
            <w:shd w:val="clear" w:color="auto" w:fill="CCECFF"/>
          </w:tcPr>
          <w:p>
            <w:pPr>
              <w:ind w:left="10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14"/>
                <w:szCs w:val="14"/>
                <w:color w:val="auto"/>
                <w:vertAlign w:val="superscript"/>
              </w:rPr>
              <w:t>(9)</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000" w:type="dxa"/>
            <w:vAlign w:val="bottom"/>
            <w:vMerge w:val="continue"/>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000" w:type="dxa"/>
            <w:vAlign w:val="bottom"/>
          </w:tcPr>
          <w:p>
            <w:pPr>
              <w:ind w:left="20"/>
              <w:spacing w:after="0" w:line="125" w:lineRule="exact"/>
              <w:rPr>
                <w:sz w:val="20"/>
                <w:szCs w:val="20"/>
                <w:color w:val="auto"/>
              </w:rPr>
            </w:pPr>
            <w:r>
              <w:rPr>
                <w:rFonts w:ascii="Arial" w:cs="Arial" w:eastAsia="Arial" w:hAnsi="Arial"/>
                <w:sz w:val="11"/>
                <w:szCs w:val="11"/>
                <w:color w:val="auto"/>
              </w:rPr>
              <w:t>Green Veracity Holdings, LP - Class A</w:t>
            </w:r>
          </w:p>
        </w:tc>
        <w:tc>
          <w:tcPr>
            <w:tcW w:w="140" w:type="dxa"/>
            <w:vAlign w:val="bottom"/>
          </w:tcPr>
          <w:p>
            <w:pPr>
              <w:spacing w:after="0"/>
              <w:rPr>
                <w:sz w:val="10"/>
                <w:szCs w:val="10"/>
                <w:color w:val="auto"/>
              </w:rPr>
            </w:pPr>
          </w:p>
        </w:tc>
        <w:tc>
          <w:tcPr>
            <w:tcW w:w="640" w:type="dxa"/>
            <w:vAlign w:val="bottom"/>
          </w:tcPr>
          <w:p>
            <w:pPr>
              <w:ind w:left="520"/>
              <w:spacing w:after="0" w:line="12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0"/>
                <w:szCs w:val="10"/>
                <w:color w:val="auto"/>
              </w:rPr>
            </w:pPr>
          </w:p>
        </w:tc>
        <w:tc>
          <w:tcPr>
            <w:tcW w:w="248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0"/>
                <w:szCs w:val="10"/>
                <w:color w:val="auto"/>
              </w:rPr>
            </w:pPr>
          </w:p>
        </w:tc>
        <w:tc>
          <w:tcPr>
            <w:tcW w:w="940" w:type="dxa"/>
            <w:vAlign w:val="bottom"/>
            <w:gridSpan w:val="2"/>
          </w:tcPr>
          <w:p>
            <w:pPr>
              <w:jc w:val="right"/>
              <w:ind w:right="186"/>
              <w:spacing w:after="0" w:line="125" w:lineRule="exact"/>
              <w:rPr>
                <w:sz w:val="20"/>
                <w:szCs w:val="20"/>
                <w:color w:val="auto"/>
              </w:rPr>
            </w:pPr>
            <w:r>
              <w:rPr>
                <w:rFonts w:ascii="Arial" w:cs="Arial" w:eastAsia="Arial" w:hAnsi="Arial"/>
                <w:sz w:val="11"/>
                <w:szCs w:val="11"/>
                <w:color w:val="auto"/>
              </w:rPr>
              <w:t>—</w:t>
            </w:r>
          </w:p>
        </w:tc>
        <w:tc>
          <w:tcPr>
            <w:tcW w:w="8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15,000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Arial" w:cs="Arial" w:eastAsia="Arial" w:hAnsi="Arial"/>
                <w:sz w:val="11"/>
                <w:szCs w:val="11"/>
                <w:color w:val="auto"/>
              </w:rPr>
              <w:t>1,500,000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5,737,122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000" w:type="dxa"/>
            <w:vAlign w:val="bottom"/>
          </w:tcPr>
          <w:p>
            <w:pPr>
              <w:ind w:left="100"/>
              <w:spacing w:after="0" w:line="115" w:lineRule="exact"/>
              <w:rPr>
                <w:sz w:val="20"/>
                <w:szCs w:val="20"/>
                <w:color w:val="auto"/>
              </w:rPr>
            </w:pPr>
            <w:r>
              <w:rPr>
                <w:rFonts w:ascii="Arial" w:cs="Arial" w:eastAsia="Arial" w:hAnsi="Arial"/>
                <w:sz w:val="11"/>
                <w:szCs w:val="11"/>
                <w:color w:val="auto"/>
              </w:rPr>
              <w:t>(VT Topco, Inc.)</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000" w:type="dxa"/>
            <w:vAlign w:val="bottom"/>
          </w:tcPr>
          <w:p>
            <w:pPr>
              <w:ind w:left="20"/>
              <w:spacing w:after="0"/>
              <w:rPr>
                <w:sz w:val="20"/>
                <w:szCs w:val="20"/>
                <w:color w:val="auto"/>
              </w:rPr>
            </w:pPr>
            <w:r>
              <w:rPr>
                <w:rFonts w:ascii="Arial" w:cs="Arial" w:eastAsia="Arial" w:hAnsi="Arial"/>
                <w:sz w:val="11"/>
                <w:szCs w:val="11"/>
                <w:color w:val="auto"/>
              </w:rPr>
              <w:t xml:space="preserve">Hancock Claims Consultants Investors, LLC </w:t>
            </w:r>
            <w:r>
              <w:rPr>
                <w:rFonts w:ascii="Arial" w:cs="Arial" w:eastAsia="Arial" w:hAnsi="Arial"/>
                <w:sz w:val="14"/>
                <w:szCs w:val="14"/>
                <w:color w:val="auto"/>
                <w:vertAlign w:val="superscript"/>
              </w:rPr>
              <w:t>(9)</w:t>
            </w:r>
          </w:p>
        </w:tc>
        <w:tc>
          <w:tcPr>
            <w:tcW w:w="14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40" w:type="dxa"/>
            <w:vAlign w:val="bottom"/>
          </w:tcPr>
          <w:p>
            <w:pPr>
              <w:spacing w:after="0"/>
              <w:rPr>
                <w:sz w:val="14"/>
                <w:szCs w:val="14"/>
                <w:color w:val="auto"/>
              </w:rPr>
            </w:pPr>
          </w:p>
        </w:tc>
        <w:tc>
          <w:tcPr>
            <w:tcW w:w="940" w:type="dxa"/>
            <w:vAlign w:val="bottom"/>
            <w:gridSpan w:val="2"/>
          </w:tcPr>
          <w:p>
            <w:pPr>
              <w:jc w:val="right"/>
              <w:ind w:right="18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450,000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450,000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614,151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-7183120</wp:posOffset>
            </wp:positionV>
            <wp:extent cx="7132320" cy="857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-7011670</wp:posOffset>
            </wp:positionV>
            <wp:extent cx="7132320" cy="857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-6840220</wp:posOffset>
            </wp:positionV>
            <wp:extent cx="7132320" cy="85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-6668770</wp:posOffset>
            </wp:positionV>
            <wp:extent cx="7132320" cy="857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-6497320</wp:posOffset>
            </wp:positionV>
            <wp:extent cx="7132320" cy="857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-6325870</wp:posOffset>
            </wp:positionV>
            <wp:extent cx="7132320" cy="857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-6154420</wp:posOffset>
            </wp:positionV>
            <wp:extent cx="7132320" cy="857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-5982970</wp:posOffset>
            </wp:positionV>
            <wp:extent cx="7132320" cy="857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-5811520</wp:posOffset>
            </wp:positionV>
            <wp:extent cx="7132320" cy="857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-5542915</wp:posOffset>
            </wp:positionV>
            <wp:extent cx="2540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-5542915</wp:posOffset>
            </wp:positionV>
            <wp:extent cx="2603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-4668520</wp:posOffset>
            </wp:positionV>
            <wp:extent cx="2540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-4668520</wp:posOffset>
            </wp:positionV>
            <wp:extent cx="2603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-4225290</wp:posOffset>
            </wp:positionV>
            <wp:extent cx="7132320" cy="946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-4045585</wp:posOffset>
            </wp:positionV>
            <wp:extent cx="7132320" cy="857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-3874135</wp:posOffset>
            </wp:positionV>
            <wp:extent cx="7132320" cy="857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-3702685</wp:posOffset>
            </wp:positionV>
            <wp:extent cx="7132320" cy="857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-3531235</wp:posOffset>
            </wp:positionV>
            <wp:extent cx="7132320" cy="857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-3188335</wp:posOffset>
            </wp:positionV>
            <wp:extent cx="7132320" cy="857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-2922270</wp:posOffset>
            </wp:positionV>
            <wp:extent cx="7132320" cy="946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-2742565</wp:posOffset>
            </wp:positionV>
            <wp:extent cx="7132320" cy="857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7132320" cy="857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-2399665</wp:posOffset>
            </wp:positionV>
            <wp:extent cx="7132320" cy="857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-2228215</wp:posOffset>
            </wp:positionV>
            <wp:extent cx="7132320" cy="857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857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-1456690</wp:posOffset>
            </wp:positionV>
            <wp:extent cx="713232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857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857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1903095"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0309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57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57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vMerge w:val="restart"/>
          </w:tcPr>
          <w:p>
            <w:pPr>
              <w:spacing w:after="0"/>
              <w:rPr>
                <w:sz w:val="20"/>
                <w:szCs w:val="20"/>
                <w:color w:val="auto"/>
              </w:rPr>
            </w:pPr>
            <w:r>
              <w:rPr>
                <w:rFonts w:ascii="Arial" w:cs="Arial" w:eastAsia="Arial" w:hAnsi="Arial"/>
                <w:sz w:val="11"/>
                <w:szCs w:val="11"/>
                <w:b w:val="1"/>
                <w:bCs w:val="1"/>
                <w:color w:val="auto"/>
              </w:rPr>
              <w:t>Maturity /</w:t>
            </w:r>
          </w:p>
        </w:tc>
        <w:tc>
          <w:tcPr>
            <w:tcW w:w="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1"/>
                <w:szCs w:val="11"/>
                <w:b w:val="1"/>
                <w:bCs w:val="1"/>
                <w:color w:val="auto"/>
              </w:rPr>
              <w:t>Current</w:t>
            </w:r>
          </w:p>
        </w:tc>
        <w:tc>
          <w:tcPr>
            <w:tcW w:w="880" w:type="dxa"/>
            <w:vAlign w:val="bottom"/>
            <w:gridSpan w:val="2"/>
          </w:tcPr>
          <w:p>
            <w:pPr>
              <w:jc w:val="right"/>
              <w:ind w:right="126"/>
              <w:spacing w:after="0"/>
              <w:rPr>
                <w:sz w:val="20"/>
                <w:szCs w:val="20"/>
                <w:color w:val="auto"/>
              </w:rPr>
            </w:pPr>
            <w:r>
              <w:rPr>
                <w:rFonts w:ascii="Arial" w:cs="Arial" w:eastAsia="Arial" w:hAnsi="Arial"/>
                <w:sz w:val="11"/>
                <w:szCs w:val="11"/>
                <w:b w:val="1"/>
                <w:bCs w:val="1"/>
                <w:color w:val="auto"/>
              </w:rPr>
              <w:t>Basis Point</w:t>
            </w:r>
          </w:p>
        </w:tc>
        <w:tc>
          <w:tcPr>
            <w:tcW w:w="160" w:type="dxa"/>
            <w:vAlign w:val="bottom"/>
          </w:tcPr>
          <w:p>
            <w:pPr>
              <w:spacing w:after="0"/>
              <w:rPr>
                <w:sz w:val="10"/>
                <w:szCs w:val="10"/>
                <w:color w:val="auto"/>
              </w:rPr>
            </w:pPr>
          </w:p>
        </w:tc>
        <w:tc>
          <w:tcPr>
            <w:tcW w:w="7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Par /</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80" w:type="dxa"/>
            <w:vAlign w:val="bottom"/>
            <w:gridSpan w:val="2"/>
          </w:tcPr>
          <w:p>
            <w:pPr>
              <w:jc w:val="right"/>
              <w:ind w:right="46"/>
              <w:spacing w:after="0" w:line="108" w:lineRule="exact"/>
              <w:rPr>
                <w:sz w:val="20"/>
                <w:szCs w:val="20"/>
                <w:color w:val="auto"/>
              </w:rPr>
            </w:pPr>
            <w:r>
              <w:rPr>
                <w:rFonts w:ascii="Arial" w:cs="Arial" w:eastAsia="Arial" w:hAnsi="Arial"/>
                <w:sz w:val="11"/>
                <w:szCs w:val="11"/>
                <w:b w:val="1"/>
                <w:bCs w:val="1"/>
                <w:color w:val="auto"/>
              </w:rPr>
              <w:t>Spread Above</w:t>
            </w: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Cost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0" w:type="dxa"/>
            <w:vAlign w:val="bottom"/>
            <w:gridSpan w:val="3"/>
            <w:vMerge w:val="continue"/>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8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540" w:type="dxa"/>
            <w:vAlign w:val="bottom"/>
          </w:tcPr>
          <w:p>
            <w:pPr>
              <w:ind w:left="280"/>
              <w:spacing w:after="0"/>
              <w:rPr>
                <w:sz w:val="20"/>
                <w:szCs w:val="20"/>
                <w:color w:val="auto"/>
              </w:rPr>
            </w:pPr>
            <w:r>
              <w:rPr>
                <w:rFonts w:ascii="Arial" w:cs="Arial" w:eastAsia="Arial" w:hAnsi="Arial"/>
                <w:sz w:val="11"/>
                <w:szCs w:val="11"/>
                <w:b w:val="1"/>
                <w:bCs w:val="1"/>
                <w:color w:val="auto"/>
                <w:w w:val="83"/>
              </w:rPr>
              <w:t>Index</w:t>
            </w:r>
          </w:p>
        </w:tc>
        <w:tc>
          <w:tcPr>
            <w:tcW w:w="340" w:type="dxa"/>
            <w:vAlign w:val="bottom"/>
          </w:tcPr>
          <w:p>
            <w:pPr>
              <w:jc w:val="right"/>
              <w:ind w:right="186"/>
              <w:spacing w:after="0"/>
              <w:rPr>
                <w:sz w:val="20"/>
                <w:szCs w:val="20"/>
                <w:color w:val="auto"/>
              </w:rPr>
            </w:pPr>
            <w:r>
              <w:rPr>
                <w:rFonts w:ascii="Arial" w:cs="Arial" w:eastAsia="Arial" w:hAnsi="Arial"/>
                <w:sz w:val="7"/>
                <w:szCs w:val="7"/>
                <w:b w:val="1"/>
                <w:bCs w:val="1"/>
                <w:color w:val="auto"/>
                <w:w w:val="92"/>
              </w:rPr>
              <w:t>(4)</w:t>
            </w:r>
          </w:p>
        </w:tc>
        <w:tc>
          <w:tcPr>
            <w:tcW w:w="160" w:type="dxa"/>
            <w:vAlign w:val="bottom"/>
          </w:tcPr>
          <w:p>
            <w:pPr>
              <w:spacing w:after="0"/>
              <w:rPr>
                <w:sz w:val="12"/>
                <w:szCs w:val="12"/>
                <w:color w:val="auto"/>
              </w:rPr>
            </w:pPr>
          </w:p>
        </w:tc>
        <w:tc>
          <w:tcPr>
            <w:tcW w:w="740" w:type="dxa"/>
            <w:vAlign w:val="bottom"/>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000" w:type="dxa"/>
            <w:vAlign w:val="bottom"/>
            <w:tcBorders>
              <w:top w:val="single" w:sz="8" w:color="auto"/>
            </w:tcBorders>
          </w:tcPr>
          <w:p>
            <w:pPr>
              <w:ind w:left="20"/>
              <w:spacing w:after="0" w:line="99" w:lineRule="exact"/>
              <w:rPr>
                <w:sz w:val="20"/>
                <w:szCs w:val="20"/>
                <w:color w:val="auto"/>
              </w:rPr>
            </w:pPr>
            <w:r>
              <w:rPr>
                <w:rFonts w:ascii="Arial" w:cs="Arial" w:eastAsia="Arial" w:hAnsi="Arial"/>
                <w:sz w:val="11"/>
                <w:szCs w:val="11"/>
                <w:color w:val="auto"/>
              </w:rPr>
              <w:t>Icon Partners V C, L.P.</w:t>
            </w: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ind w:left="460"/>
              <w:spacing w:after="0" w:line="99"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8"/>
                <w:szCs w:val="8"/>
                <w:color w:val="auto"/>
              </w:rPr>
            </w:pPr>
          </w:p>
        </w:tc>
        <w:tc>
          <w:tcPr>
            <w:tcW w:w="2480" w:type="dxa"/>
            <w:vAlign w:val="bottom"/>
            <w:tcBorders>
              <w:top w:val="single" w:sz="8" w:color="auto"/>
            </w:tcBorders>
          </w:tcPr>
          <w:p>
            <w:pPr>
              <w:jc w:val="center"/>
              <w:spacing w:after="0" w:line="99" w:lineRule="exact"/>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8"/>
                <w:szCs w:val="8"/>
                <w:color w:val="auto"/>
              </w:rPr>
            </w:pPr>
          </w:p>
        </w:tc>
        <w:tc>
          <w:tcPr>
            <w:tcW w:w="70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74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1,111,111</w:t>
            </w:r>
          </w:p>
        </w:tc>
        <w:tc>
          <w:tcPr>
            <w:tcW w:w="180" w:type="dxa"/>
            <w:vAlign w:val="bottom"/>
          </w:tcPr>
          <w:p>
            <w:pPr>
              <w:spacing w:after="0"/>
              <w:rPr>
                <w:sz w:val="8"/>
                <w:szCs w:val="8"/>
                <w:color w:val="auto"/>
              </w:rPr>
            </w:pPr>
          </w:p>
        </w:tc>
        <w:tc>
          <w:tcPr>
            <w:tcW w:w="140" w:type="dxa"/>
            <w:vAlign w:val="bottom"/>
            <w:tcBorders>
              <w:top w:val="single" w:sz="8" w:color="auto"/>
            </w:tcBorders>
          </w:tcPr>
          <w:p>
            <w:pPr>
              <w:jc w:val="right"/>
              <w:ind w:right="31"/>
              <w:spacing w:after="0" w:line="99"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1,111,111</w:t>
            </w:r>
          </w:p>
        </w:tc>
        <w:tc>
          <w:tcPr>
            <w:tcW w:w="160" w:type="dxa"/>
            <w:vAlign w:val="bottom"/>
          </w:tcPr>
          <w:p>
            <w:pPr>
              <w:spacing w:after="0"/>
              <w:rPr>
                <w:sz w:val="8"/>
                <w:szCs w:val="8"/>
                <w:color w:val="auto"/>
              </w:rPr>
            </w:pPr>
          </w:p>
        </w:tc>
        <w:tc>
          <w:tcPr>
            <w:tcW w:w="8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1,111,111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3200" w:type="dxa"/>
            <w:vAlign w:val="bottom"/>
            <w:gridSpan w:val="3"/>
          </w:tcPr>
          <w:p>
            <w:pPr>
              <w:ind w:left="20"/>
              <w:spacing w:after="0"/>
              <w:rPr>
                <w:sz w:val="20"/>
                <w:szCs w:val="20"/>
                <w:color w:val="auto"/>
              </w:rPr>
            </w:pPr>
            <w:r>
              <w:rPr>
                <w:rFonts w:ascii="Arial" w:cs="Arial" w:eastAsia="Arial" w:hAnsi="Arial"/>
                <w:sz w:val="11"/>
                <w:szCs w:val="11"/>
                <w:color w:val="auto"/>
              </w:rPr>
              <w:t xml:space="preserve">Icon Partners V C, L.P. </w:t>
            </w:r>
            <w:r>
              <w:rPr>
                <w:rFonts w:ascii="Arial" w:cs="Arial" w:eastAsia="Arial" w:hAnsi="Arial"/>
                <w:sz w:val="14"/>
                <w:szCs w:val="14"/>
                <w:color w:val="auto"/>
                <w:vertAlign w:val="superscript"/>
              </w:rPr>
              <w:t>(7),(9)</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388,889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Imagine Topco, LP</w:t>
            </w:r>
          </w:p>
        </w:tc>
        <w:tc>
          <w:tcPr>
            <w:tcW w:w="580" w:type="dxa"/>
            <w:vAlign w:val="bottom"/>
            <w:shd w:val="clear" w:color="auto" w:fill="CCECFF"/>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CFF"/>
          </w:tcPr>
          <w:p>
            <w:pPr>
              <w:spacing w:after="0"/>
              <w:rPr>
                <w:sz w:val="11"/>
                <w:szCs w:val="11"/>
                <w:color w:val="auto"/>
              </w:rPr>
            </w:pPr>
          </w:p>
        </w:tc>
        <w:tc>
          <w:tcPr>
            <w:tcW w:w="3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743,826</w:t>
            </w:r>
          </w:p>
        </w:tc>
        <w:tc>
          <w:tcPr>
            <w:tcW w:w="1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200" w:type="dxa"/>
            <w:vAlign w:val="bottom"/>
            <w:gridSpan w:val="3"/>
          </w:tcPr>
          <w:p>
            <w:pPr>
              <w:ind w:left="20"/>
              <w:spacing w:after="0" w:line="125" w:lineRule="exact"/>
              <w:rPr>
                <w:sz w:val="20"/>
                <w:szCs w:val="20"/>
                <w:color w:val="auto"/>
              </w:rPr>
            </w:pPr>
            <w:r>
              <w:rPr>
                <w:rFonts w:ascii="Arial" w:cs="Arial" w:eastAsia="Arial" w:hAnsi="Arial"/>
                <w:sz w:val="11"/>
                <w:szCs w:val="11"/>
                <w:color w:val="auto"/>
              </w:rPr>
              <w:t>Infogroup Parent Holdings, Inc.</w:t>
            </w:r>
          </w:p>
        </w:tc>
        <w:tc>
          <w:tcPr>
            <w:tcW w:w="580" w:type="dxa"/>
            <w:vAlign w:val="bottom"/>
          </w:tcPr>
          <w:p>
            <w:pPr>
              <w:ind w:left="460"/>
              <w:spacing w:after="0" w:line="12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0"/>
                <w:szCs w:val="10"/>
                <w:color w:val="auto"/>
              </w:rPr>
            </w:pPr>
          </w:p>
        </w:tc>
        <w:tc>
          <w:tcPr>
            <w:tcW w:w="2480" w:type="dxa"/>
            <w:vAlign w:val="bottom"/>
          </w:tcPr>
          <w:p>
            <w:pPr>
              <w:jc w:val="center"/>
              <w:spacing w:after="0" w:line="125" w:lineRule="exact"/>
              <w:rPr>
                <w:sz w:val="20"/>
                <w:szCs w:val="20"/>
                <w:color w:val="auto"/>
              </w:rPr>
            </w:pPr>
            <w:r>
              <w:rPr>
                <w:rFonts w:ascii="Arial" w:cs="Arial" w:eastAsia="Arial" w:hAnsi="Arial"/>
                <w:sz w:val="11"/>
                <w:szCs w:val="11"/>
                <w:color w:val="auto"/>
                <w:w w:val="89"/>
              </w:rPr>
              <w:t>Other Media</w:t>
            </w:r>
          </w:p>
        </w:tc>
        <w:tc>
          <w:tcPr>
            <w:tcW w:w="140" w:type="dxa"/>
            <w:vAlign w:val="bottom"/>
          </w:tcPr>
          <w:p>
            <w:pPr>
              <w:spacing w:after="0"/>
              <w:rPr>
                <w:sz w:val="10"/>
                <w:szCs w:val="10"/>
                <w:color w:val="auto"/>
              </w:rPr>
            </w:pPr>
          </w:p>
        </w:tc>
        <w:tc>
          <w:tcPr>
            <w:tcW w:w="94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540" w:type="dxa"/>
            <w:vAlign w:val="bottom"/>
          </w:tcPr>
          <w:p>
            <w:pPr>
              <w:spacing w:after="0"/>
              <w:rPr>
                <w:sz w:val="10"/>
                <w:szCs w:val="10"/>
                <w:color w:val="auto"/>
              </w:rPr>
            </w:pPr>
          </w:p>
        </w:tc>
        <w:tc>
          <w:tcPr>
            <w:tcW w:w="3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181,495</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2,040,000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3,493,091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00" w:type="dxa"/>
            <w:vAlign w:val="bottom"/>
            <w:gridSpan w:val="3"/>
          </w:tcPr>
          <w:p>
            <w:pPr>
              <w:ind w:left="100"/>
              <w:spacing w:after="0"/>
              <w:rPr>
                <w:sz w:val="20"/>
                <w:szCs w:val="20"/>
                <w:color w:val="auto"/>
              </w:rPr>
            </w:pPr>
            <w:r>
              <w:rPr>
                <w:rFonts w:ascii="Arial" w:cs="Arial" w:eastAsia="Arial" w:hAnsi="Arial"/>
                <w:sz w:val="11"/>
                <w:szCs w:val="11"/>
                <w:color w:val="auto"/>
              </w:rPr>
              <w:t>(Data Axle, Inc.)</w:t>
            </w:r>
          </w:p>
        </w:tc>
        <w:tc>
          <w:tcPr>
            <w:tcW w:w="580" w:type="dxa"/>
            <w:vAlign w:val="bottom"/>
            <w:vMerge w:val="restart"/>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2"/>
                <w:szCs w:val="12"/>
                <w:color w:val="auto"/>
              </w:rPr>
            </w:pPr>
          </w:p>
        </w:tc>
        <w:tc>
          <w:tcPr>
            <w:tcW w:w="2480" w:type="dxa"/>
            <w:vAlign w:val="bottom"/>
            <w:vMerge w:val="restart"/>
          </w:tcPr>
          <w:p>
            <w:pPr>
              <w:jc w:val="center"/>
              <w:spacing w:after="0"/>
              <w:rPr>
                <w:sz w:val="20"/>
                <w:szCs w:val="20"/>
                <w:color w:val="auto"/>
              </w:rPr>
            </w:pPr>
            <w:r>
              <w:rPr>
                <w:rFonts w:ascii="Arial" w:cs="Arial" w:eastAsia="Arial" w:hAnsi="Arial"/>
                <w:sz w:val="11"/>
                <w:szCs w:val="11"/>
                <w:color w:val="auto"/>
                <w:w w:val="89"/>
              </w:rPr>
              <w:t>Environmental Services</w:t>
            </w:r>
          </w:p>
        </w:tc>
        <w:tc>
          <w:tcPr>
            <w:tcW w:w="14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1"/>
                <w:szCs w:val="11"/>
                <w:color w:val="auto"/>
              </w:rPr>
              <w:t>4,566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450,279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551,808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000" w:type="dxa"/>
            <w:vAlign w:val="bottom"/>
            <w:shd w:val="clear" w:color="auto" w:fill="CCECFF"/>
          </w:tcPr>
          <w:p>
            <w:pPr>
              <w:ind w:left="20"/>
              <w:spacing w:after="0" w:line="110" w:lineRule="exact"/>
              <w:rPr>
                <w:sz w:val="20"/>
                <w:szCs w:val="20"/>
                <w:color w:val="auto"/>
              </w:rPr>
            </w:pPr>
            <w:r>
              <w:rPr>
                <w:rFonts w:ascii="Arial" w:cs="Arial" w:eastAsia="Arial" w:hAnsi="Arial"/>
                <w:sz w:val="11"/>
                <w:szCs w:val="11"/>
                <w:color w:val="auto"/>
              </w:rPr>
              <w:t>Ironclad Holdco, LLC</w:t>
            </w:r>
          </w:p>
        </w:tc>
        <w:tc>
          <w:tcPr>
            <w:tcW w:w="200" w:type="dxa"/>
            <w:vAlign w:val="bottom"/>
            <w:gridSpan w:val="2"/>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3000" w:type="dxa"/>
            <w:vAlign w:val="bottom"/>
            <w:vMerge w:val="restart"/>
            <w:shd w:val="clear" w:color="auto" w:fill="CCECFF"/>
          </w:tcPr>
          <w:p>
            <w:pPr>
              <w:ind w:left="100"/>
              <w:spacing w:after="0"/>
              <w:rPr>
                <w:sz w:val="20"/>
                <w:szCs w:val="20"/>
                <w:color w:val="auto"/>
              </w:rPr>
            </w:pPr>
            <w:r>
              <w:rPr>
                <w:rFonts w:ascii="Arial" w:cs="Arial" w:eastAsia="Arial" w:hAnsi="Arial"/>
                <w:sz w:val="11"/>
                <w:szCs w:val="11"/>
                <w:color w:val="auto"/>
              </w:rPr>
              <w:t xml:space="preserve">(Applied Technical Services, LLC) </w:t>
            </w:r>
            <w:r>
              <w:rPr>
                <w:rFonts w:ascii="Arial" w:cs="Arial" w:eastAsia="Arial" w:hAnsi="Arial"/>
                <w:sz w:val="14"/>
                <w:szCs w:val="14"/>
                <w:color w:val="auto"/>
                <w:vertAlign w:val="superscript"/>
              </w:rPr>
              <w:t>(9)</w:t>
            </w:r>
          </w:p>
        </w:tc>
        <w:tc>
          <w:tcPr>
            <w:tcW w:w="2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000" w:type="dxa"/>
            <w:vAlign w:val="bottom"/>
            <w:vMerge w:val="continue"/>
            <w:shd w:val="clear" w:color="auto" w:fill="CCECFF"/>
          </w:tcPr>
          <w:p>
            <w:pPr>
              <w:spacing w:after="0"/>
              <w:rPr>
                <w:sz w:val="11"/>
                <w:szCs w:val="11"/>
                <w:color w:val="auto"/>
              </w:rPr>
            </w:pPr>
          </w:p>
        </w:tc>
        <w:tc>
          <w:tcPr>
            <w:tcW w:w="200" w:type="dxa"/>
            <w:vAlign w:val="bottom"/>
            <w:gridSpan w:val="2"/>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000" w:type="dxa"/>
            <w:vAlign w:val="bottom"/>
          </w:tcPr>
          <w:p>
            <w:pPr>
              <w:ind w:left="20"/>
              <w:spacing w:after="0" w:line="105" w:lineRule="exact"/>
              <w:rPr>
                <w:sz w:val="20"/>
                <w:szCs w:val="20"/>
                <w:color w:val="auto"/>
              </w:rPr>
            </w:pPr>
            <w:r>
              <w:rPr>
                <w:rFonts w:ascii="Arial" w:cs="Arial" w:eastAsia="Arial" w:hAnsi="Arial"/>
                <w:sz w:val="11"/>
                <w:szCs w:val="11"/>
                <w:color w:val="auto"/>
              </w:rPr>
              <w:t>ITC Rumba, LLC</w:t>
            </w:r>
          </w:p>
        </w:tc>
        <w:tc>
          <w:tcPr>
            <w:tcW w:w="200" w:type="dxa"/>
            <w:vAlign w:val="bottom"/>
            <w:gridSpan w:val="2"/>
          </w:tcPr>
          <w:p>
            <w:pPr>
              <w:spacing w:after="0"/>
              <w:rPr>
                <w:sz w:val="9"/>
                <w:szCs w:val="9"/>
                <w:color w:val="auto"/>
              </w:rPr>
            </w:pPr>
          </w:p>
        </w:tc>
        <w:tc>
          <w:tcPr>
            <w:tcW w:w="580" w:type="dxa"/>
            <w:vAlign w:val="bottom"/>
          </w:tcPr>
          <w:p>
            <w:pPr>
              <w:ind w:left="460"/>
              <w:spacing w:after="0" w:line="10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480" w:type="dxa"/>
            <w:vAlign w:val="bottom"/>
          </w:tcPr>
          <w:p>
            <w:pPr>
              <w:jc w:val="center"/>
              <w:spacing w:after="0" w:line="105" w:lineRule="exact"/>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9"/>
                <w:szCs w:val="9"/>
                <w:color w:val="auto"/>
              </w:rPr>
            </w:pPr>
          </w:p>
        </w:tc>
        <w:tc>
          <w:tcPr>
            <w:tcW w:w="940" w:type="dxa"/>
            <w:vAlign w:val="bottom"/>
            <w:gridSpan w:val="2"/>
          </w:tcPr>
          <w:p>
            <w:pPr>
              <w:jc w:val="right"/>
              <w:ind w:right="240"/>
              <w:spacing w:after="0" w:line="105" w:lineRule="exact"/>
              <w:rPr>
                <w:sz w:val="20"/>
                <w:szCs w:val="20"/>
                <w:color w:val="auto"/>
              </w:rPr>
            </w:pPr>
            <w:r>
              <w:rPr>
                <w:rFonts w:ascii="Arial" w:cs="Arial" w:eastAsia="Arial" w:hAnsi="Arial"/>
                <w:sz w:val="11"/>
                <w:szCs w:val="11"/>
                <w:color w:val="auto"/>
              </w:rPr>
              <w:t>—</w:t>
            </w:r>
          </w:p>
        </w:tc>
        <w:tc>
          <w:tcPr>
            <w:tcW w:w="540" w:type="dxa"/>
            <w:vAlign w:val="bottom"/>
          </w:tcPr>
          <w:p>
            <w:pPr>
              <w:spacing w:after="0"/>
              <w:rPr>
                <w:sz w:val="9"/>
                <w:szCs w:val="9"/>
                <w:color w:val="auto"/>
              </w:rPr>
            </w:pPr>
          </w:p>
        </w:tc>
        <w:tc>
          <w:tcPr>
            <w:tcW w:w="34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375,675</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5" w:lineRule="exact"/>
              <w:rPr>
                <w:sz w:val="20"/>
                <w:szCs w:val="20"/>
                <w:color w:val="auto"/>
              </w:rPr>
            </w:pPr>
            <w:r>
              <w:rPr>
                <w:rFonts w:ascii="Arial" w:cs="Arial" w:eastAsia="Arial" w:hAnsi="Arial"/>
                <w:sz w:val="11"/>
                <w:szCs w:val="11"/>
                <w:color w:val="auto"/>
              </w:rPr>
              <w:t>43,340,544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200" w:type="dxa"/>
            <w:vAlign w:val="bottom"/>
            <w:gridSpan w:val="3"/>
          </w:tcPr>
          <w:p>
            <w:pPr>
              <w:ind w:left="100"/>
              <w:spacing w:after="0"/>
              <w:rPr>
                <w:sz w:val="20"/>
                <w:szCs w:val="20"/>
                <w:color w:val="auto"/>
              </w:rPr>
            </w:pPr>
            <w:r>
              <w:rPr>
                <w:rFonts w:ascii="Arial" w:cs="Arial" w:eastAsia="Arial" w:hAnsi="Arial"/>
                <w:sz w:val="11"/>
                <w:szCs w:val="11"/>
                <w:color w:val="auto"/>
              </w:rPr>
              <w:t xml:space="preserve">(Cano Health, LLC) </w:t>
            </w:r>
            <w:r>
              <w:rPr>
                <w:rFonts w:ascii="Arial" w:cs="Arial" w:eastAsia="Arial" w:hAnsi="Arial"/>
                <w:sz w:val="14"/>
                <w:szCs w:val="14"/>
                <w:color w:val="auto"/>
                <w:vertAlign w:val="superscript"/>
              </w:rPr>
              <w:t>(9)</w:t>
            </w:r>
          </w:p>
        </w:tc>
        <w:tc>
          <w:tcPr>
            <w:tcW w:w="580" w:type="dxa"/>
            <w:vAlign w:val="bottom"/>
            <w:vMerge w:val="restart"/>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480" w:type="dxa"/>
            <w:vAlign w:val="bottom"/>
            <w:vMerge w:val="restart"/>
          </w:tcPr>
          <w:p>
            <w:pPr>
              <w:jc w:val="center"/>
              <w:spacing w:after="0"/>
              <w:rPr>
                <w:sz w:val="20"/>
                <w:szCs w:val="20"/>
                <w:color w:val="auto"/>
              </w:rPr>
            </w:pPr>
            <w:r>
              <w:rPr>
                <w:rFonts w:ascii="Arial" w:cs="Arial" w:eastAsia="Arial" w:hAnsi="Arial"/>
                <w:sz w:val="11"/>
                <w:szCs w:val="11"/>
                <w:color w:val="auto"/>
                <w:w w:val="89"/>
              </w:rPr>
              <w:t>Home and Office Furnishings</w:t>
            </w:r>
          </w:p>
        </w:tc>
        <w:tc>
          <w:tcPr>
            <w:tcW w:w="140" w:type="dxa"/>
            <w:vAlign w:val="bottom"/>
          </w:tcPr>
          <w:p>
            <w:pPr>
              <w:spacing w:after="0"/>
              <w:rPr>
                <w:sz w:val="14"/>
                <w:szCs w:val="14"/>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1"/>
                <w:szCs w:val="11"/>
                <w:color w:val="auto"/>
              </w:rPr>
              <w:t>2,343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436,593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3,654,746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3000" w:type="dxa"/>
            <w:vAlign w:val="bottom"/>
          </w:tcPr>
          <w:p>
            <w:pPr>
              <w:ind w:left="20"/>
              <w:spacing w:after="0" w:line="105" w:lineRule="exact"/>
              <w:rPr>
                <w:sz w:val="20"/>
                <w:szCs w:val="20"/>
                <w:color w:val="auto"/>
              </w:rPr>
            </w:pPr>
            <w:r>
              <w:rPr>
                <w:rFonts w:ascii="Arial" w:cs="Arial" w:eastAsia="Arial" w:hAnsi="Arial"/>
                <w:sz w:val="11"/>
                <w:szCs w:val="11"/>
                <w:color w:val="auto"/>
              </w:rPr>
              <w:t>JWC-WE Holdings, L.P.</w:t>
            </w:r>
          </w:p>
        </w:tc>
        <w:tc>
          <w:tcPr>
            <w:tcW w:w="200" w:type="dxa"/>
            <w:vAlign w:val="bottom"/>
            <w:gridSpan w:val="2"/>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3000" w:type="dxa"/>
            <w:vAlign w:val="bottom"/>
            <w:vMerge w:val="restart"/>
          </w:tcPr>
          <w:p>
            <w:pPr>
              <w:ind w:left="100"/>
              <w:spacing w:after="0" w:line="135" w:lineRule="exact"/>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14"/>
                <w:szCs w:val="14"/>
                <w:color w:val="auto"/>
                <w:vertAlign w:val="superscript"/>
              </w:rPr>
              <w:t>(9)</w:t>
            </w:r>
          </w:p>
        </w:tc>
        <w:tc>
          <w:tcPr>
            <w:tcW w:w="2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3000" w:type="dxa"/>
            <w:vAlign w:val="bottom"/>
            <w:vMerge w:val="continue"/>
          </w:tcPr>
          <w:p>
            <w:pPr>
              <w:spacing w:after="0"/>
              <w:rPr>
                <w:sz w:val="10"/>
                <w:szCs w:val="10"/>
                <w:color w:val="auto"/>
              </w:rPr>
            </w:pPr>
          </w:p>
        </w:tc>
        <w:tc>
          <w:tcPr>
            <w:tcW w:w="200" w:type="dxa"/>
            <w:vAlign w:val="bottom"/>
            <w:tcBorders>
              <w:bottom w:val="single" w:sz="8" w:color="CCECFF"/>
            </w:tcBorders>
            <w:gridSpan w:val="2"/>
            <w:shd w:val="clear" w:color="auto" w:fill="CCECFF"/>
          </w:tcPr>
          <w:p>
            <w:pPr>
              <w:spacing w:after="0"/>
              <w:rPr>
                <w:sz w:val="10"/>
                <w:szCs w:val="10"/>
                <w:color w:val="auto"/>
              </w:rPr>
            </w:pPr>
          </w:p>
        </w:tc>
        <w:tc>
          <w:tcPr>
            <w:tcW w:w="58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248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540" w:type="dxa"/>
            <w:vAlign w:val="bottom"/>
            <w:tcBorders>
              <w:bottom w:val="single" w:sz="8" w:color="CCECFF"/>
            </w:tcBorders>
            <w:shd w:val="clear" w:color="auto" w:fill="CCECFF"/>
          </w:tcPr>
          <w:p>
            <w:pPr>
              <w:spacing w:after="0"/>
              <w:rPr>
                <w:sz w:val="10"/>
                <w:szCs w:val="10"/>
                <w:color w:val="auto"/>
              </w:rPr>
            </w:pPr>
          </w:p>
        </w:tc>
        <w:tc>
          <w:tcPr>
            <w:tcW w:w="34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74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4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14"/>
                <w:szCs w:val="14"/>
                <w:color w:val="auto"/>
                <w:vertAlign w:val="superscript"/>
              </w:rPr>
              <w:t>(9)</w:t>
            </w:r>
          </w:p>
        </w:tc>
        <w:tc>
          <w:tcPr>
            <w:tcW w:w="200" w:type="dxa"/>
            <w:vAlign w:val="bottom"/>
            <w:gridSpan w:val="2"/>
          </w:tcPr>
          <w:p>
            <w:pPr>
              <w:spacing w:after="0"/>
              <w:rPr>
                <w:sz w:val="11"/>
                <w:szCs w:val="11"/>
                <w:color w:val="auto"/>
              </w:rPr>
            </w:pP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0"/>
              </w:rPr>
              <w:t>Hotels, Motels, Inns and Gaming</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161,252</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1,243,247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Kinetic Purchaser, LLC</w:t>
            </w:r>
          </w:p>
        </w:tc>
        <w:tc>
          <w:tcPr>
            <w:tcW w:w="580" w:type="dxa"/>
            <w:vAlign w:val="bottom"/>
            <w:shd w:val="clear" w:color="auto" w:fill="CCECFF"/>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Consumer Products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CFF"/>
          </w:tcPr>
          <w:p>
            <w:pPr>
              <w:spacing w:after="0"/>
              <w:rPr>
                <w:sz w:val="11"/>
                <w:szCs w:val="11"/>
                <w:color w:val="auto"/>
              </w:rPr>
            </w:pPr>
          </w:p>
        </w:tc>
        <w:tc>
          <w:tcPr>
            <w:tcW w:w="3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1,308,814</w:t>
            </w:r>
          </w:p>
        </w:tc>
        <w:tc>
          <w:tcPr>
            <w:tcW w:w="1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1,308,814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1,308,814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200" w:type="dxa"/>
            <w:vAlign w:val="bottom"/>
            <w:gridSpan w:val="3"/>
          </w:tcPr>
          <w:p>
            <w:pPr>
              <w:ind w:left="20"/>
              <w:spacing w:after="0" w:line="105" w:lineRule="exact"/>
              <w:rPr>
                <w:sz w:val="20"/>
                <w:szCs w:val="20"/>
                <w:color w:val="auto"/>
              </w:rPr>
            </w:pPr>
            <w:r>
              <w:rPr>
                <w:rFonts w:ascii="Arial" w:cs="Arial" w:eastAsia="Arial" w:hAnsi="Arial"/>
                <w:sz w:val="11"/>
                <w:szCs w:val="11"/>
                <w:color w:val="auto"/>
              </w:rPr>
              <w:t>KL Stockton Co-Invest LP</w:t>
            </w:r>
          </w:p>
        </w:tc>
        <w:tc>
          <w:tcPr>
            <w:tcW w:w="580" w:type="dxa"/>
            <w:vAlign w:val="bottom"/>
          </w:tcPr>
          <w:p>
            <w:pPr>
              <w:ind w:left="460"/>
              <w:spacing w:after="0" w:line="10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480" w:type="dxa"/>
            <w:vAlign w:val="bottom"/>
          </w:tcPr>
          <w:p>
            <w:pPr>
              <w:jc w:val="center"/>
              <w:spacing w:after="0" w:line="105" w:lineRule="exact"/>
              <w:rPr>
                <w:sz w:val="20"/>
                <w:szCs w:val="20"/>
                <w:color w:val="auto"/>
              </w:rPr>
            </w:pPr>
            <w:r>
              <w:rPr>
                <w:rFonts w:ascii="Arial" w:cs="Arial" w:eastAsia="Arial" w:hAnsi="Arial"/>
                <w:sz w:val="11"/>
                <w:szCs w:val="11"/>
                <w:color w:val="auto"/>
                <w:w w:val="87"/>
              </w:rPr>
              <w:t>Personal, Food and Miscellaneous Services</w:t>
            </w:r>
          </w:p>
        </w:tc>
        <w:tc>
          <w:tcPr>
            <w:tcW w:w="140" w:type="dxa"/>
            <w:vAlign w:val="bottom"/>
          </w:tcPr>
          <w:p>
            <w:pPr>
              <w:spacing w:after="0"/>
              <w:rPr>
                <w:sz w:val="9"/>
                <w:szCs w:val="9"/>
                <w:color w:val="auto"/>
              </w:rPr>
            </w:pPr>
          </w:p>
        </w:tc>
        <w:tc>
          <w:tcPr>
            <w:tcW w:w="940" w:type="dxa"/>
            <w:vAlign w:val="bottom"/>
            <w:gridSpan w:val="2"/>
          </w:tcPr>
          <w:p>
            <w:pPr>
              <w:jc w:val="right"/>
              <w:ind w:right="240"/>
              <w:spacing w:after="0" w:line="105" w:lineRule="exact"/>
              <w:rPr>
                <w:sz w:val="20"/>
                <w:szCs w:val="20"/>
                <w:color w:val="auto"/>
              </w:rPr>
            </w:pPr>
            <w:r>
              <w:rPr>
                <w:rFonts w:ascii="Arial" w:cs="Arial" w:eastAsia="Arial" w:hAnsi="Arial"/>
                <w:sz w:val="11"/>
                <w:szCs w:val="11"/>
                <w:color w:val="auto"/>
              </w:rPr>
              <w:t>—</w:t>
            </w:r>
          </w:p>
        </w:tc>
        <w:tc>
          <w:tcPr>
            <w:tcW w:w="540" w:type="dxa"/>
            <w:vAlign w:val="bottom"/>
          </w:tcPr>
          <w:p>
            <w:pPr>
              <w:spacing w:after="0"/>
              <w:rPr>
                <w:sz w:val="9"/>
                <w:szCs w:val="9"/>
                <w:color w:val="auto"/>
              </w:rPr>
            </w:pPr>
          </w:p>
        </w:tc>
        <w:tc>
          <w:tcPr>
            <w:tcW w:w="34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382,353</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spacing w:after="0" w:line="105" w:lineRule="exact"/>
              <w:rPr>
                <w:sz w:val="20"/>
                <w:szCs w:val="20"/>
                <w:color w:val="auto"/>
              </w:rPr>
            </w:pPr>
            <w:r>
              <w:rPr>
                <w:rFonts w:ascii="Arial" w:cs="Arial" w:eastAsia="Arial" w:hAnsi="Arial"/>
                <w:sz w:val="11"/>
                <w:szCs w:val="11"/>
                <w:color w:val="auto"/>
              </w:rPr>
              <w:t>382,353</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5" w:lineRule="exact"/>
              <w:rPr>
                <w:sz w:val="20"/>
                <w:szCs w:val="20"/>
                <w:color w:val="auto"/>
              </w:rPr>
            </w:pPr>
            <w:r>
              <w:rPr>
                <w:rFonts w:ascii="Arial" w:cs="Arial" w:eastAsia="Arial" w:hAnsi="Arial"/>
                <w:sz w:val="11"/>
                <w:szCs w:val="11"/>
                <w:color w:val="auto"/>
              </w:rPr>
              <w:t>478,094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ind w:left="100"/>
              <w:spacing w:after="0" w:line="135" w:lineRule="exact"/>
              <w:rPr>
                <w:sz w:val="20"/>
                <w:szCs w:val="20"/>
                <w:color w:val="auto"/>
              </w:rPr>
            </w:pPr>
            <w:r>
              <w:rPr>
                <w:rFonts w:ascii="Arial" w:cs="Arial" w:eastAsia="Arial" w:hAnsi="Arial"/>
                <w:sz w:val="11"/>
                <w:szCs w:val="11"/>
                <w:color w:val="auto"/>
              </w:rPr>
              <w:t xml:space="preserve">(Any Hour Services) </w:t>
            </w:r>
            <w:r>
              <w:rPr>
                <w:rFonts w:ascii="Arial" w:cs="Arial" w:eastAsia="Arial" w:hAnsi="Arial"/>
                <w:sz w:val="14"/>
                <w:szCs w:val="14"/>
                <w:color w:val="auto"/>
                <w:vertAlign w:val="superscript"/>
              </w:rPr>
              <w:t>(9)</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200" w:type="dxa"/>
            <w:vAlign w:val="bottom"/>
            <w:gridSpan w:val="3"/>
          </w:tcPr>
          <w:p>
            <w:pPr>
              <w:ind w:left="20"/>
              <w:spacing w:after="0" w:line="155" w:lineRule="exact"/>
              <w:rPr>
                <w:sz w:val="20"/>
                <w:szCs w:val="20"/>
                <w:color w:val="auto"/>
              </w:rPr>
            </w:pPr>
            <w:r>
              <w:rPr>
                <w:rFonts w:ascii="Arial" w:cs="Arial" w:eastAsia="Arial" w:hAnsi="Arial"/>
                <w:sz w:val="11"/>
                <w:szCs w:val="11"/>
                <w:color w:val="auto"/>
              </w:rPr>
              <w:t xml:space="preserve">Lariat ecoserv Co-Invest Holdings, LLC </w:t>
            </w:r>
            <w:r>
              <w:rPr>
                <w:rFonts w:ascii="Arial" w:cs="Arial" w:eastAsia="Arial" w:hAnsi="Arial"/>
                <w:sz w:val="14"/>
                <w:szCs w:val="14"/>
                <w:color w:val="auto"/>
                <w:vertAlign w:val="superscript"/>
              </w:rPr>
              <w:t>(9)</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Environmental Services</w:t>
            </w:r>
          </w:p>
        </w:tc>
        <w:tc>
          <w:tcPr>
            <w:tcW w:w="1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363,656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363,656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1,116,425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200" w:type="dxa"/>
            <w:vAlign w:val="bottom"/>
            <w:gridSpan w:val="3"/>
          </w:tcPr>
          <w:p>
            <w:pPr>
              <w:ind w:left="20"/>
              <w:spacing w:after="0" w:line="115" w:lineRule="exact"/>
              <w:rPr>
                <w:sz w:val="20"/>
                <w:szCs w:val="20"/>
                <w:color w:val="auto"/>
              </w:rPr>
            </w:pPr>
            <w:r>
              <w:rPr>
                <w:rFonts w:ascii="Arial" w:cs="Arial" w:eastAsia="Arial" w:hAnsi="Arial"/>
                <w:sz w:val="11"/>
                <w:szCs w:val="11"/>
                <w:color w:val="auto"/>
              </w:rPr>
              <w:t>Lightspeed Investment Holdco LLC</w:t>
            </w:r>
          </w:p>
        </w:tc>
        <w:tc>
          <w:tcPr>
            <w:tcW w:w="580" w:type="dxa"/>
            <w:vAlign w:val="bottom"/>
          </w:tcPr>
          <w:p>
            <w:pPr>
              <w:ind w:left="46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9"/>
                <w:szCs w:val="9"/>
                <w:color w:val="auto"/>
              </w:rPr>
            </w:pPr>
          </w:p>
        </w:tc>
        <w:tc>
          <w:tcPr>
            <w:tcW w:w="94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w:t>
            </w:r>
          </w:p>
        </w:tc>
        <w:tc>
          <w:tcPr>
            <w:tcW w:w="540" w:type="dxa"/>
            <w:vAlign w:val="bottom"/>
          </w:tcPr>
          <w:p>
            <w:pPr>
              <w:spacing w:after="0"/>
              <w:rPr>
                <w:sz w:val="9"/>
                <w:szCs w:val="9"/>
                <w:color w:val="auto"/>
              </w:rPr>
            </w:pPr>
          </w:p>
        </w:tc>
        <w:tc>
          <w:tcPr>
            <w:tcW w:w="34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273,143</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spacing w:after="0" w:line="115" w:lineRule="exact"/>
              <w:rPr>
                <w:sz w:val="20"/>
                <w:szCs w:val="20"/>
                <w:color w:val="auto"/>
              </w:rPr>
            </w:pPr>
            <w:r>
              <w:rPr>
                <w:rFonts w:ascii="Arial" w:cs="Arial" w:eastAsia="Arial" w:hAnsi="Arial"/>
                <w:sz w:val="11"/>
                <w:szCs w:val="11"/>
                <w:color w:val="auto"/>
              </w:rPr>
              <w:t>273,143</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266,396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Mars Intermidiate Holdings II, Inc. </w:t>
            </w:r>
            <w:r>
              <w:rPr>
                <w:rFonts w:ascii="Arial" w:cs="Arial" w:eastAsia="Arial" w:hAnsi="Arial"/>
                <w:sz w:val="14"/>
                <w:szCs w:val="14"/>
                <w:color w:val="auto"/>
                <w:vertAlign w:val="superscript"/>
              </w:rPr>
              <w:t>(9)</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414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216,505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Meadowlark Title, LLC </w:t>
            </w:r>
            <w:r>
              <w:rPr>
                <w:rFonts w:ascii="Arial" w:cs="Arial" w:eastAsia="Arial" w:hAnsi="Arial"/>
                <w:sz w:val="14"/>
                <w:szCs w:val="14"/>
                <w:color w:val="auto"/>
                <w:vertAlign w:val="superscript"/>
              </w:rPr>
              <w:t>(9)</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815,385</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815,385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815,385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200" w:type="dxa"/>
            <w:vAlign w:val="bottom"/>
            <w:gridSpan w:val="3"/>
          </w:tcPr>
          <w:p>
            <w:pPr>
              <w:ind w:left="20"/>
              <w:spacing w:after="0" w:line="155" w:lineRule="exact"/>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14"/>
                <w:szCs w:val="14"/>
                <w:color w:val="auto"/>
                <w:vertAlign w:val="superscript"/>
              </w:rPr>
              <w:t>(9)</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1,135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167,186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ind w:left="20"/>
              <w:spacing w:after="0"/>
              <w:rPr>
                <w:sz w:val="20"/>
                <w:szCs w:val="20"/>
                <w:color w:val="auto"/>
              </w:rPr>
            </w:pPr>
            <w:r>
              <w:rPr>
                <w:rFonts w:ascii="Arial" w:cs="Arial" w:eastAsia="Arial" w:hAnsi="Arial"/>
                <w:sz w:val="11"/>
                <w:szCs w:val="11"/>
                <w:color w:val="auto"/>
              </w:rPr>
              <w:t>Municipal Emergency Services, Inc.</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3,920,145</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3,983,784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3,920,145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00" w:type="dxa"/>
            <w:vAlign w:val="bottom"/>
            <w:shd w:val="clear" w:color="auto" w:fill="CCECFF"/>
          </w:tcPr>
          <w:p>
            <w:pPr>
              <w:ind w:left="20"/>
              <w:spacing w:after="0" w:line="115" w:lineRule="exact"/>
              <w:rPr>
                <w:sz w:val="20"/>
                <w:szCs w:val="20"/>
                <w:color w:val="auto"/>
              </w:rPr>
            </w:pPr>
            <w:r>
              <w:rPr>
                <w:rFonts w:ascii="Arial" w:cs="Arial" w:eastAsia="Arial" w:hAnsi="Arial"/>
                <w:sz w:val="11"/>
                <w:szCs w:val="11"/>
                <w:color w:val="auto"/>
              </w:rPr>
              <w:t>NEPRT Parent Holdings, LLC</w:t>
            </w:r>
          </w:p>
        </w:tc>
        <w:tc>
          <w:tcPr>
            <w:tcW w:w="200" w:type="dxa"/>
            <w:vAlign w:val="bottom"/>
            <w:gridSpan w:val="2"/>
          </w:tcPr>
          <w:p>
            <w:pPr>
              <w:spacing w:after="0"/>
              <w:rPr>
                <w:sz w:val="9"/>
                <w:szCs w:val="9"/>
                <w:color w:val="auto"/>
              </w:rPr>
            </w:pPr>
          </w:p>
        </w:tc>
        <w:tc>
          <w:tcPr>
            <w:tcW w:w="580" w:type="dxa"/>
            <w:vAlign w:val="bottom"/>
          </w:tcPr>
          <w:p>
            <w:pPr>
              <w:ind w:left="46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88"/>
              </w:rPr>
              <w:t>Consumer Products</w:t>
            </w:r>
          </w:p>
        </w:tc>
        <w:tc>
          <w:tcPr>
            <w:tcW w:w="140" w:type="dxa"/>
            <w:vAlign w:val="bottom"/>
          </w:tcPr>
          <w:p>
            <w:pPr>
              <w:spacing w:after="0"/>
              <w:rPr>
                <w:sz w:val="9"/>
                <w:szCs w:val="9"/>
                <w:color w:val="auto"/>
              </w:rPr>
            </w:pPr>
          </w:p>
        </w:tc>
        <w:tc>
          <w:tcPr>
            <w:tcW w:w="94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w:t>
            </w:r>
          </w:p>
        </w:tc>
        <w:tc>
          <w:tcPr>
            <w:tcW w:w="540" w:type="dxa"/>
            <w:vAlign w:val="bottom"/>
          </w:tcPr>
          <w:p>
            <w:pPr>
              <w:spacing w:after="0"/>
              <w:rPr>
                <w:sz w:val="9"/>
                <w:szCs w:val="9"/>
                <w:color w:val="auto"/>
              </w:rPr>
            </w:pPr>
          </w:p>
        </w:tc>
        <w:tc>
          <w:tcPr>
            <w:tcW w:w="34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1,299</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spacing w:after="0" w:line="115" w:lineRule="exact"/>
              <w:rPr>
                <w:sz w:val="20"/>
                <w:szCs w:val="20"/>
                <w:color w:val="auto"/>
              </w:rPr>
            </w:pPr>
            <w:r>
              <w:rPr>
                <w:rFonts w:ascii="Arial" w:cs="Arial" w:eastAsia="Arial" w:hAnsi="Arial"/>
                <w:sz w:val="11"/>
                <w:szCs w:val="11"/>
                <w:color w:val="auto"/>
              </w:rPr>
              <w:t>1,262,435</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1,289,592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3000" w:type="dxa"/>
            <w:vAlign w:val="bottom"/>
            <w:vMerge w:val="restart"/>
            <w:shd w:val="clear" w:color="auto" w:fill="CCECFF"/>
          </w:tcPr>
          <w:p>
            <w:pPr>
              <w:ind w:left="100"/>
              <w:spacing w:after="0"/>
              <w:rPr>
                <w:sz w:val="20"/>
                <w:szCs w:val="20"/>
                <w:color w:val="auto"/>
              </w:rPr>
            </w:pPr>
            <w:r>
              <w:rPr>
                <w:rFonts w:ascii="Arial" w:cs="Arial" w:eastAsia="Arial" w:hAnsi="Arial"/>
                <w:sz w:val="11"/>
                <w:szCs w:val="11"/>
                <w:color w:val="auto"/>
              </w:rPr>
              <w:t xml:space="preserve">(Recteq, LLC) </w:t>
            </w:r>
            <w:r>
              <w:rPr>
                <w:rFonts w:ascii="Arial" w:cs="Arial" w:eastAsia="Arial" w:hAnsi="Arial"/>
                <w:sz w:val="14"/>
                <w:szCs w:val="14"/>
                <w:color w:val="auto"/>
                <w:vertAlign w:val="superscript"/>
              </w:rPr>
              <w:t>(9)</w:t>
            </w:r>
          </w:p>
        </w:tc>
        <w:tc>
          <w:tcPr>
            <w:tcW w:w="2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000" w:type="dxa"/>
            <w:vAlign w:val="bottom"/>
            <w:vMerge w:val="continue"/>
            <w:shd w:val="clear" w:color="auto" w:fill="CCECFF"/>
          </w:tcPr>
          <w:p>
            <w:pPr>
              <w:spacing w:after="0"/>
              <w:rPr>
                <w:sz w:val="11"/>
                <w:szCs w:val="11"/>
                <w:color w:val="auto"/>
              </w:rPr>
            </w:pPr>
          </w:p>
        </w:tc>
        <w:tc>
          <w:tcPr>
            <w:tcW w:w="200" w:type="dxa"/>
            <w:vAlign w:val="bottom"/>
            <w:gridSpan w:val="2"/>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000" w:type="dxa"/>
            <w:vAlign w:val="bottom"/>
          </w:tcPr>
          <w:p>
            <w:pPr>
              <w:ind w:left="20"/>
              <w:spacing w:after="0" w:line="125" w:lineRule="exact"/>
              <w:rPr>
                <w:sz w:val="20"/>
                <w:szCs w:val="20"/>
                <w:color w:val="auto"/>
              </w:rPr>
            </w:pPr>
            <w:r>
              <w:rPr>
                <w:rFonts w:ascii="Arial" w:cs="Arial" w:eastAsia="Arial" w:hAnsi="Arial"/>
                <w:sz w:val="11"/>
                <w:szCs w:val="11"/>
                <w:color w:val="auto"/>
              </w:rPr>
              <w:t>NXOF Holdings, Inc.</w:t>
            </w:r>
          </w:p>
        </w:tc>
        <w:tc>
          <w:tcPr>
            <w:tcW w:w="200" w:type="dxa"/>
            <w:vAlign w:val="bottom"/>
            <w:gridSpan w:val="2"/>
          </w:tcPr>
          <w:p>
            <w:pPr>
              <w:spacing w:after="0"/>
              <w:rPr>
                <w:sz w:val="10"/>
                <w:szCs w:val="10"/>
                <w:color w:val="auto"/>
              </w:rPr>
            </w:pPr>
          </w:p>
        </w:tc>
        <w:tc>
          <w:tcPr>
            <w:tcW w:w="580" w:type="dxa"/>
            <w:vAlign w:val="bottom"/>
          </w:tcPr>
          <w:p>
            <w:pPr>
              <w:ind w:left="460"/>
              <w:spacing w:after="0" w:line="12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0"/>
                <w:szCs w:val="10"/>
                <w:color w:val="auto"/>
              </w:rPr>
            </w:pPr>
          </w:p>
        </w:tc>
        <w:tc>
          <w:tcPr>
            <w:tcW w:w="2480" w:type="dxa"/>
            <w:vAlign w:val="bottom"/>
          </w:tcPr>
          <w:p>
            <w:pPr>
              <w:jc w:val="center"/>
              <w:spacing w:after="0" w:line="125" w:lineRule="exact"/>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0"/>
                <w:szCs w:val="10"/>
                <w:color w:val="auto"/>
              </w:rPr>
            </w:pPr>
          </w:p>
        </w:tc>
        <w:tc>
          <w:tcPr>
            <w:tcW w:w="94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540" w:type="dxa"/>
            <w:vAlign w:val="bottom"/>
          </w:tcPr>
          <w:p>
            <w:pPr>
              <w:spacing w:after="0"/>
              <w:rPr>
                <w:sz w:val="10"/>
                <w:szCs w:val="10"/>
                <w:color w:val="auto"/>
              </w:rPr>
            </w:pPr>
          </w:p>
        </w:tc>
        <w:tc>
          <w:tcPr>
            <w:tcW w:w="3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3,261</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3,261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329,589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00" w:type="dxa"/>
            <w:vAlign w:val="bottom"/>
            <w:gridSpan w:val="3"/>
          </w:tcPr>
          <w:p>
            <w:pPr>
              <w:ind w:left="100"/>
              <w:spacing w:after="0"/>
              <w:rPr>
                <w:sz w:val="20"/>
                <w:szCs w:val="20"/>
                <w:color w:val="auto"/>
              </w:rPr>
            </w:pPr>
            <w:r>
              <w:rPr>
                <w:rFonts w:ascii="Arial" w:cs="Arial" w:eastAsia="Arial" w:hAnsi="Arial"/>
                <w:sz w:val="11"/>
                <w:szCs w:val="11"/>
                <w:color w:val="auto"/>
              </w:rPr>
              <w:t>(Tyto Athene, LLC)</w:t>
            </w:r>
          </w:p>
        </w:tc>
        <w:tc>
          <w:tcPr>
            <w:tcW w:w="580" w:type="dxa"/>
            <w:vAlign w:val="bottom"/>
            <w:vMerge w:val="restart"/>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2"/>
                <w:szCs w:val="12"/>
                <w:color w:val="auto"/>
              </w:rPr>
            </w:pPr>
          </w:p>
        </w:tc>
        <w:tc>
          <w:tcPr>
            <w:tcW w:w="2480" w:type="dxa"/>
            <w:vAlign w:val="bottom"/>
            <w:vMerge w:val="restart"/>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1"/>
                <w:szCs w:val="11"/>
                <w:color w:val="auto"/>
              </w:rPr>
              <w:t>98,286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978,695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1,511,458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000" w:type="dxa"/>
            <w:vAlign w:val="bottom"/>
            <w:shd w:val="clear" w:color="auto" w:fill="CCECFF"/>
          </w:tcPr>
          <w:p>
            <w:pPr>
              <w:ind w:left="20"/>
              <w:spacing w:after="0" w:line="110" w:lineRule="exact"/>
              <w:rPr>
                <w:sz w:val="20"/>
                <w:szCs w:val="20"/>
                <w:color w:val="auto"/>
              </w:rPr>
            </w:pPr>
            <w:r>
              <w:rPr>
                <w:rFonts w:ascii="Arial" w:cs="Arial" w:eastAsia="Arial" w:hAnsi="Arial"/>
                <w:sz w:val="11"/>
                <w:szCs w:val="11"/>
                <w:color w:val="auto"/>
              </w:rPr>
              <w:t>OceanSound Discovery Equity, LP</w:t>
            </w:r>
          </w:p>
        </w:tc>
        <w:tc>
          <w:tcPr>
            <w:tcW w:w="200" w:type="dxa"/>
            <w:vAlign w:val="bottom"/>
            <w:gridSpan w:val="2"/>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3000" w:type="dxa"/>
            <w:vAlign w:val="bottom"/>
            <w:vMerge w:val="restart"/>
            <w:shd w:val="clear" w:color="auto" w:fill="CCECFF"/>
          </w:tcPr>
          <w:p>
            <w:pPr>
              <w:ind w:left="100"/>
              <w:spacing w:after="0"/>
              <w:rPr>
                <w:sz w:val="20"/>
                <w:szCs w:val="20"/>
                <w:color w:val="auto"/>
              </w:rPr>
            </w:pPr>
            <w:r>
              <w:rPr>
                <w:rFonts w:ascii="Arial" w:cs="Arial" w:eastAsia="Arial" w:hAnsi="Arial"/>
                <w:sz w:val="11"/>
                <w:szCs w:val="11"/>
                <w:color w:val="auto"/>
              </w:rPr>
              <w:t xml:space="preserve">(Holdco Sands Intermediate, LLC) </w:t>
            </w:r>
            <w:r>
              <w:rPr>
                <w:rFonts w:ascii="Arial" w:cs="Arial" w:eastAsia="Arial" w:hAnsi="Arial"/>
                <w:sz w:val="14"/>
                <w:szCs w:val="14"/>
                <w:color w:val="auto"/>
                <w:vertAlign w:val="superscript"/>
              </w:rPr>
              <w:t>(9)</w:t>
            </w:r>
          </w:p>
        </w:tc>
        <w:tc>
          <w:tcPr>
            <w:tcW w:w="2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000" w:type="dxa"/>
            <w:vAlign w:val="bottom"/>
            <w:vMerge w:val="continue"/>
            <w:shd w:val="clear" w:color="auto" w:fill="CCECFF"/>
          </w:tcPr>
          <w:p>
            <w:pPr>
              <w:spacing w:after="0"/>
              <w:rPr>
                <w:sz w:val="11"/>
                <w:szCs w:val="11"/>
                <w:color w:val="auto"/>
              </w:rPr>
            </w:pPr>
          </w:p>
        </w:tc>
        <w:tc>
          <w:tcPr>
            <w:tcW w:w="200" w:type="dxa"/>
            <w:vAlign w:val="bottom"/>
            <w:gridSpan w:val="2"/>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000" w:type="dxa"/>
            <w:vAlign w:val="bottom"/>
          </w:tcPr>
          <w:p>
            <w:pPr>
              <w:ind w:left="20"/>
              <w:spacing w:after="0" w:line="105" w:lineRule="exact"/>
              <w:rPr>
                <w:sz w:val="20"/>
                <w:szCs w:val="20"/>
                <w:color w:val="auto"/>
              </w:rPr>
            </w:pPr>
            <w:r>
              <w:rPr>
                <w:rFonts w:ascii="Arial" w:cs="Arial" w:eastAsia="Arial" w:hAnsi="Arial"/>
                <w:sz w:val="11"/>
                <w:szCs w:val="11"/>
                <w:color w:val="auto"/>
              </w:rPr>
              <w:t>OHCP V BC COI, L.P.</w:t>
            </w:r>
          </w:p>
        </w:tc>
        <w:tc>
          <w:tcPr>
            <w:tcW w:w="200" w:type="dxa"/>
            <w:vAlign w:val="bottom"/>
            <w:gridSpan w:val="2"/>
          </w:tcPr>
          <w:p>
            <w:pPr>
              <w:spacing w:after="0"/>
              <w:rPr>
                <w:sz w:val="9"/>
                <w:szCs w:val="9"/>
                <w:color w:val="auto"/>
              </w:rPr>
            </w:pPr>
          </w:p>
        </w:tc>
        <w:tc>
          <w:tcPr>
            <w:tcW w:w="580" w:type="dxa"/>
            <w:vAlign w:val="bottom"/>
          </w:tcPr>
          <w:p>
            <w:pPr>
              <w:ind w:left="460"/>
              <w:spacing w:after="0" w:line="10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480" w:type="dxa"/>
            <w:vAlign w:val="bottom"/>
          </w:tcPr>
          <w:p>
            <w:pPr>
              <w:jc w:val="center"/>
              <w:spacing w:after="0" w:line="105" w:lineRule="exact"/>
              <w:rPr>
                <w:sz w:val="20"/>
                <w:szCs w:val="20"/>
                <w:color w:val="auto"/>
              </w:rPr>
            </w:pPr>
            <w:r>
              <w:rPr>
                <w:rFonts w:ascii="Arial" w:cs="Arial" w:eastAsia="Arial" w:hAnsi="Arial"/>
                <w:sz w:val="11"/>
                <w:szCs w:val="11"/>
                <w:color w:val="auto"/>
                <w:w w:val="94"/>
              </w:rPr>
              <w:t>Distribution</w:t>
            </w:r>
          </w:p>
        </w:tc>
        <w:tc>
          <w:tcPr>
            <w:tcW w:w="140" w:type="dxa"/>
            <w:vAlign w:val="bottom"/>
          </w:tcPr>
          <w:p>
            <w:pPr>
              <w:spacing w:after="0"/>
              <w:rPr>
                <w:sz w:val="9"/>
                <w:szCs w:val="9"/>
                <w:color w:val="auto"/>
              </w:rPr>
            </w:pPr>
          </w:p>
        </w:tc>
        <w:tc>
          <w:tcPr>
            <w:tcW w:w="940" w:type="dxa"/>
            <w:vAlign w:val="bottom"/>
            <w:gridSpan w:val="2"/>
          </w:tcPr>
          <w:p>
            <w:pPr>
              <w:jc w:val="right"/>
              <w:ind w:right="240"/>
              <w:spacing w:after="0" w:line="105" w:lineRule="exact"/>
              <w:rPr>
                <w:sz w:val="20"/>
                <w:szCs w:val="20"/>
                <w:color w:val="auto"/>
              </w:rPr>
            </w:pPr>
            <w:r>
              <w:rPr>
                <w:rFonts w:ascii="Arial" w:cs="Arial" w:eastAsia="Arial" w:hAnsi="Arial"/>
                <w:sz w:val="11"/>
                <w:szCs w:val="11"/>
                <w:color w:val="auto"/>
              </w:rPr>
              <w:t>—</w:t>
            </w:r>
          </w:p>
        </w:tc>
        <w:tc>
          <w:tcPr>
            <w:tcW w:w="540" w:type="dxa"/>
            <w:vAlign w:val="bottom"/>
          </w:tcPr>
          <w:p>
            <w:pPr>
              <w:spacing w:after="0"/>
              <w:rPr>
                <w:sz w:val="9"/>
                <w:szCs w:val="9"/>
                <w:color w:val="auto"/>
              </w:rPr>
            </w:pPr>
          </w:p>
        </w:tc>
        <w:tc>
          <w:tcPr>
            <w:tcW w:w="34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446,250</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spacing w:after="0" w:line="105" w:lineRule="exact"/>
              <w:rPr>
                <w:sz w:val="20"/>
                <w:szCs w:val="20"/>
                <w:color w:val="auto"/>
              </w:rPr>
            </w:pPr>
            <w:r>
              <w:rPr>
                <w:rFonts w:ascii="Arial" w:cs="Arial" w:eastAsia="Arial" w:hAnsi="Arial"/>
                <w:sz w:val="11"/>
                <w:szCs w:val="11"/>
                <w:color w:val="auto"/>
              </w:rPr>
              <w:t>446,250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5" w:lineRule="exact"/>
              <w:rPr>
                <w:sz w:val="20"/>
                <w:szCs w:val="20"/>
                <w:color w:val="auto"/>
              </w:rPr>
            </w:pPr>
            <w:r>
              <w:rPr>
                <w:rFonts w:ascii="Arial" w:cs="Arial" w:eastAsia="Arial" w:hAnsi="Arial"/>
                <w:sz w:val="11"/>
                <w:szCs w:val="11"/>
                <w:color w:val="auto"/>
              </w:rPr>
              <w:t>446,250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OHCP V BC COI, L.P. </w:t>
            </w:r>
            <w:r>
              <w:rPr>
                <w:rFonts w:ascii="Arial" w:cs="Arial" w:eastAsia="Arial" w:hAnsi="Arial"/>
                <w:sz w:val="14"/>
                <w:szCs w:val="14"/>
                <w:color w:val="auto"/>
                <w:vertAlign w:val="superscript"/>
              </w:rPr>
              <w:t>(7),(9)</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303,750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200" w:type="dxa"/>
            <w:vAlign w:val="bottom"/>
            <w:gridSpan w:val="3"/>
          </w:tcPr>
          <w:p>
            <w:pPr>
              <w:ind w:left="20"/>
              <w:spacing w:after="0" w:line="155" w:lineRule="exact"/>
              <w:rPr>
                <w:sz w:val="20"/>
                <w:szCs w:val="20"/>
                <w:color w:val="auto"/>
              </w:rPr>
            </w:pPr>
            <w:r>
              <w:rPr>
                <w:rFonts w:ascii="Arial" w:cs="Arial" w:eastAsia="Arial" w:hAnsi="Arial"/>
                <w:sz w:val="11"/>
                <w:szCs w:val="11"/>
                <w:color w:val="auto"/>
              </w:rPr>
              <w:t xml:space="preserve">Oral Surgery (ITC) Holdings, LLC </w:t>
            </w:r>
            <w:r>
              <w:rPr>
                <w:rFonts w:ascii="Arial" w:cs="Arial" w:eastAsia="Arial" w:hAnsi="Arial"/>
                <w:sz w:val="14"/>
                <w:szCs w:val="14"/>
                <w:color w:val="auto"/>
                <w:vertAlign w:val="superscript"/>
              </w:rPr>
              <w:t>(9)</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2,904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62,500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71,107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200" w:type="dxa"/>
            <w:vAlign w:val="bottom"/>
            <w:gridSpan w:val="3"/>
          </w:tcPr>
          <w:p>
            <w:pPr>
              <w:ind w:left="20"/>
              <w:spacing w:after="0" w:line="115" w:lineRule="exact"/>
              <w:rPr>
                <w:sz w:val="20"/>
                <w:szCs w:val="20"/>
                <w:color w:val="auto"/>
              </w:rPr>
            </w:pPr>
            <w:r>
              <w:rPr>
                <w:rFonts w:ascii="Arial" w:cs="Arial" w:eastAsia="Arial" w:hAnsi="Arial"/>
                <w:sz w:val="11"/>
                <w:szCs w:val="11"/>
                <w:color w:val="auto"/>
              </w:rPr>
              <w:t>ORL Holdco, Inc.</w:t>
            </w:r>
          </w:p>
        </w:tc>
        <w:tc>
          <w:tcPr>
            <w:tcW w:w="580" w:type="dxa"/>
            <w:vAlign w:val="bottom"/>
          </w:tcPr>
          <w:p>
            <w:pPr>
              <w:ind w:left="46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9"/>
                <w:szCs w:val="9"/>
                <w:color w:val="auto"/>
              </w:rPr>
            </w:pPr>
          </w:p>
        </w:tc>
        <w:tc>
          <w:tcPr>
            <w:tcW w:w="94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w:t>
            </w:r>
          </w:p>
        </w:tc>
        <w:tc>
          <w:tcPr>
            <w:tcW w:w="540" w:type="dxa"/>
            <w:vAlign w:val="bottom"/>
          </w:tcPr>
          <w:p>
            <w:pPr>
              <w:spacing w:after="0"/>
              <w:rPr>
                <w:sz w:val="9"/>
                <w:szCs w:val="9"/>
                <w:color w:val="auto"/>
              </w:rPr>
            </w:pPr>
          </w:p>
        </w:tc>
        <w:tc>
          <w:tcPr>
            <w:tcW w:w="34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638</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spacing w:after="0" w:line="115" w:lineRule="exact"/>
              <w:rPr>
                <w:sz w:val="20"/>
                <w:szCs w:val="20"/>
                <w:color w:val="auto"/>
              </w:rPr>
            </w:pPr>
            <w:r>
              <w:rPr>
                <w:rFonts w:ascii="Arial" w:cs="Arial" w:eastAsia="Arial" w:hAnsi="Arial"/>
                <w:sz w:val="11"/>
                <w:szCs w:val="11"/>
                <w:color w:val="auto"/>
              </w:rPr>
              <w:t>6,385</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49,683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Pink Lily Holdco, LLC </w:t>
            </w:r>
            <w:r>
              <w:rPr>
                <w:rFonts w:ascii="Arial" w:cs="Arial" w:eastAsia="Arial" w:hAnsi="Arial"/>
                <w:sz w:val="14"/>
                <w:szCs w:val="14"/>
                <w:color w:val="auto"/>
                <w:vertAlign w:val="superscript"/>
              </w:rPr>
              <w:t>(9)</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2"/>
              </w:rPr>
              <w:t>Retail</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1,044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1,043,966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979,483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(9)</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700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65,957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338,275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(7),(9)</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967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200" w:type="dxa"/>
            <w:vAlign w:val="bottom"/>
            <w:gridSpan w:val="3"/>
          </w:tcPr>
          <w:p>
            <w:pPr>
              <w:ind w:left="20"/>
              <w:spacing w:after="0" w:line="155" w:lineRule="exact"/>
              <w:rPr>
                <w:sz w:val="20"/>
                <w:szCs w:val="20"/>
                <w:color w:val="auto"/>
              </w:rPr>
            </w:pPr>
            <w:r>
              <w:rPr>
                <w:rFonts w:ascii="Arial" w:cs="Arial" w:eastAsia="Arial" w:hAnsi="Arial"/>
                <w:sz w:val="11"/>
                <w:szCs w:val="11"/>
                <w:color w:val="auto"/>
              </w:rPr>
              <w:t xml:space="preserve">QuantiTech InvestCo II LP </w:t>
            </w:r>
            <w:r>
              <w:rPr>
                <w:rFonts w:ascii="Arial" w:cs="Arial" w:eastAsia="Arial" w:hAnsi="Arial"/>
                <w:sz w:val="14"/>
                <w:szCs w:val="14"/>
                <w:color w:val="auto"/>
                <w:vertAlign w:val="superscript"/>
              </w:rPr>
              <w:t>(9)</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24,000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40,378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ind w:left="20"/>
              <w:spacing w:after="0"/>
              <w:rPr>
                <w:sz w:val="20"/>
                <w:szCs w:val="20"/>
                <w:color w:val="auto"/>
              </w:rPr>
            </w:pPr>
            <w:r>
              <w:rPr>
                <w:rFonts w:ascii="Arial" w:cs="Arial" w:eastAsia="Arial" w:hAnsi="Arial"/>
                <w:sz w:val="11"/>
                <w:szCs w:val="11"/>
                <w:color w:val="auto"/>
              </w:rPr>
              <w:t>RFMG Parent, LP</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1,050,000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1,050,000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1,154,150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200" w:type="dxa"/>
            <w:vAlign w:val="bottom"/>
            <w:gridSpan w:val="3"/>
          </w:tcPr>
          <w:p>
            <w:pPr>
              <w:ind w:left="100"/>
              <w:spacing w:after="0"/>
              <w:rPr>
                <w:sz w:val="20"/>
                <w:szCs w:val="20"/>
                <w:color w:val="auto"/>
              </w:rPr>
            </w:pPr>
            <w:r>
              <w:rPr>
                <w:rFonts w:ascii="Arial" w:cs="Arial" w:eastAsia="Arial" w:hAnsi="Arial"/>
                <w:sz w:val="11"/>
                <w:szCs w:val="11"/>
                <w:color w:val="auto"/>
              </w:rPr>
              <w:t>(Rancho Health MSO, Inc.)</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000" w:type="dxa"/>
            <w:vAlign w:val="bottom"/>
            <w:shd w:val="clear" w:color="auto" w:fill="CCECFF"/>
          </w:tcPr>
          <w:p>
            <w:pPr>
              <w:ind w:left="20"/>
              <w:spacing w:after="0"/>
              <w:rPr>
                <w:sz w:val="20"/>
                <w:szCs w:val="20"/>
                <w:color w:val="auto"/>
              </w:rPr>
            </w:pPr>
            <w:r>
              <w:rPr>
                <w:rFonts w:ascii="Arial" w:cs="Arial" w:eastAsia="Arial" w:hAnsi="Arial"/>
                <w:sz w:val="11"/>
                <w:szCs w:val="11"/>
                <w:color w:val="auto"/>
              </w:rPr>
              <w:t>SBI Holdings Investments LLC</w:t>
            </w:r>
          </w:p>
        </w:tc>
        <w:tc>
          <w:tcPr>
            <w:tcW w:w="200" w:type="dxa"/>
            <w:vAlign w:val="bottom"/>
            <w:gridSpan w:val="2"/>
            <w:shd w:val="clear" w:color="auto" w:fill="CCECFF"/>
          </w:tcPr>
          <w:p>
            <w:pPr>
              <w:spacing w:after="0"/>
              <w:rPr>
                <w:sz w:val="11"/>
                <w:szCs w:val="11"/>
                <w:color w:val="auto"/>
              </w:rPr>
            </w:pPr>
          </w:p>
        </w:tc>
        <w:tc>
          <w:tcPr>
            <w:tcW w:w="580" w:type="dxa"/>
            <w:vAlign w:val="bottom"/>
            <w:shd w:val="clear" w:color="auto" w:fill="CCECFF"/>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CFF"/>
          </w:tcPr>
          <w:p>
            <w:pPr>
              <w:spacing w:after="0"/>
              <w:rPr>
                <w:sz w:val="11"/>
                <w:szCs w:val="11"/>
                <w:color w:val="auto"/>
              </w:rPr>
            </w:pPr>
          </w:p>
        </w:tc>
        <w:tc>
          <w:tcPr>
            <w:tcW w:w="3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36,585</w:t>
            </w:r>
          </w:p>
        </w:tc>
        <w:tc>
          <w:tcPr>
            <w:tcW w:w="1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365,854</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313,271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000" w:type="dxa"/>
            <w:vAlign w:val="bottom"/>
            <w:shd w:val="clear" w:color="auto" w:fill="CCECFF"/>
          </w:tcPr>
          <w:p>
            <w:pPr>
              <w:ind w:left="100"/>
              <w:spacing w:after="0"/>
              <w:rPr>
                <w:sz w:val="20"/>
                <w:szCs w:val="20"/>
                <w:color w:val="auto"/>
              </w:rPr>
            </w:pPr>
            <w:r>
              <w:rPr>
                <w:rFonts w:ascii="Arial" w:cs="Arial" w:eastAsia="Arial" w:hAnsi="Arial"/>
                <w:sz w:val="11"/>
                <w:szCs w:val="11"/>
                <w:color w:val="auto"/>
              </w:rPr>
              <w:t>(Sales Benchmark Index LLC)</w:t>
            </w:r>
          </w:p>
        </w:tc>
        <w:tc>
          <w:tcPr>
            <w:tcW w:w="200" w:type="dxa"/>
            <w:vAlign w:val="bottom"/>
            <w:gridSpan w:val="2"/>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Arial" w:cs="Arial" w:eastAsia="Arial" w:hAnsi="Arial"/>
                <w:sz w:val="11"/>
                <w:szCs w:val="11"/>
                <w:color w:val="auto"/>
              </w:rPr>
              <w:t>Signature CR Intermediate Holdco, Inc.</w:t>
            </w:r>
          </w:p>
        </w:tc>
        <w:tc>
          <w:tcPr>
            <w:tcW w:w="200" w:type="dxa"/>
            <w:vAlign w:val="bottom"/>
            <w:gridSpan w:val="2"/>
          </w:tcPr>
          <w:p>
            <w:pPr>
              <w:spacing w:after="0"/>
              <w:rPr>
                <w:sz w:val="11"/>
                <w:szCs w:val="11"/>
                <w:color w:val="auto"/>
              </w:rPr>
            </w:pP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80,370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SP L2 Holdings, LLC</w:t>
            </w:r>
          </w:p>
        </w:tc>
        <w:tc>
          <w:tcPr>
            <w:tcW w:w="580" w:type="dxa"/>
            <w:vAlign w:val="bottom"/>
            <w:shd w:val="clear" w:color="auto" w:fill="CCECFF"/>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Consumer Products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CFF"/>
          </w:tcPr>
          <w:p>
            <w:pPr>
              <w:spacing w:after="0"/>
              <w:rPr>
                <w:sz w:val="11"/>
                <w:szCs w:val="11"/>
                <w:color w:val="auto"/>
              </w:rPr>
            </w:pPr>
          </w:p>
        </w:tc>
        <w:tc>
          <w:tcPr>
            <w:tcW w:w="3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881,966</w:t>
            </w:r>
          </w:p>
        </w:tc>
        <w:tc>
          <w:tcPr>
            <w:tcW w:w="1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881,966</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881,966</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200" w:type="dxa"/>
            <w:vAlign w:val="bottom"/>
            <w:gridSpan w:val="3"/>
          </w:tcPr>
          <w:p>
            <w:pPr>
              <w:ind w:left="20"/>
              <w:spacing w:after="0" w:line="125" w:lineRule="exact"/>
              <w:rPr>
                <w:sz w:val="20"/>
                <w:szCs w:val="20"/>
                <w:color w:val="auto"/>
              </w:rPr>
            </w:pPr>
            <w:r>
              <w:rPr>
                <w:rFonts w:ascii="Arial" w:cs="Arial" w:eastAsia="Arial" w:hAnsi="Arial"/>
                <w:sz w:val="11"/>
                <w:szCs w:val="11"/>
                <w:color w:val="auto"/>
              </w:rPr>
              <w:t>SSC Dominion Holdings, LLC</w:t>
            </w:r>
          </w:p>
        </w:tc>
        <w:tc>
          <w:tcPr>
            <w:tcW w:w="580" w:type="dxa"/>
            <w:vAlign w:val="bottom"/>
          </w:tcPr>
          <w:p>
            <w:pPr>
              <w:ind w:left="460"/>
              <w:spacing w:after="0" w:line="12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0"/>
                <w:szCs w:val="10"/>
                <w:color w:val="auto"/>
              </w:rPr>
            </w:pPr>
          </w:p>
        </w:tc>
        <w:tc>
          <w:tcPr>
            <w:tcW w:w="2480" w:type="dxa"/>
            <w:vAlign w:val="bottom"/>
          </w:tcPr>
          <w:p>
            <w:pPr>
              <w:jc w:val="center"/>
              <w:spacing w:after="0" w:line="125" w:lineRule="exact"/>
              <w:rPr>
                <w:sz w:val="20"/>
                <w:szCs w:val="20"/>
                <w:color w:val="auto"/>
              </w:rPr>
            </w:pPr>
            <w:r>
              <w:rPr>
                <w:rFonts w:ascii="Arial" w:cs="Arial" w:eastAsia="Arial" w:hAnsi="Arial"/>
                <w:sz w:val="11"/>
                <w:szCs w:val="11"/>
                <w:color w:val="auto"/>
                <w:w w:val="89"/>
              </w:rPr>
              <w:t>Electronics</w:t>
            </w:r>
          </w:p>
        </w:tc>
        <w:tc>
          <w:tcPr>
            <w:tcW w:w="140" w:type="dxa"/>
            <w:vAlign w:val="bottom"/>
          </w:tcPr>
          <w:p>
            <w:pPr>
              <w:spacing w:after="0"/>
              <w:rPr>
                <w:sz w:val="10"/>
                <w:szCs w:val="10"/>
                <w:color w:val="auto"/>
              </w:rPr>
            </w:pPr>
          </w:p>
        </w:tc>
        <w:tc>
          <w:tcPr>
            <w:tcW w:w="94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540" w:type="dxa"/>
            <w:vAlign w:val="bottom"/>
          </w:tcPr>
          <w:p>
            <w:pPr>
              <w:spacing w:after="0"/>
              <w:rPr>
                <w:sz w:val="10"/>
                <w:szCs w:val="10"/>
                <w:color w:val="auto"/>
              </w:rPr>
            </w:pPr>
          </w:p>
        </w:tc>
        <w:tc>
          <w:tcPr>
            <w:tcW w:w="3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1,500</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1,500,000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1,889,568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00" w:type="dxa"/>
            <w:vAlign w:val="bottom"/>
            <w:gridSpan w:val="3"/>
          </w:tcPr>
          <w:p>
            <w:pPr>
              <w:ind w:left="100"/>
              <w:spacing w:after="0"/>
              <w:rPr>
                <w:sz w:val="20"/>
                <w:szCs w:val="20"/>
                <w:color w:val="auto"/>
              </w:rPr>
            </w:pPr>
            <w:r>
              <w:rPr>
                <w:rFonts w:ascii="Arial" w:cs="Arial" w:eastAsia="Arial" w:hAnsi="Arial"/>
                <w:sz w:val="11"/>
                <w:szCs w:val="11"/>
                <w:color w:val="auto"/>
              </w:rPr>
              <w:t>Class A (US Dominion, Inc.)</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000" w:type="dxa"/>
            <w:vAlign w:val="bottom"/>
            <w:shd w:val="clear" w:color="auto" w:fill="CCECFF"/>
          </w:tcPr>
          <w:p>
            <w:pPr>
              <w:ind w:left="20"/>
              <w:spacing w:after="0"/>
              <w:rPr>
                <w:sz w:val="20"/>
                <w:szCs w:val="20"/>
                <w:color w:val="auto"/>
              </w:rPr>
            </w:pPr>
            <w:r>
              <w:rPr>
                <w:rFonts w:ascii="Arial" w:cs="Arial" w:eastAsia="Arial" w:hAnsi="Arial"/>
                <w:sz w:val="11"/>
                <w:szCs w:val="11"/>
                <w:color w:val="auto"/>
              </w:rPr>
              <w:t>SSC Dominion Holdings, LLC</w:t>
            </w:r>
          </w:p>
        </w:tc>
        <w:tc>
          <w:tcPr>
            <w:tcW w:w="200" w:type="dxa"/>
            <w:vAlign w:val="bottom"/>
            <w:gridSpan w:val="2"/>
            <w:shd w:val="clear" w:color="auto" w:fill="CCECFF"/>
          </w:tcPr>
          <w:p>
            <w:pPr>
              <w:spacing w:after="0"/>
              <w:rPr>
                <w:sz w:val="11"/>
                <w:szCs w:val="11"/>
                <w:color w:val="auto"/>
              </w:rPr>
            </w:pPr>
          </w:p>
        </w:tc>
        <w:tc>
          <w:tcPr>
            <w:tcW w:w="580" w:type="dxa"/>
            <w:vAlign w:val="bottom"/>
            <w:shd w:val="clear" w:color="auto" w:fill="CCECFF"/>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CFF"/>
          </w:tcPr>
          <w:p>
            <w:pPr>
              <w:spacing w:after="0"/>
              <w:rPr>
                <w:sz w:val="11"/>
                <w:szCs w:val="11"/>
                <w:color w:val="auto"/>
              </w:rPr>
            </w:pPr>
          </w:p>
        </w:tc>
        <w:tc>
          <w:tcPr>
            <w:tcW w:w="3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1,500</w:t>
            </w:r>
          </w:p>
        </w:tc>
        <w:tc>
          <w:tcPr>
            <w:tcW w:w="1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3,729,814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000" w:type="dxa"/>
            <w:vAlign w:val="bottom"/>
            <w:shd w:val="clear" w:color="auto" w:fill="CCECFF"/>
          </w:tcPr>
          <w:p>
            <w:pPr>
              <w:ind w:left="100"/>
              <w:spacing w:after="0"/>
              <w:rPr>
                <w:sz w:val="20"/>
                <w:szCs w:val="20"/>
                <w:color w:val="auto"/>
              </w:rPr>
            </w:pPr>
            <w:r>
              <w:rPr>
                <w:rFonts w:ascii="Arial" w:cs="Arial" w:eastAsia="Arial" w:hAnsi="Arial"/>
                <w:sz w:val="11"/>
                <w:szCs w:val="11"/>
                <w:color w:val="auto"/>
              </w:rPr>
              <w:t>Class B (US Dominion, Inc.)</w:t>
            </w:r>
          </w:p>
        </w:tc>
        <w:tc>
          <w:tcPr>
            <w:tcW w:w="200" w:type="dxa"/>
            <w:vAlign w:val="bottom"/>
            <w:gridSpan w:val="2"/>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000" w:type="dxa"/>
            <w:vAlign w:val="bottom"/>
          </w:tcPr>
          <w:p>
            <w:pPr>
              <w:ind w:left="20"/>
              <w:spacing w:after="0" w:line="125" w:lineRule="exact"/>
              <w:rPr>
                <w:sz w:val="20"/>
                <w:szCs w:val="20"/>
                <w:color w:val="auto"/>
              </w:rPr>
            </w:pPr>
            <w:r>
              <w:rPr>
                <w:rFonts w:ascii="Arial" w:cs="Arial" w:eastAsia="Arial" w:hAnsi="Arial"/>
                <w:sz w:val="11"/>
                <w:szCs w:val="11"/>
                <w:color w:val="auto"/>
              </w:rPr>
              <w:t>StellPen Holdings, LLC</w:t>
            </w:r>
          </w:p>
        </w:tc>
        <w:tc>
          <w:tcPr>
            <w:tcW w:w="200" w:type="dxa"/>
            <w:vAlign w:val="bottom"/>
            <w:gridSpan w:val="2"/>
          </w:tcPr>
          <w:p>
            <w:pPr>
              <w:spacing w:after="0"/>
              <w:rPr>
                <w:sz w:val="10"/>
                <w:szCs w:val="10"/>
                <w:color w:val="auto"/>
              </w:rPr>
            </w:pPr>
          </w:p>
        </w:tc>
        <w:tc>
          <w:tcPr>
            <w:tcW w:w="580" w:type="dxa"/>
            <w:vAlign w:val="bottom"/>
          </w:tcPr>
          <w:p>
            <w:pPr>
              <w:ind w:left="460"/>
              <w:spacing w:after="0" w:line="12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0"/>
                <w:szCs w:val="10"/>
                <w:color w:val="auto"/>
              </w:rPr>
            </w:pPr>
          </w:p>
        </w:tc>
        <w:tc>
          <w:tcPr>
            <w:tcW w:w="2480" w:type="dxa"/>
            <w:vAlign w:val="bottom"/>
          </w:tcPr>
          <w:p>
            <w:pPr>
              <w:jc w:val="center"/>
              <w:spacing w:after="0" w:line="125" w:lineRule="exact"/>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0"/>
                <w:szCs w:val="10"/>
                <w:color w:val="auto"/>
              </w:rPr>
            </w:pPr>
          </w:p>
        </w:tc>
        <w:tc>
          <w:tcPr>
            <w:tcW w:w="94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540" w:type="dxa"/>
            <w:vAlign w:val="bottom"/>
          </w:tcPr>
          <w:p>
            <w:pPr>
              <w:spacing w:after="0"/>
              <w:rPr>
                <w:sz w:val="10"/>
                <w:szCs w:val="10"/>
                <w:color w:val="auto"/>
              </w:rPr>
            </w:pPr>
          </w:p>
        </w:tc>
        <w:tc>
          <w:tcPr>
            <w:tcW w:w="3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153,846</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rPr>
              <w:t>153,846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180,000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200" w:type="dxa"/>
            <w:vAlign w:val="bottom"/>
            <w:gridSpan w:val="3"/>
          </w:tcPr>
          <w:p>
            <w:pPr>
              <w:ind w:left="100"/>
              <w:spacing w:after="0" w:line="115" w:lineRule="exact"/>
              <w:rPr>
                <w:sz w:val="20"/>
                <w:szCs w:val="20"/>
                <w:color w:val="auto"/>
              </w:rPr>
            </w:pPr>
            <w:r>
              <w:rPr>
                <w:rFonts w:ascii="Arial" w:cs="Arial" w:eastAsia="Arial" w:hAnsi="Arial"/>
                <w:sz w:val="11"/>
                <w:szCs w:val="11"/>
                <w:color w:val="auto"/>
              </w:rPr>
              <w:t>(CF512, Inc.)</w:t>
            </w: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TAC LifePort Holdings, LLC </w:t>
            </w:r>
            <w:r>
              <w:rPr>
                <w:rFonts w:ascii="Arial" w:cs="Arial" w:eastAsia="Arial" w:hAnsi="Arial"/>
                <w:sz w:val="14"/>
                <w:szCs w:val="14"/>
                <w:color w:val="auto"/>
                <w:vertAlign w:val="superscript"/>
              </w:rPr>
              <w:t>(9)</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232,558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232,555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239,530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Tower Arch Infolinks Media, LP </w:t>
            </w:r>
            <w:r>
              <w:rPr>
                <w:rFonts w:ascii="Arial" w:cs="Arial" w:eastAsia="Arial" w:hAnsi="Arial"/>
                <w:sz w:val="14"/>
                <w:szCs w:val="14"/>
                <w:color w:val="auto"/>
                <w:vertAlign w:val="superscript"/>
              </w:rPr>
              <w:t>(9)</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527,378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527,378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527,378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Tower Arch Infolinks Media, LP </w:t>
            </w:r>
            <w:r>
              <w:rPr>
                <w:rFonts w:ascii="Arial" w:cs="Arial" w:eastAsia="Arial" w:hAnsi="Arial"/>
                <w:sz w:val="14"/>
                <w:szCs w:val="14"/>
                <w:color w:val="auto"/>
                <w:vertAlign w:val="superscript"/>
              </w:rPr>
              <w:t>(7), (9)</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368,066</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200" w:type="dxa"/>
            <w:vAlign w:val="bottom"/>
            <w:gridSpan w:val="3"/>
          </w:tcPr>
          <w:p>
            <w:pPr>
              <w:ind w:left="20"/>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(8). (11)</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7"/>
              </w:rPr>
              <w:t>Food</w:t>
            </w:r>
          </w:p>
        </w:tc>
        <w:tc>
          <w:tcPr>
            <w:tcW w:w="1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11,527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11,527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3,228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Arial" w:cs="Arial" w:eastAsia="Arial" w:hAnsi="Arial"/>
                <w:sz w:val="11"/>
                <w:szCs w:val="11"/>
                <w:color w:val="auto"/>
              </w:rPr>
              <w:t>TWD Parent Holdings, LLC</w:t>
            </w:r>
          </w:p>
        </w:tc>
        <w:tc>
          <w:tcPr>
            <w:tcW w:w="200" w:type="dxa"/>
            <w:vAlign w:val="bottom"/>
            <w:gridSpan w:val="2"/>
            <w:shd w:val="clear" w:color="auto" w:fill="CCECFF"/>
          </w:tcPr>
          <w:p>
            <w:pPr>
              <w:spacing w:after="0"/>
              <w:rPr>
                <w:sz w:val="11"/>
                <w:szCs w:val="11"/>
                <w:color w:val="auto"/>
              </w:rPr>
            </w:pPr>
          </w:p>
        </w:tc>
        <w:tc>
          <w:tcPr>
            <w:tcW w:w="580" w:type="dxa"/>
            <w:vAlign w:val="bottom"/>
            <w:shd w:val="clear" w:color="auto" w:fill="CCECFF"/>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CFF"/>
          </w:tcPr>
          <w:p>
            <w:pPr>
              <w:spacing w:after="0"/>
              <w:rPr>
                <w:sz w:val="11"/>
                <w:szCs w:val="11"/>
                <w:color w:val="auto"/>
              </w:rPr>
            </w:pPr>
          </w:p>
        </w:tc>
        <w:tc>
          <w:tcPr>
            <w:tcW w:w="3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608</w:t>
            </w:r>
          </w:p>
        </w:tc>
        <w:tc>
          <w:tcPr>
            <w:tcW w:w="1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608</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00" w:type="dxa"/>
            <w:vAlign w:val="bottom"/>
          </w:tcPr>
          <w:p>
            <w:pPr>
              <w:ind w:left="100"/>
              <w:spacing w:after="0" w:line="105" w:lineRule="exact"/>
              <w:rPr>
                <w:sz w:val="20"/>
                <w:szCs w:val="20"/>
                <w:color w:val="auto"/>
              </w:rPr>
            </w:pPr>
            <w:r>
              <w:rPr>
                <w:rFonts w:ascii="Arial" w:cs="Arial" w:eastAsia="Arial" w:hAnsi="Arial"/>
                <w:sz w:val="11"/>
                <w:szCs w:val="11"/>
                <w:color w:val="auto"/>
              </w:rPr>
              <w:t>(The Vertex Companies, LLC)</w:t>
            </w:r>
          </w:p>
        </w:tc>
        <w:tc>
          <w:tcPr>
            <w:tcW w:w="200" w:type="dxa"/>
            <w:vAlign w:val="bottom"/>
            <w:tcBorders>
              <w:bottom w:val="single" w:sz="8" w:color="CCECFF"/>
            </w:tcBorders>
            <w:gridSpan w:val="2"/>
            <w:shd w:val="clear" w:color="auto" w:fill="CCECFF"/>
          </w:tcPr>
          <w:p>
            <w:pPr>
              <w:spacing w:after="0"/>
              <w:rPr>
                <w:sz w:val="10"/>
                <w:szCs w:val="10"/>
                <w:color w:val="auto"/>
              </w:rPr>
            </w:pPr>
          </w:p>
        </w:tc>
        <w:tc>
          <w:tcPr>
            <w:tcW w:w="58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248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540" w:type="dxa"/>
            <w:vAlign w:val="bottom"/>
            <w:tcBorders>
              <w:bottom w:val="single" w:sz="8" w:color="CCECFF"/>
            </w:tcBorders>
            <w:shd w:val="clear" w:color="auto" w:fill="CCECFF"/>
          </w:tcPr>
          <w:p>
            <w:pPr>
              <w:spacing w:after="0"/>
              <w:rPr>
                <w:sz w:val="10"/>
                <w:szCs w:val="10"/>
                <w:color w:val="auto"/>
              </w:rPr>
            </w:pPr>
          </w:p>
        </w:tc>
        <w:tc>
          <w:tcPr>
            <w:tcW w:w="34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74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4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000" w:type="dxa"/>
            <w:vAlign w:val="bottom"/>
          </w:tcPr>
          <w:p>
            <w:pPr>
              <w:ind w:left="20"/>
              <w:spacing w:after="0" w:line="105" w:lineRule="exact"/>
              <w:rPr>
                <w:sz w:val="20"/>
                <w:szCs w:val="20"/>
                <w:color w:val="auto"/>
              </w:rPr>
            </w:pPr>
            <w:r>
              <w:rPr>
                <w:rFonts w:ascii="Arial" w:cs="Arial" w:eastAsia="Arial" w:hAnsi="Arial"/>
                <w:sz w:val="9"/>
                <w:szCs w:val="9"/>
                <w:color w:val="auto"/>
              </w:rPr>
              <w:t xml:space="preserve">U.S. Well Services, Inc. - Class A </w:t>
            </w:r>
            <w:r>
              <w:rPr>
                <w:rFonts w:ascii="Arial" w:cs="Arial" w:eastAsia="Arial" w:hAnsi="Arial"/>
                <w:sz w:val="12"/>
                <w:szCs w:val="12"/>
                <w:color w:val="auto"/>
                <w:vertAlign w:val="superscript"/>
              </w:rPr>
              <w:t>(5), (11)</w:t>
            </w:r>
          </w:p>
        </w:tc>
        <w:tc>
          <w:tcPr>
            <w:tcW w:w="200" w:type="dxa"/>
            <w:vAlign w:val="bottom"/>
            <w:gridSpan w:val="2"/>
          </w:tcPr>
          <w:p>
            <w:pPr>
              <w:spacing w:after="0"/>
              <w:rPr>
                <w:sz w:val="9"/>
                <w:szCs w:val="9"/>
                <w:color w:val="auto"/>
              </w:rPr>
            </w:pPr>
          </w:p>
        </w:tc>
        <w:tc>
          <w:tcPr>
            <w:tcW w:w="580" w:type="dxa"/>
            <w:vAlign w:val="bottom"/>
          </w:tcPr>
          <w:p>
            <w:pPr>
              <w:ind w:left="460"/>
              <w:spacing w:after="0" w:line="10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480" w:type="dxa"/>
            <w:vAlign w:val="bottom"/>
          </w:tcPr>
          <w:p>
            <w:pPr>
              <w:jc w:val="center"/>
              <w:spacing w:after="0" w:line="105" w:lineRule="exact"/>
              <w:rPr>
                <w:sz w:val="20"/>
                <w:szCs w:val="20"/>
                <w:color w:val="auto"/>
              </w:rPr>
            </w:pPr>
            <w:r>
              <w:rPr>
                <w:rFonts w:ascii="Arial" w:cs="Arial" w:eastAsia="Arial" w:hAnsi="Arial"/>
                <w:sz w:val="11"/>
                <w:szCs w:val="11"/>
                <w:color w:val="auto"/>
                <w:w w:val="89"/>
              </w:rPr>
              <w:t>Oil and Gas</w:t>
            </w:r>
          </w:p>
        </w:tc>
        <w:tc>
          <w:tcPr>
            <w:tcW w:w="140" w:type="dxa"/>
            <w:vAlign w:val="bottom"/>
          </w:tcPr>
          <w:p>
            <w:pPr>
              <w:spacing w:after="0"/>
              <w:rPr>
                <w:sz w:val="9"/>
                <w:szCs w:val="9"/>
                <w:color w:val="auto"/>
              </w:rPr>
            </w:pPr>
          </w:p>
        </w:tc>
        <w:tc>
          <w:tcPr>
            <w:tcW w:w="940" w:type="dxa"/>
            <w:vAlign w:val="bottom"/>
            <w:gridSpan w:val="2"/>
          </w:tcPr>
          <w:p>
            <w:pPr>
              <w:jc w:val="right"/>
              <w:ind w:right="240"/>
              <w:spacing w:after="0" w:line="105" w:lineRule="exact"/>
              <w:rPr>
                <w:sz w:val="20"/>
                <w:szCs w:val="20"/>
                <w:color w:val="auto"/>
              </w:rPr>
            </w:pPr>
            <w:r>
              <w:rPr>
                <w:rFonts w:ascii="Arial" w:cs="Arial" w:eastAsia="Arial" w:hAnsi="Arial"/>
                <w:sz w:val="11"/>
                <w:szCs w:val="11"/>
                <w:color w:val="auto"/>
              </w:rPr>
              <w:t>—</w:t>
            </w:r>
          </w:p>
        </w:tc>
        <w:tc>
          <w:tcPr>
            <w:tcW w:w="540" w:type="dxa"/>
            <w:vAlign w:val="bottom"/>
          </w:tcPr>
          <w:p>
            <w:pPr>
              <w:spacing w:after="0"/>
              <w:rPr>
                <w:sz w:val="9"/>
                <w:szCs w:val="9"/>
                <w:color w:val="auto"/>
              </w:rPr>
            </w:pPr>
          </w:p>
        </w:tc>
        <w:tc>
          <w:tcPr>
            <w:tcW w:w="34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360,343</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spacing w:after="0" w:line="105" w:lineRule="exact"/>
              <w:rPr>
                <w:sz w:val="20"/>
                <w:szCs w:val="20"/>
                <w:color w:val="auto"/>
              </w:rPr>
            </w:pPr>
            <w:r>
              <w:rPr>
                <w:rFonts w:ascii="Arial" w:cs="Arial" w:eastAsia="Arial" w:hAnsi="Arial"/>
                <w:sz w:val="11"/>
                <w:szCs w:val="11"/>
                <w:color w:val="auto"/>
              </w:rPr>
              <w:t>3,021,880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5" w:lineRule="exact"/>
              <w:rPr>
                <w:sz w:val="20"/>
                <w:szCs w:val="20"/>
                <w:color w:val="auto"/>
              </w:rPr>
            </w:pPr>
            <w:r>
              <w:rPr>
                <w:rFonts w:ascii="Arial" w:cs="Arial" w:eastAsia="Arial" w:hAnsi="Arial"/>
                <w:sz w:val="11"/>
                <w:szCs w:val="11"/>
                <w:color w:val="auto"/>
              </w:rPr>
              <w:t>414,394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200" w:type="dxa"/>
            <w:vAlign w:val="bottom"/>
            <w:gridSpan w:val="3"/>
          </w:tcPr>
          <w:p>
            <w:pPr>
              <w:ind w:left="20"/>
              <w:spacing w:after="0" w:line="155" w:lineRule="exact"/>
              <w:rPr>
                <w:sz w:val="20"/>
                <w:szCs w:val="20"/>
                <w:color w:val="auto"/>
              </w:rPr>
            </w:pPr>
            <w:r>
              <w:rPr>
                <w:rFonts w:ascii="Arial" w:cs="Arial" w:eastAsia="Arial" w:hAnsi="Arial"/>
                <w:sz w:val="11"/>
                <w:szCs w:val="11"/>
                <w:color w:val="auto"/>
              </w:rPr>
              <w:t xml:space="preserve">UniVista Insurance </w:t>
            </w:r>
            <w:r>
              <w:rPr>
                <w:rFonts w:ascii="Arial" w:cs="Arial" w:eastAsia="Arial" w:hAnsi="Arial"/>
                <w:sz w:val="14"/>
                <w:szCs w:val="14"/>
                <w:color w:val="auto"/>
                <w:vertAlign w:val="superscript"/>
              </w:rPr>
              <w:t>(9)</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400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400,000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412,768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ind w:left="20"/>
              <w:spacing w:after="0"/>
              <w:rPr>
                <w:sz w:val="20"/>
                <w:szCs w:val="20"/>
                <w:color w:val="auto"/>
              </w:rPr>
            </w:pPr>
            <w:r>
              <w:rPr>
                <w:rFonts w:ascii="Arial" w:cs="Arial" w:eastAsia="Arial" w:hAnsi="Arial"/>
                <w:sz w:val="11"/>
                <w:szCs w:val="11"/>
                <w:color w:val="auto"/>
              </w:rPr>
              <w:t>Wildcat Parent, LP</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Electronics</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2,314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231,400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424,625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200" w:type="dxa"/>
            <w:vAlign w:val="bottom"/>
            <w:gridSpan w:val="3"/>
          </w:tcPr>
          <w:p>
            <w:pPr>
              <w:ind w:left="100"/>
              <w:spacing w:after="0"/>
              <w:rPr>
                <w:sz w:val="20"/>
                <w:szCs w:val="20"/>
                <w:color w:val="auto"/>
              </w:rPr>
            </w:pPr>
            <w:r>
              <w:rPr>
                <w:rFonts w:ascii="Arial" w:cs="Arial" w:eastAsia="Arial" w:hAnsi="Arial"/>
                <w:sz w:val="11"/>
                <w:szCs w:val="11"/>
                <w:color w:val="auto"/>
              </w:rPr>
              <w:t>(Wildcat Buyerco, Inc.)</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5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540" w:type="dxa"/>
            <w:vAlign w:val="bottom"/>
            <w:tcBorders>
              <w:bottom w:val="single" w:sz="8" w:color="CCECFF"/>
            </w:tcBorders>
            <w:shd w:val="clear" w:color="auto" w:fill="CCECFF"/>
          </w:tcPr>
          <w:p>
            <w:pPr>
              <w:spacing w:after="0"/>
              <w:rPr>
                <w:sz w:val="11"/>
                <w:szCs w:val="11"/>
                <w:color w:val="auto"/>
              </w:rPr>
            </w:pPr>
          </w:p>
        </w:tc>
        <w:tc>
          <w:tcPr>
            <w:tcW w:w="34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44,971,759</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110,022,798</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780" w:type="dxa"/>
            <w:vAlign w:val="bottom"/>
            <w:gridSpan w:val="4"/>
          </w:tcPr>
          <w:p>
            <w:pPr>
              <w:ind w:left="20"/>
              <w:spacing w:after="0" w:line="110" w:lineRule="exact"/>
              <w:rPr>
                <w:sz w:val="20"/>
                <w:szCs w:val="20"/>
                <w:color w:val="auto"/>
              </w:rPr>
            </w:pPr>
            <w:r>
              <w:rPr>
                <w:rFonts w:ascii="Arial" w:cs="Arial" w:eastAsia="Arial" w:hAnsi="Arial"/>
                <w:sz w:val="11"/>
                <w:szCs w:val="11"/>
                <w:b w:val="1"/>
                <w:bCs w:val="1"/>
                <w:color w:val="auto"/>
                <w:w w:val="98"/>
              </w:rPr>
              <w:t>Total Investments in Non-Controlled, Non-Affiliated Portfolio Companies</w:t>
            </w:r>
          </w:p>
        </w:tc>
        <w:tc>
          <w:tcPr>
            <w:tcW w:w="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w w:val="98"/>
              </w:rPr>
              <w:t>890,776,532</w:t>
            </w: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931,825,423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780" w:type="dxa"/>
            <w:vAlign w:val="bottom"/>
            <w:gridSpan w:val="4"/>
          </w:tcPr>
          <w:p>
            <w:pPr>
              <w:ind w:left="20"/>
              <w:spacing w:after="0" w:line="103" w:lineRule="exact"/>
              <w:rPr>
                <w:sz w:val="20"/>
                <w:szCs w:val="20"/>
                <w:color w:val="auto"/>
              </w:rPr>
            </w:pPr>
            <w:r>
              <w:rPr>
                <w:rFonts w:ascii="Arial" w:cs="Arial" w:eastAsia="Arial" w:hAnsi="Arial"/>
                <w:sz w:val="9"/>
                <w:szCs w:val="9"/>
                <w:b w:val="1"/>
                <w:bCs w:val="1"/>
                <w:color w:val="auto"/>
              </w:rPr>
              <w:t xml:space="preserve">Investments in Non-Controlled, Affiliated Portfolio Companies—7.5% </w:t>
            </w:r>
            <w:r>
              <w:rPr>
                <w:rFonts w:ascii="Arial" w:cs="Arial" w:eastAsia="Arial" w:hAnsi="Arial"/>
                <w:sz w:val="11"/>
                <w:szCs w:val="11"/>
                <w:b w:val="1"/>
                <w:bCs w:val="1"/>
                <w:color w:val="auto"/>
                <w:vertAlign w:val="superscript"/>
              </w:rPr>
              <w:t>(1), (2)</w:t>
            </w:r>
          </w:p>
        </w:tc>
        <w:tc>
          <w:tcPr>
            <w:tcW w:w="1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200" w:type="dxa"/>
            <w:vAlign w:val="bottom"/>
            <w:gridSpan w:val="3"/>
          </w:tcPr>
          <w:p>
            <w:pPr>
              <w:ind w:left="20"/>
              <w:spacing w:after="0" w:line="137" w:lineRule="exact"/>
              <w:rPr>
                <w:sz w:val="20"/>
                <w:szCs w:val="20"/>
                <w:color w:val="auto"/>
              </w:rPr>
            </w:pPr>
            <w:r>
              <w:rPr>
                <w:rFonts w:ascii="Arial" w:cs="Arial" w:eastAsia="Arial" w:hAnsi="Arial"/>
                <w:sz w:val="11"/>
                <w:szCs w:val="11"/>
                <w:b w:val="1"/>
                <w:bCs w:val="1"/>
                <w:color w:val="auto"/>
              </w:rPr>
              <w:t xml:space="preserve">Preferred Equity/Partnership Interests—6.2% </w:t>
            </w:r>
            <w:r>
              <w:rPr>
                <w:rFonts w:ascii="Arial" w:cs="Arial" w:eastAsia="Arial" w:hAnsi="Arial"/>
                <w:sz w:val="14"/>
                <w:szCs w:val="14"/>
                <w:b w:val="1"/>
                <w:bCs w:val="1"/>
                <w:color w:val="auto"/>
                <w:vertAlign w:val="superscript"/>
              </w:rPr>
              <w:t>(6)</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ETX Energy, LLC </w:t>
            </w:r>
            <w:r>
              <w:rPr>
                <w:rFonts w:ascii="Arial" w:cs="Arial" w:eastAsia="Arial" w:hAnsi="Arial"/>
                <w:sz w:val="14"/>
                <w:szCs w:val="14"/>
                <w:color w:val="auto"/>
                <w:vertAlign w:val="superscript"/>
              </w:rPr>
              <w:t>(9)</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Oil and Gas</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61,732</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6,173,200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200" w:type="dxa"/>
            <w:vAlign w:val="bottom"/>
            <w:gridSpan w:val="3"/>
          </w:tcPr>
          <w:p>
            <w:pPr>
              <w:ind w:left="20"/>
              <w:spacing w:after="0"/>
              <w:rPr>
                <w:sz w:val="20"/>
                <w:szCs w:val="20"/>
                <w:color w:val="auto"/>
              </w:rPr>
            </w:pPr>
            <w:r>
              <w:rPr>
                <w:rFonts w:ascii="Arial" w:cs="Arial" w:eastAsia="Arial" w:hAnsi="Arial"/>
                <w:sz w:val="11"/>
                <w:szCs w:val="11"/>
                <w:color w:val="auto"/>
              </w:rPr>
              <w:t xml:space="preserve">ETX Energy, LLC - Series X </w:t>
            </w:r>
            <w:r>
              <w:rPr>
                <w:rFonts w:ascii="Arial" w:cs="Arial" w:eastAsia="Arial" w:hAnsi="Arial"/>
                <w:sz w:val="14"/>
                <w:szCs w:val="14"/>
                <w:color w:val="auto"/>
                <w:vertAlign w:val="superscript"/>
              </w:rPr>
              <w:t>(9)</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Oil and Gas</w:t>
            </w:r>
          </w:p>
        </w:tc>
        <w:tc>
          <w:tcPr>
            <w:tcW w:w="1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10,944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1,094,400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0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color w:val="auto"/>
              </w:rPr>
              <w:t>MidOcean JF Holdings Corp.</w:t>
            </w:r>
          </w:p>
        </w:tc>
        <w:tc>
          <w:tcPr>
            <w:tcW w:w="580" w:type="dxa"/>
            <w:vAlign w:val="bottom"/>
            <w:tcBorders>
              <w:bottom w:val="single" w:sz="8" w:color="CCECFF"/>
            </w:tcBorders>
            <w:shd w:val="clear" w:color="auto" w:fill="CCECFF"/>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94"/>
              </w:rPr>
              <w:t>Distribution</w:t>
            </w:r>
          </w:p>
        </w:tc>
        <w:tc>
          <w:tcPr>
            <w:tcW w:w="14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CFF"/>
            </w:tcBorders>
            <w:shd w:val="clear" w:color="auto" w:fill="CCECFF"/>
          </w:tcPr>
          <w:p>
            <w:pPr>
              <w:spacing w:after="0"/>
              <w:rPr>
                <w:sz w:val="11"/>
                <w:szCs w:val="11"/>
                <w:color w:val="auto"/>
              </w:rPr>
            </w:pPr>
          </w:p>
        </w:tc>
        <w:tc>
          <w:tcPr>
            <w:tcW w:w="3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153,922</w:t>
            </w:r>
          </w:p>
        </w:tc>
        <w:tc>
          <w:tcPr>
            <w:tcW w:w="1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15,392,189</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41,694,897</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00" w:type="dxa"/>
            <w:vAlign w:val="bottom"/>
            <w:gridSpan w:val="3"/>
          </w:tcPr>
          <w:p>
            <w:pPr>
              <w:ind w:left="20"/>
              <w:spacing w:after="0" w:line="110" w:lineRule="exact"/>
              <w:rPr>
                <w:sz w:val="20"/>
                <w:szCs w:val="20"/>
                <w:color w:val="auto"/>
              </w:rPr>
            </w:pPr>
            <w:r>
              <w:rPr>
                <w:rFonts w:ascii="Arial" w:cs="Arial" w:eastAsia="Arial" w:hAnsi="Arial"/>
                <w:sz w:val="11"/>
                <w:szCs w:val="11"/>
                <w:b w:val="1"/>
                <w:bCs w:val="1"/>
                <w:color w:val="auto"/>
              </w:rPr>
              <w:t>Total Preferred Equity/Partnership Interests</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22,659,789</w:t>
            </w: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41,694,897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2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 xml:space="preserve">Common Equity/Partnership Interests/Warrants—1.4% </w:t>
            </w:r>
            <w:r>
              <w:rPr>
                <w:rFonts w:ascii="Arial" w:cs="Arial" w:eastAsia="Arial" w:hAnsi="Arial"/>
                <w:sz w:val="14"/>
                <w:szCs w:val="14"/>
                <w:b w:val="1"/>
                <w:bCs w:val="1"/>
                <w:color w:val="auto"/>
                <w:vertAlign w:val="superscript"/>
              </w:rPr>
              <w:t>(6)</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200" w:type="dxa"/>
            <w:vAlign w:val="bottom"/>
            <w:gridSpan w:val="3"/>
          </w:tcPr>
          <w:p>
            <w:pPr>
              <w:ind w:left="20"/>
              <w:spacing w:after="0"/>
              <w:rPr>
                <w:sz w:val="20"/>
                <w:szCs w:val="20"/>
                <w:color w:val="auto"/>
              </w:rPr>
            </w:pPr>
            <w:r>
              <w:rPr>
                <w:rFonts w:ascii="Arial" w:cs="Arial" w:eastAsia="Arial" w:hAnsi="Arial"/>
                <w:sz w:val="11"/>
                <w:szCs w:val="11"/>
                <w:color w:val="auto"/>
              </w:rPr>
              <w:t>MidOcean JF Holdings Corp.</w:t>
            </w:r>
          </w:p>
        </w:tc>
        <w:tc>
          <w:tcPr>
            <w:tcW w:w="580" w:type="dxa"/>
            <w:vAlign w:val="bottom"/>
          </w:tcPr>
          <w:p>
            <w:pPr>
              <w:ind w:left="46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2"/>
                <w:szCs w:val="12"/>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65,933</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24,789,935</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9,426,886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20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5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540" w:type="dxa"/>
            <w:vAlign w:val="bottom"/>
            <w:tcBorders>
              <w:bottom w:val="single" w:sz="8" w:color="CCECFF"/>
            </w:tcBorders>
            <w:shd w:val="clear" w:color="auto" w:fill="CCECFF"/>
          </w:tcPr>
          <w:p>
            <w:pPr>
              <w:spacing w:after="0"/>
              <w:rPr>
                <w:sz w:val="11"/>
                <w:szCs w:val="11"/>
                <w:color w:val="auto"/>
              </w:rPr>
            </w:pPr>
          </w:p>
        </w:tc>
        <w:tc>
          <w:tcPr>
            <w:tcW w:w="34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24,789,935</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9,426,886</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00" w:type="dxa"/>
            <w:vAlign w:val="bottom"/>
            <w:gridSpan w:val="3"/>
          </w:tcPr>
          <w:p>
            <w:pPr>
              <w:ind w:left="20"/>
              <w:spacing w:after="0" w:line="110" w:lineRule="exact"/>
              <w:rPr>
                <w:sz w:val="20"/>
                <w:szCs w:val="20"/>
                <w:color w:val="auto"/>
              </w:rPr>
            </w:pPr>
            <w:r>
              <w:rPr>
                <w:rFonts w:ascii="Arial" w:cs="Arial" w:eastAsia="Arial" w:hAnsi="Arial"/>
                <w:sz w:val="11"/>
                <w:szCs w:val="11"/>
                <w:b w:val="1"/>
                <w:bCs w:val="1"/>
                <w:color w:val="auto"/>
                <w:w w:val="89"/>
              </w:rPr>
              <w:t>Total Investments in Non-Controlled, Affiliated Portfolio Companies</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47,449,724</w:t>
            </w: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51,121,783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8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 xml:space="preserve">Investments in Controlled, Affiliated Portfolio Companies—68.2% </w:t>
            </w:r>
            <w:r>
              <w:rPr>
                <w:rFonts w:ascii="Arial" w:cs="Arial" w:eastAsia="Arial" w:hAnsi="Arial"/>
                <w:sz w:val="14"/>
                <w:szCs w:val="14"/>
                <w:b w:val="1"/>
                <w:bCs w:val="1"/>
                <w:color w:val="auto"/>
                <w:vertAlign w:val="superscript"/>
              </w:rPr>
              <w:t>(1), (2)</w:t>
            </w:r>
          </w:p>
        </w:tc>
        <w:tc>
          <w:tcPr>
            <w:tcW w:w="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20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First Lien Secured Debt—6.6%</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00" w:type="dxa"/>
            <w:vAlign w:val="bottom"/>
            <w:gridSpan w:val="3"/>
          </w:tcPr>
          <w:p>
            <w:pPr>
              <w:ind w:left="20"/>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14"/>
                <w:szCs w:val="14"/>
                <w:color w:val="auto"/>
                <w:vertAlign w:val="superscript"/>
              </w:rPr>
              <w:t>(8), (10), (11)</w:t>
            </w:r>
          </w:p>
        </w:tc>
        <w:tc>
          <w:tcPr>
            <w:tcW w:w="580" w:type="dxa"/>
            <w:vAlign w:val="bottom"/>
          </w:tcPr>
          <w:p>
            <w:pPr>
              <w:ind w:left="20"/>
              <w:spacing w:after="0"/>
              <w:rPr>
                <w:sz w:val="20"/>
                <w:szCs w:val="20"/>
                <w:color w:val="auto"/>
              </w:rPr>
            </w:pPr>
            <w:r>
              <w:rPr>
                <w:rFonts w:ascii="Arial" w:cs="Arial" w:eastAsia="Arial" w:hAnsi="Arial"/>
                <w:sz w:val="11"/>
                <w:szCs w:val="11"/>
                <w:color w:val="auto"/>
                <w:w w:val="98"/>
              </w:rPr>
              <w:t>03/13/2024</w:t>
            </w:r>
          </w:p>
        </w:tc>
        <w:tc>
          <w:tcPr>
            <w:tcW w:w="1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080" w:type="dxa"/>
            <w:vAlign w:val="bottom"/>
            <w:gridSpan w:val="3"/>
          </w:tcPr>
          <w:p>
            <w:pPr>
              <w:jc w:val="right"/>
              <w:ind w:right="140"/>
              <w:spacing w:after="0"/>
              <w:rPr>
                <w:sz w:val="20"/>
                <w:szCs w:val="20"/>
                <w:color w:val="auto"/>
              </w:rPr>
            </w:pPr>
            <w:r>
              <w:rPr>
                <w:rFonts w:ascii="Arial" w:cs="Arial" w:eastAsia="Arial" w:hAnsi="Arial"/>
                <w:sz w:val="11"/>
                <w:szCs w:val="11"/>
                <w:color w:val="auto"/>
              </w:rPr>
              <w:t>7.50 %</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3M L+700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   33,000,000</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45,729,500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44,696,850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2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Total First Lien Secured Debt</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45,729,500</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44,696,850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-6343015</wp:posOffset>
            </wp:positionV>
            <wp:extent cx="7132320" cy="857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-5914390</wp:posOffset>
            </wp:positionV>
            <wp:extent cx="7132320" cy="857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-5571490</wp:posOffset>
            </wp:positionV>
            <wp:extent cx="713232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-5057140</wp:posOffset>
            </wp:positionV>
            <wp:extent cx="7132320" cy="857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-4885690</wp:posOffset>
            </wp:positionV>
            <wp:extent cx="7132320" cy="857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-4714240</wp:posOffset>
            </wp:positionV>
            <wp:extent cx="7132320" cy="857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-4542790</wp:posOffset>
            </wp:positionV>
            <wp:extent cx="7132320" cy="857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-4199890</wp:posOffset>
            </wp:positionV>
            <wp:extent cx="7132320" cy="857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-3942715</wp:posOffset>
            </wp:positionV>
            <wp:extent cx="7132320" cy="857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-3771265</wp:posOffset>
            </wp:positionV>
            <wp:extent cx="7132320" cy="857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-3599815</wp:posOffset>
            </wp:positionV>
            <wp:extent cx="7132320" cy="857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-3428365</wp:posOffset>
            </wp:positionV>
            <wp:extent cx="7132320" cy="857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-2313940</wp:posOffset>
            </wp:positionV>
            <wp:extent cx="7132320" cy="857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-2142490</wp:posOffset>
            </wp:positionV>
            <wp:extent cx="7132320" cy="857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-1971040</wp:posOffset>
            </wp:positionV>
            <wp:extent cx="1903095"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0309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857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-1359535</wp:posOffset>
            </wp:positionV>
            <wp:extent cx="2603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-1359535</wp:posOffset>
            </wp:positionV>
            <wp:extent cx="2603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-1259205</wp:posOffset>
            </wp:positionV>
            <wp:extent cx="7132320" cy="857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-1087755</wp:posOffset>
            </wp:positionV>
            <wp:extent cx="7132320" cy="857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-828040</wp:posOffset>
            </wp:positionV>
            <wp:extent cx="2603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-828040</wp:posOffset>
            </wp:positionV>
            <wp:extent cx="2603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857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-459105</wp:posOffset>
            </wp:positionV>
            <wp:extent cx="2603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-459105</wp:posOffset>
            </wp:positionV>
            <wp:extent cx="2603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857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946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(Unaudited)</w:t>
      </w:r>
    </w:p>
    <w:tbl>
      <w:tblPr>
        <w:tblLayout w:type="fixed"/>
        <w:tblInd w:w="0" w:type="dxa"/>
        <w:tblCellMar>
          <w:top w:w="0" w:type="dxa"/>
          <w:left w:w="0" w:type="dxa"/>
          <w:bottom w:w="0" w:type="dxa"/>
          <w:right w:w="0" w:type="dxa"/>
        </w:tblCellMar>
      </w:tblPr>
      <w:tr>
        <w:trPr>
          <w:trHeight w:val="102"/>
        </w:trPr>
        <w:tc>
          <w:tcPr>
            <w:tcW w:w="3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Maturity /</w:t>
            </w:r>
          </w:p>
        </w:tc>
        <w:tc>
          <w:tcPr>
            <w:tcW w:w="1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1"/>
                <w:szCs w:val="11"/>
                <w:b w:val="1"/>
                <w:bCs w:val="1"/>
                <w:color w:val="auto"/>
              </w:rPr>
              <w:t>Current</w:t>
            </w:r>
          </w:p>
        </w:tc>
        <w:tc>
          <w:tcPr>
            <w:tcW w:w="8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3"/>
              </w:rPr>
              <w:t>Basis Point</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Par /</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0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Spread Above</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Cost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102"/>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(3)</w:t>
            </w:r>
          </w:p>
        </w:tc>
        <w:tc>
          <w:tcPr>
            <w:tcW w:w="0" w:type="dxa"/>
            <w:vAlign w:val="bottom"/>
          </w:tcPr>
          <w:p>
            <w:pPr>
              <w:spacing w:after="0"/>
              <w:rPr>
                <w:sz w:val="1"/>
                <w:szCs w:val="1"/>
                <w:color w:val="auto"/>
              </w:rPr>
            </w:pPr>
          </w:p>
        </w:tc>
      </w:tr>
      <w:tr>
        <w:trPr>
          <w:trHeight w:val="148"/>
        </w:trPr>
        <w:tc>
          <w:tcPr>
            <w:tcW w:w="3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18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Coupon</w:t>
            </w:r>
          </w:p>
        </w:tc>
        <w:tc>
          <w:tcPr>
            <w:tcW w:w="88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0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Second Lien Secured Debt—11.9%</w:t>
            </w:r>
          </w:p>
        </w:tc>
        <w:tc>
          <w:tcPr>
            <w:tcW w:w="140" w:type="dxa"/>
            <w:vAlign w:val="bottom"/>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8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000" w:type="dxa"/>
            <w:vAlign w:val="bottom"/>
          </w:tcPr>
          <w:p>
            <w:pPr>
              <w:ind w:left="20"/>
              <w:spacing w:after="0" w:line="125" w:lineRule="exact"/>
              <w:rPr>
                <w:sz w:val="20"/>
                <w:szCs w:val="20"/>
                <w:color w:val="auto"/>
              </w:rPr>
            </w:pPr>
            <w:r>
              <w:rPr>
                <w:rFonts w:ascii="Arial" w:cs="Arial" w:eastAsia="Arial" w:hAnsi="Arial"/>
                <w:sz w:val="11"/>
                <w:szCs w:val="11"/>
                <w:color w:val="auto"/>
              </w:rPr>
              <w:t>Mailsouth Inc.</w:t>
            </w:r>
          </w:p>
        </w:tc>
        <w:tc>
          <w:tcPr>
            <w:tcW w:w="780" w:type="dxa"/>
            <w:vAlign w:val="bottom"/>
            <w:gridSpan w:val="2"/>
          </w:tcPr>
          <w:p>
            <w:pPr>
              <w:ind w:left="220"/>
              <w:spacing w:after="0" w:line="125" w:lineRule="exact"/>
              <w:rPr>
                <w:sz w:val="20"/>
                <w:szCs w:val="20"/>
                <w:color w:val="auto"/>
              </w:rPr>
            </w:pPr>
            <w:r>
              <w:rPr>
                <w:rFonts w:ascii="Arial" w:cs="Arial" w:eastAsia="Arial" w:hAnsi="Arial"/>
                <w:sz w:val="11"/>
                <w:szCs w:val="11"/>
                <w:color w:val="auto"/>
                <w:w w:val="98"/>
              </w:rPr>
              <w:t>04/23/2025</w:t>
            </w:r>
          </w:p>
        </w:tc>
        <w:tc>
          <w:tcPr>
            <w:tcW w:w="180" w:type="dxa"/>
            <w:vAlign w:val="bottom"/>
          </w:tcPr>
          <w:p>
            <w:pPr>
              <w:spacing w:after="0"/>
              <w:rPr>
                <w:sz w:val="10"/>
                <w:szCs w:val="10"/>
                <w:color w:val="auto"/>
              </w:rPr>
            </w:pPr>
          </w:p>
        </w:tc>
        <w:tc>
          <w:tcPr>
            <w:tcW w:w="2480" w:type="dxa"/>
            <w:vAlign w:val="bottom"/>
          </w:tcPr>
          <w:p>
            <w:pPr>
              <w:jc w:val="center"/>
              <w:spacing w:after="0" w:line="125" w:lineRule="exact"/>
              <w:rPr>
                <w:sz w:val="20"/>
                <w:szCs w:val="20"/>
                <w:color w:val="auto"/>
              </w:rPr>
            </w:pPr>
            <w:r>
              <w:rPr>
                <w:rFonts w:ascii="Arial" w:cs="Arial" w:eastAsia="Arial" w:hAnsi="Arial"/>
                <w:sz w:val="11"/>
                <w:szCs w:val="11"/>
                <w:color w:val="auto"/>
                <w:w w:val="90"/>
              </w:rPr>
              <w:t>Printing and Publishing</w:t>
            </w:r>
          </w:p>
        </w:tc>
        <w:tc>
          <w:tcPr>
            <w:tcW w:w="1080" w:type="dxa"/>
            <w:vAlign w:val="bottom"/>
            <w:gridSpan w:val="3"/>
          </w:tcPr>
          <w:p>
            <w:pPr>
              <w:jc w:val="right"/>
              <w:ind w:right="140"/>
              <w:spacing w:after="0" w:line="125" w:lineRule="exact"/>
              <w:rPr>
                <w:sz w:val="20"/>
                <w:szCs w:val="20"/>
                <w:color w:val="auto"/>
              </w:rPr>
            </w:pPr>
            <w:r>
              <w:rPr>
                <w:rFonts w:ascii="Arial" w:cs="Arial" w:eastAsia="Arial" w:hAnsi="Arial"/>
                <w:sz w:val="11"/>
                <w:szCs w:val="11"/>
                <w:color w:val="auto"/>
              </w:rPr>
              <w:t>15.00 %</w:t>
            </w:r>
          </w:p>
        </w:tc>
        <w:tc>
          <w:tcPr>
            <w:tcW w:w="8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11,086,944</w:t>
            </w:r>
          </w:p>
        </w:tc>
        <w:tc>
          <w:tcPr>
            <w:tcW w:w="280" w:type="dxa"/>
            <w:vAlign w:val="bottom"/>
            <w:gridSpan w:val="2"/>
          </w:tcPr>
          <w:p>
            <w:pPr>
              <w:jc w:val="right"/>
              <w:ind w:right="11"/>
              <w:spacing w:after="0" w:line="125"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11,506,121</w:t>
            </w:r>
          </w:p>
        </w:tc>
        <w:tc>
          <w:tcPr>
            <w:tcW w:w="24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w:t>
            </w: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11,506,121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(PIK 15.00%)</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00" w:type="dxa"/>
            <w:vAlign w:val="bottom"/>
            <w:shd w:val="clear" w:color="auto" w:fill="CCECFF"/>
          </w:tcPr>
          <w:p>
            <w:pPr>
              <w:ind w:left="20"/>
              <w:spacing w:after="0"/>
              <w:rPr>
                <w:sz w:val="20"/>
                <w:szCs w:val="20"/>
                <w:color w:val="auto"/>
              </w:rPr>
            </w:pPr>
            <w:r>
              <w:rPr>
                <w:rFonts w:ascii="Arial" w:cs="Arial" w:eastAsia="Arial" w:hAnsi="Arial"/>
                <w:sz w:val="11"/>
                <w:szCs w:val="11"/>
                <w:color w:val="auto"/>
              </w:rPr>
              <w:t>PT Network Intermediate Holdings, LLC</w:t>
            </w:r>
          </w:p>
        </w:tc>
        <w:tc>
          <w:tcPr>
            <w:tcW w:w="780" w:type="dxa"/>
            <w:vAlign w:val="bottom"/>
            <w:gridSpan w:val="2"/>
            <w:shd w:val="clear" w:color="auto" w:fill="CCECFF"/>
          </w:tcPr>
          <w:p>
            <w:pPr>
              <w:ind w:left="220"/>
              <w:spacing w:after="0"/>
              <w:rPr>
                <w:sz w:val="20"/>
                <w:szCs w:val="20"/>
                <w:color w:val="auto"/>
              </w:rPr>
            </w:pPr>
            <w:r>
              <w:rPr>
                <w:rFonts w:ascii="Arial" w:cs="Arial" w:eastAsia="Arial" w:hAnsi="Arial"/>
                <w:sz w:val="11"/>
                <w:szCs w:val="11"/>
                <w:color w:val="auto"/>
                <w:w w:val="98"/>
              </w:rPr>
              <w:t>11/30/2024</w:t>
            </w:r>
          </w:p>
        </w:tc>
        <w:tc>
          <w:tcPr>
            <w:tcW w:w="180" w:type="dxa"/>
            <w:vAlign w:val="bottom"/>
            <w:shd w:val="clear" w:color="auto" w:fill="CCECFF"/>
          </w:tcPr>
          <w:p>
            <w:pPr>
              <w:spacing w:after="0"/>
              <w:rPr>
                <w:sz w:val="12"/>
                <w:szCs w:val="12"/>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08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11.00 %</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L+1,000</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68,807,211</w:t>
            </w: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68,185,838</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68,807,211</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(PIK 11.00%)</w:t>
            </w:r>
          </w:p>
        </w:tc>
        <w:tc>
          <w:tcPr>
            <w:tcW w:w="8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79,691,959</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80,313,332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00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Subordinated Debt—9.5%</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3000" w:type="dxa"/>
            <w:vAlign w:val="bottom"/>
          </w:tcPr>
          <w:p>
            <w:pPr>
              <w:ind w:left="20"/>
              <w:spacing w:after="0"/>
              <w:rPr>
                <w:sz w:val="20"/>
                <w:szCs w:val="20"/>
                <w:color w:val="auto"/>
              </w:rPr>
            </w:pPr>
            <w:r>
              <w:rPr>
                <w:rFonts w:ascii="Arial" w:cs="Arial" w:eastAsia="Arial" w:hAnsi="Arial"/>
                <w:sz w:val="11"/>
                <w:szCs w:val="11"/>
                <w:color w:val="auto"/>
              </w:rPr>
              <w:t xml:space="preserve">PennantPark Senior Loan Fund, LLC </w:t>
            </w:r>
            <w:r>
              <w:rPr>
                <w:rFonts w:ascii="Arial" w:cs="Arial" w:eastAsia="Arial" w:hAnsi="Arial"/>
                <w:sz w:val="14"/>
                <w:szCs w:val="14"/>
                <w:color w:val="auto"/>
                <w:vertAlign w:val="superscript"/>
              </w:rPr>
              <w:t>(11)</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07/31/2027</w:t>
            </w:r>
          </w:p>
        </w:tc>
        <w:tc>
          <w:tcPr>
            <w:tcW w:w="1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080" w:type="dxa"/>
            <w:vAlign w:val="bottom"/>
            <w:gridSpan w:val="3"/>
          </w:tcPr>
          <w:p>
            <w:pPr>
              <w:jc w:val="right"/>
              <w:ind w:right="140"/>
              <w:spacing w:after="0"/>
              <w:rPr>
                <w:sz w:val="20"/>
                <w:szCs w:val="20"/>
                <w:color w:val="auto"/>
              </w:rPr>
            </w:pPr>
            <w:r>
              <w:rPr>
                <w:rFonts w:ascii="Arial" w:cs="Arial" w:eastAsia="Arial" w:hAnsi="Arial"/>
                <w:sz w:val="11"/>
                <w:szCs w:val="11"/>
                <w:color w:val="auto"/>
              </w:rPr>
              <w:t>9.00 %</w:t>
            </w:r>
          </w:p>
        </w:tc>
        <w:tc>
          <w:tcPr>
            <w:tcW w:w="880" w:type="dxa"/>
            <w:vAlign w:val="bottom"/>
          </w:tcPr>
          <w:p>
            <w:pPr>
              <w:jc w:val="right"/>
              <w:spacing w:after="0"/>
              <w:rPr>
                <w:sz w:val="20"/>
                <w:szCs w:val="20"/>
                <w:color w:val="auto"/>
              </w:rPr>
            </w:pPr>
            <w:r>
              <w:rPr>
                <w:rFonts w:ascii="Arial" w:cs="Arial" w:eastAsia="Arial" w:hAnsi="Arial"/>
                <w:sz w:val="11"/>
                <w:szCs w:val="11"/>
                <w:color w:val="auto"/>
              </w:rPr>
              <w:t>3M L+800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64,154,570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64,154,570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64,154,570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00" w:type="dxa"/>
            <w:vAlign w:val="bottom"/>
          </w:tcPr>
          <w:p>
            <w:pPr>
              <w:ind w:left="20"/>
              <w:spacing w:after="0" w:line="110" w:lineRule="exact"/>
              <w:rPr>
                <w:sz w:val="20"/>
                <w:szCs w:val="20"/>
                <w:color w:val="auto"/>
              </w:rPr>
            </w:pPr>
            <w:r>
              <w:rPr>
                <w:rFonts w:ascii="Arial" w:cs="Arial" w:eastAsia="Arial" w:hAnsi="Arial"/>
                <w:sz w:val="11"/>
                <w:szCs w:val="11"/>
                <w:b w:val="1"/>
                <w:bCs w:val="1"/>
                <w:color w:val="auto"/>
              </w:rPr>
              <w:t>Total Subordinated Debt</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64,154,570</w:t>
            </w: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64,154,570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0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 xml:space="preserve">Preferred Equity—2.0% </w:t>
            </w:r>
            <w:r>
              <w:rPr>
                <w:rFonts w:ascii="Arial" w:cs="Arial" w:eastAsia="Arial" w:hAnsi="Arial"/>
                <w:sz w:val="14"/>
                <w:szCs w:val="14"/>
                <w:b w:val="1"/>
                <w:bCs w:val="1"/>
                <w:color w:val="auto"/>
                <w:vertAlign w:val="superscript"/>
              </w:rPr>
              <w:t>(6)</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5" w:lineRule="exact"/>
              <w:rPr>
                <w:sz w:val="20"/>
                <w:szCs w:val="20"/>
                <w:color w:val="auto"/>
              </w:rPr>
            </w:pPr>
            <w:r>
              <w:rPr>
                <w:rFonts w:ascii="Arial" w:cs="Arial" w:eastAsia="Arial" w:hAnsi="Arial"/>
                <w:sz w:val="11"/>
                <w:szCs w:val="11"/>
                <w:color w:val="auto"/>
              </w:rPr>
              <w:t>CI (PTN) Investment Holdings II, LLC</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9"/>
                <w:szCs w:val="9"/>
                <w:color w:val="auto"/>
              </w:rPr>
            </w:pPr>
          </w:p>
        </w:tc>
        <w:tc>
          <w:tcPr>
            <w:tcW w:w="94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8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36,450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546,750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right"/>
              <w:ind w:right="22"/>
              <w:spacing w:after="0" w:line="11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
        </w:trPr>
        <w:tc>
          <w:tcPr>
            <w:tcW w:w="3000" w:type="dxa"/>
            <w:vAlign w:val="bottom"/>
            <w:vMerge w:val="restart"/>
          </w:tcPr>
          <w:p>
            <w:pPr>
              <w:ind w:left="100"/>
              <w:spacing w:after="0" w:line="135" w:lineRule="exact"/>
              <w:rPr>
                <w:sz w:val="20"/>
                <w:szCs w:val="20"/>
                <w:color w:val="auto"/>
              </w:rPr>
            </w:pPr>
            <w:r>
              <w:rPr>
                <w:rFonts w:ascii="Arial" w:cs="Arial" w:eastAsia="Arial" w:hAnsi="Arial"/>
                <w:sz w:val="11"/>
                <w:szCs w:val="11"/>
                <w:color w:val="auto"/>
              </w:rPr>
              <w:t xml:space="preserve">(PT Network, LLC) </w:t>
            </w:r>
            <w:r>
              <w:rPr>
                <w:rFonts w:ascii="Arial" w:cs="Arial" w:eastAsia="Arial" w:hAnsi="Arial"/>
                <w:sz w:val="14"/>
                <w:szCs w:val="14"/>
                <w:color w:val="auto"/>
                <w:vertAlign w:val="superscript"/>
              </w:rPr>
              <w:t>(9)</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3000" w:type="dxa"/>
            <w:vAlign w:val="bottom"/>
            <w:vMerge w:val="continue"/>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248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88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60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4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080" w:type="dxa"/>
            <w:vAlign w:val="bottom"/>
            <w:gridSpan w:val="3"/>
          </w:tcPr>
          <w:p>
            <w:pPr>
              <w:jc w:val="right"/>
              <w:ind w:right="140"/>
              <w:spacing w:after="0"/>
              <w:rPr>
                <w:sz w:val="20"/>
                <w:szCs w:val="20"/>
                <w:color w:val="auto"/>
              </w:rPr>
            </w:pPr>
            <w:r>
              <w:rPr>
                <w:rFonts w:ascii="Arial" w:cs="Arial" w:eastAsia="Arial" w:hAnsi="Arial"/>
                <w:sz w:val="11"/>
                <w:szCs w:val="11"/>
                <w:color w:val="auto"/>
              </w:rPr>
              <w:t>11.00 %</w:t>
            </w:r>
          </w:p>
        </w:tc>
        <w:tc>
          <w:tcPr>
            <w:tcW w:w="880" w:type="dxa"/>
            <w:vAlign w:val="bottom"/>
          </w:tcPr>
          <w:p>
            <w:pPr>
              <w:jc w:val="right"/>
              <w:spacing w:after="0"/>
              <w:rPr>
                <w:sz w:val="20"/>
                <w:szCs w:val="20"/>
                <w:color w:val="auto"/>
              </w:rPr>
            </w:pPr>
            <w:r>
              <w:rPr>
                <w:rFonts w:ascii="Arial" w:cs="Arial" w:eastAsia="Arial" w:hAnsi="Arial"/>
                <w:sz w:val="11"/>
                <w:szCs w:val="11"/>
                <w:color w:val="auto"/>
              </w:rPr>
              <w:t>3M L+1,000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833</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10,725,000</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13,710,238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000" w:type="dxa"/>
            <w:vAlign w:val="bottom"/>
          </w:tcPr>
          <w:p>
            <w:pPr>
              <w:ind w:left="20"/>
              <w:spacing w:after="0" w:line="110" w:lineRule="exact"/>
              <w:rPr>
                <w:sz w:val="20"/>
                <w:szCs w:val="20"/>
                <w:color w:val="auto"/>
              </w:rPr>
            </w:pPr>
            <w:r>
              <w:rPr>
                <w:rFonts w:ascii="Arial" w:cs="Arial" w:eastAsia="Arial" w:hAnsi="Arial"/>
                <w:sz w:val="11"/>
                <w:szCs w:val="11"/>
                <w:b w:val="1"/>
                <w:bCs w:val="1"/>
                <w:color w:val="auto"/>
              </w:rPr>
              <w:t>Total Preferred Equity</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11,271,750</w:t>
            </w: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13,710,238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000" w:type="dxa"/>
            <w:vAlign w:val="bottom"/>
          </w:tcPr>
          <w:p>
            <w:pPr>
              <w:ind w:left="20"/>
              <w:spacing w:after="0" w:line="105" w:lineRule="exact"/>
              <w:rPr>
                <w:sz w:val="20"/>
                <w:szCs w:val="20"/>
                <w:color w:val="auto"/>
              </w:rPr>
            </w:pPr>
            <w:r>
              <w:rPr>
                <w:rFonts w:ascii="Arial" w:cs="Arial" w:eastAsia="Arial" w:hAnsi="Arial"/>
                <w:sz w:val="9"/>
                <w:szCs w:val="9"/>
                <w:b w:val="1"/>
                <w:bCs w:val="1"/>
                <w:color w:val="auto"/>
              </w:rPr>
              <w:t xml:space="preserve">Common Equity—38.3% </w:t>
            </w:r>
            <w:r>
              <w:rPr>
                <w:rFonts w:ascii="Arial" w:cs="Arial" w:eastAsia="Arial" w:hAnsi="Arial"/>
                <w:sz w:val="12"/>
                <w:szCs w:val="12"/>
                <w:b w:val="1"/>
                <w:bCs w:val="1"/>
                <w:color w:val="auto"/>
                <w:vertAlign w:val="superscript"/>
              </w:rPr>
              <w:t>(6)</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14"/>
                <w:szCs w:val="14"/>
                <w:color w:val="auto"/>
                <w:vertAlign w:val="superscript"/>
              </w:rPr>
              <w:t>(8), (10), (11)</w:t>
            </w:r>
          </w:p>
        </w:tc>
        <w:tc>
          <w:tcPr>
            <w:tcW w:w="14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950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132,497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5" w:lineRule="exact"/>
              <w:rPr>
                <w:sz w:val="20"/>
                <w:szCs w:val="20"/>
                <w:color w:val="auto"/>
              </w:rPr>
            </w:pPr>
            <w:r>
              <w:rPr>
                <w:rFonts w:ascii="Arial" w:cs="Arial" w:eastAsia="Arial" w:hAnsi="Arial"/>
                <w:sz w:val="11"/>
                <w:szCs w:val="11"/>
                <w:color w:val="auto"/>
              </w:rPr>
              <w:t>CI (PTN) Investment Holdings II, LLC</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9"/>
                <w:szCs w:val="9"/>
                <w:color w:val="auto"/>
              </w:rPr>
            </w:pPr>
          </w:p>
        </w:tc>
        <w:tc>
          <w:tcPr>
            <w:tcW w:w="94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8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333,333</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5,000,000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right"/>
              <w:ind w:right="22"/>
              <w:spacing w:after="0" w:line="11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3000" w:type="dxa"/>
            <w:vAlign w:val="bottom"/>
          </w:tcPr>
          <w:p>
            <w:pPr>
              <w:ind w:left="100"/>
              <w:spacing w:after="0" w:line="155" w:lineRule="exact"/>
              <w:rPr>
                <w:sz w:val="20"/>
                <w:szCs w:val="20"/>
                <w:color w:val="auto"/>
              </w:rPr>
            </w:pPr>
            <w:r>
              <w:rPr>
                <w:rFonts w:ascii="Arial" w:cs="Arial" w:eastAsia="Arial" w:hAnsi="Arial"/>
                <w:sz w:val="11"/>
                <w:szCs w:val="11"/>
                <w:color w:val="auto"/>
              </w:rPr>
              <w:t xml:space="preserve">(PT Network, LLC) </w:t>
            </w:r>
            <w:r>
              <w:rPr>
                <w:rFonts w:ascii="Arial" w:cs="Arial" w:eastAsia="Arial" w:hAnsi="Arial"/>
                <w:sz w:val="14"/>
                <w:szCs w:val="14"/>
                <w:color w:val="auto"/>
                <w:vertAlign w:val="superscript"/>
              </w:rPr>
              <w:t>(9)</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000" w:type="dxa"/>
            <w:vAlign w:val="bottom"/>
          </w:tcPr>
          <w:p>
            <w:pPr>
              <w:ind w:left="20"/>
              <w:spacing w:after="0" w:line="115" w:lineRule="exact"/>
              <w:rPr>
                <w:sz w:val="20"/>
                <w:szCs w:val="20"/>
                <w:color w:val="auto"/>
              </w:rPr>
            </w:pPr>
            <w:r>
              <w:rPr>
                <w:rFonts w:ascii="Arial" w:cs="Arial" w:eastAsia="Arial" w:hAnsi="Arial"/>
                <w:sz w:val="11"/>
                <w:szCs w:val="11"/>
                <w:color w:val="auto"/>
              </w:rPr>
              <w:t>MSpark, LLC</w:t>
            </w:r>
          </w:p>
        </w:tc>
        <w:tc>
          <w:tcPr>
            <w:tcW w:w="14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90"/>
              </w:rPr>
              <w:t>Printing and Publishing</w:t>
            </w:r>
          </w:p>
        </w:tc>
        <w:tc>
          <w:tcPr>
            <w:tcW w:w="140" w:type="dxa"/>
            <w:vAlign w:val="bottom"/>
          </w:tcPr>
          <w:p>
            <w:pPr>
              <w:spacing w:after="0"/>
              <w:rPr>
                <w:sz w:val="9"/>
                <w:szCs w:val="9"/>
                <w:color w:val="auto"/>
              </w:rPr>
            </w:pPr>
          </w:p>
        </w:tc>
        <w:tc>
          <w:tcPr>
            <w:tcW w:w="94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8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51,151</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16,515,841</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right"/>
              <w:ind w:right="22"/>
              <w:spacing w:after="0" w:line="11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PennantPark Senior Loan Fund, LLC </w:t>
            </w:r>
            <w:r>
              <w:rPr>
                <w:rFonts w:ascii="Arial" w:cs="Arial" w:eastAsia="Arial" w:hAnsi="Arial"/>
                <w:sz w:val="14"/>
                <w:szCs w:val="14"/>
                <w:color w:val="auto"/>
                <w:vertAlign w:val="superscript"/>
              </w:rPr>
              <w:t>(11)</w:t>
            </w:r>
          </w:p>
        </w:tc>
        <w:tc>
          <w:tcPr>
            <w:tcW w:w="14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33,830,005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33,892,823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41,598,942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621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7,166,165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141,507,785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00" w:type="dxa"/>
            <w:vAlign w:val="bottom"/>
          </w:tcPr>
          <w:p>
            <w:pPr>
              <w:ind w:left="20"/>
              <w:spacing w:after="0"/>
              <w:rPr>
                <w:sz w:val="20"/>
                <w:szCs w:val="20"/>
                <w:color w:val="auto"/>
              </w:rPr>
            </w:pPr>
            <w:r>
              <w:rPr>
                <w:rFonts w:ascii="Arial" w:cs="Arial" w:eastAsia="Arial" w:hAnsi="Arial"/>
                <w:sz w:val="11"/>
                <w:szCs w:val="11"/>
                <w:color w:val="auto"/>
              </w:rPr>
              <w:t xml:space="preserve">RAM Energy Holdings LLC </w:t>
            </w:r>
            <w:r>
              <w:rPr>
                <w:rFonts w:ascii="Arial" w:cs="Arial" w:eastAsia="Arial" w:hAnsi="Arial"/>
                <w:sz w:val="14"/>
                <w:szCs w:val="14"/>
                <w:color w:val="auto"/>
                <w:vertAlign w:val="superscript"/>
              </w:rPr>
              <w:t>(9)</w:t>
            </w:r>
          </w:p>
        </w:tc>
        <w:tc>
          <w:tcPr>
            <w:tcW w:w="14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0"/>
              </w:rPr>
              <w:t>Energy and Utilities</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180,805</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162,708,073</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76,460,819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Common Equity</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225,415,399</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259,567,546</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tcPr>
          <w:p>
            <w:pPr>
              <w:ind w:left="20"/>
              <w:spacing w:after="0"/>
              <w:rPr>
                <w:sz w:val="20"/>
                <w:szCs w:val="20"/>
                <w:color w:val="auto"/>
              </w:rPr>
            </w:pPr>
            <w:r>
              <w:rPr>
                <w:rFonts w:ascii="Arial" w:cs="Arial" w:eastAsia="Arial" w:hAnsi="Arial"/>
                <w:sz w:val="11"/>
                <w:szCs w:val="11"/>
                <w:b w:val="1"/>
                <w:bCs w:val="1"/>
                <w:color w:val="auto"/>
                <w:w w:val="90"/>
              </w:rPr>
              <w:t>Total Investments in Controlled, Affiliated Portfolio Companies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426,263,178</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462,442,536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Investments—213.3%</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0"/>
              </w:rPr>
              <w:t>1,364,489,434</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3"/>
              </w:rPr>
              <w:t>1,445,389,742</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ind w:left="20"/>
              <w:spacing w:after="0"/>
              <w:rPr>
                <w:sz w:val="20"/>
                <w:szCs w:val="20"/>
                <w:color w:val="auto"/>
              </w:rPr>
            </w:pPr>
            <w:r>
              <w:rPr>
                <w:rFonts w:ascii="Arial" w:cs="Arial" w:eastAsia="Arial" w:hAnsi="Arial"/>
                <w:sz w:val="11"/>
                <w:szCs w:val="11"/>
                <w:b w:val="1"/>
                <w:bCs w:val="1"/>
                <w:color w:val="auto"/>
              </w:rPr>
              <w:t>Cash and Cash Equivalents—5.8%</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Arial" w:cs="Arial" w:eastAsia="Arial" w:hAnsi="Arial"/>
                <w:sz w:val="11"/>
                <w:szCs w:val="11"/>
                <w:color w:val="auto"/>
              </w:rPr>
              <w:t>BlackRock Federal FD Institutional 30</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38,177,665</w:t>
            </w: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38,177,665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Arial" w:cs="Arial" w:eastAsia="Arial" w:hAnsi="Arial"/>
                <w:sz w:val="11"/>
                <w:szCs w:val="11"/>
                <w:color w:val="auto"/>
              </w:rPr>
              <w:t>BNY Mellon Cash Reserve and Cash</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1,392,773</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1,403,758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39,570,438</w:t>
            </w: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39,581,423</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ind w:left="20"/>
              <w:spacing w:after="0"/>
              <w:rPr>
                <w:sz w:val="20"/>
                <w:szCs w:val="20"/>
                <w:color w:val="auto"/>
              </w:rPr>
            </w:pPr>
            <w:r>
              <w:rPr>
                <w:rFonts w:ascii="Arial" w:cs="Arial" w:eastAsia="Arial" w:hAnsi="Arial"/>
                <w:sz w:val="11"/>
                <w:szCs w:val="11"/>
                <w:b w:val="1"/>
                <w:bCs w:val="1"/>
                <w:color w:val="auto"/>
              </w:rPr>
              <w:t>Total Investments and Cash Equivalents—219.1%</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0"/>
              </w:rPr>
              <w:t>1,404,059,872</w:t>
            </w:r>
          </w:p>
        </w:tc>
        <w:tc>
          <w:tcPr>
            <w:tcW w:w="1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1,484,971,165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Liabilities in Excess of Other Assets—(119.1%)</w:t>
            </w: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0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(807,361,774</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Arial" w:cs="Arial" w:eastAsia="Arial" w:hAnsi="Arial"/>
                <w:sz w:val="11"/>
                <w:szCs w:val="11"/>
                <w:b w:val="1"/>
                <w:bCs w:val="1"/>
                <w:color w:val="auto"/>
              </w:rPr>
              <w:t>Net Assets—100.0%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677,609,391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-2465070</wp:posOffset>
            </wp:positionV>
            <wp:extent cx="2603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-2465070</wp:posOffset>
            </wp:positionV>
            <wp:extent cx="2603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857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-2185035</wp:posOffset>
            </wp:positionV>
            <wp:extent cx="7132320" cy="946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-2005330</wp:posOffset>
            </wp:positionV>
            <wp:extent cx="713232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7132320" cy="946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-1559560</wp:posOffset>
            </wp:positionV>
            <wp:extent cx="7132320" cy="857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857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857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-862330</wp:posOffset>
            </wp:positionV>
            <wp:extent cx="2603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-862330</wp:posOffset>
            </wp:positionV>
            <wp:extent cx="2603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-673735</wp:posOffset>
            </wp:positionV>
            <wp:extent cx="2603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-673735</wp:posOffset>
            </wp:positionV>
            <wp:extent cx="2603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-313690</wp:posOffset>
            </wp:positionV>
            <wp:extent cx="2603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-313690</wp:posOffset>
            </wp:positionV>
            <wp:extent cx="2603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857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203" w:lineRule="exact"/>
        <w:rPr>
          <w:sz w:val="20"/>
          <w:szCs w:val="20"/>
          <w:color w:val="auto"/>
        </w:rPr>
      </w:pPr>
    </w:p>
    <w:p>
      <w:pPr>
        <w:ind w:left="360" w:right="20" w:hanging="339"/>
        <w:spacing w:after="0" w:line="181" w:lineRule="auto"/>
        <w:tabs>
          <w:tab w:leader="none" w:pos="360" w:val="left"/>
        </w:tabs>
        <w:numPr>
          <w:ilvl w:val="0"/>
          <w:numId w:val="3"/>
        </w:numPr>
        <w:rPr>
          <w:rFonts w:ascii="Arial" w:cs="Arial" w:eastAsia="Arial" w:hAnsi="Arial"/>
          <w:sz w:val="20"/>
          <w:szCs w:val="20"/>
          <w:color w:val="auto"/>
          <w:vertAlign w:val="superscript"/>
        </w:rPr>
      </w:pPr>
      <w:r>
        <w:rPr>
          <w:rFonts w:ascii="Arial" w:cs="Arial" w:eastAsia="Arial" w:hAnsi="Arial"/>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 (See Note 6).</w:t>
      </w:r>
    </w:p>
    <w:p>
      <w:pPr>
        <w:spacing w:after="0" w:line="28" w:lineRule="exact"/>
        <w:rPr>
          <w:rFonts w:ascii="Arial" w:cs="Arial" w:eastAsia="Arial" w:hAnsi="Arial"/>
          <w:sz w:val="20"/>
          <w:szCs w:val="20"/>
          <w:color w:val="auto"/>
          <w:vertAlign w:val="superscript"/>
        </w:rPr>
      </w:pPr>
    </w:p>
    <w:p>
      <w:pPr>
        <w:ind w:left="360" w:right="20" w:hanging="339"/>
        <w:spacing w:after="0" w:line="181" w:lineRule="auto"/>
        <w:tabs>
          <w:tab w:leader="none" w:pos="360" w:val="left"/>
        </w:tabs>
        <w:numPr>
          <w:ilvl w:val="0"/>
          <w:numId w:val="3"/>
        </w:numPr>
        <w:rPr>
          <w:rFonts w:ascii="Arial" w:cs="Arial" w:eastAsia="Arial" w:hAnsi="Arial"/>
          <w:sz w:val="20"/>
          <w:szCs w:val="20"/>
          <w:color w:val="auto"/>
          <w:vertAlign w:val="superscript"/>
        </w:rPr>
      </w:pPr>
      <w:r>
        <w:rPr>
          <w:rFonts w:ascii="Arial" w:cs="Arial" w:eastAsia="Arial" w:hAnsi="Arial"/>
          <w:sz w:val="11"/>
          <w:szCs w:val="11"/>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60" w:hanging="339"/>
        <w:spacing w:after="0" w:line="183" w:lineRule="auto"/>
        <w:tabs>
          <w:tab w:leader="none" w:pos="360" w:val="left"/>
        </w:tabs>
        <w:numPr>
          <w:ilvl w:val="0"/>
          <w:numId w:val="3"/>
        </w:numPr>
        <w:rPr>
          <w:rFonts w:ascii="Arial" w:cs="Arial" w:eastAsia="Arial" w:hAnsi="Arial"/>
          <w:sz w:val="20"/>
          <w:szCs w:val="20"/>
          <w:color w:val="auto"/>
          <w:vertAlign w:val="superscript"/>
        </w:rPr>
      </w:pPr>
      <w:r>
        <w:rPr>
          <w:rFonts w:ascii="Arial" w:cs="Arial" w:eastAsia="Arial" w:hAnsi="Arial"/>
          <w:sz w:val="11"/>
          <w:szCs w:val="11"/>
          <w:color w:val="auto"/>
        </w:rPr>
        <w:t>Valued based on our accounting policy (See Note 2).</w:t>
      </w:r>
    </w:p>
    <w:p>
      <w:pPr>
        <w:spacing w:after="0" w:line="37" w:lineRule="exact"/>
        <w:rPr>
          <w:rFonts w:ascii="Arial" w:cs="Arial" w:eastAsia="Arial" w:hAnsi="Arial"/>
          <w:sz w:val="20"/>
          <w:szCs w:val="20"/>
          <w:color w:val="auto"/>
          <w:vertAlign w:val="superscript"/>
        </w:rPr>
      </w:pPr>
    </w:p>
    <w:p>
      <w:pPr>
        <w:ind w:left="360" w:right="140" w:hanging="339"/>
        <w:spacing w:after="0" w:line="190" w:lineRule="auto"/>
        <w:tabs>
          <w:tab w:leader="none" w:pos="360" w:val="left"/>
        </w:tabs>
        <w:numPr>
          <w:ilvl w:val="0"/>
          <w:numId w:val="3"/>
        </w:numPr>
        <w:rPr>
          <w:rFonts w:ascii="Arial" w:cs="Arial" w:eastAsia="Arial" w:hAnsi="Arial"/>
          <w:sz w:val="22"/>
          <w:szCs w:val="22"/>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payment-in-kind, or PIK, interest and other fee rates, if any.</w:t>
      </w:r>
    </w:p>
    <w:p>
      <w:pPr>
        <w:spacing w:after="0" w:line="2" w:lineRule="exact"/>
        <w:rPr>
          <w:rFonts w:ascii="Arial" w:cs="Arial" w:eastAsia="Arial" w:hAnsi="Arial"/>
          <w:sz w:val="22"/>
          <w:szCs w:val="22"/>
          <w:color w:val="auto"/>
          <w:vertAlign w:val="superscript"/>
        </w:rPr>
      </w:pPr>
    </w:p>
    <w:p>
      <w:pPr>
        <w:ind w:left="360" w:hanging="339"/>
        <w:spacing w:after="0" w:line="183" w:lineRule="auto"/>
        <w:tabs>
          <w:tab w:leader="none" w:pos="360" w:val="left"/>
        </w:tabs>
        <w:numPr>
          <w:ilvl w:val="0"/>
          <w:numId w:val="3"/>
        </w:numPr>
        <w:rPr>
          <w:rFonts w:ascii="Arial" w:cs="Arial" w:eastAsia="Arial" w:hAnsi="Arial"/>
          <w:sz w:val="20"/>
          <w:szCs w:val="20"/>
          <w:color w:val="auto"/>
          <w:vertAlign w:val="superscript"/>
        </w:rPr>
      </w:pPr>
      <w:r>
        <w:rPr>
          <w:rFonts w:ascii="Arial" w:cs="Arial" w:eastAsia="Arial" w:hAnsi="Arial"/>
          <w:sz w:val="11"/>
          <w:szCs w:val="11"/>
          <w:color w:val="auto"/>
        </w:rPr>
        <w:t>The security was not valued using significant unobservable inputs. The value of all other securities was determined using significant unobservable inputs (See Note 5).</w:t>
      </w:r>
    </w:p>
    <w:p>
      <w:pPr>
        <w:spacing w:after="0" w:line="37" w:lineRule="exact"/>
        <w:rPr>
          <w:rFonts w:ascii="Arial" w:cs="Arial" w:eastAsia="Arial" w:hAnsi="Arial"/>
          <w:sz w:val="20"/>
          <w:szCs w:val="20"/>
          <w:color w:val="auto"/>
          <w:vertAlign w:val="superscript"/>
        </w:rPr>
      </w:pPr>
    </w:p>
    <w:p>
      <w:pPr>
        <w:ind w:left="360" w:hanging="339"/>
        <w:spacing w:after="0" w:line="180" w:lineRule="auto"/>
        <w:tabs>
          <w:tab w:leader="none" w:pos="360" w:val="left"/>
        </w:tabs>
        <w:numPr>
          <w:ilvl w:val="0"/>
          <w:numId w:val="3"/>
        </w:numPr>
        <w:rPr>
          <w:rFonts w:ascii="Arial" w:cs="Arial" w:eastAsia="Arial" w:hAnsi="Arial"/>
          <w:sz w:val="16"/>
          <w:szCs w:val="16"/>
          <w:color w:val="auto"/>
          <w:vertAlign w:val="superscript"/>
        </w:rPr>
      </w:pPr>
      <w:r>
        <w:rPr>
          <w:rFonts w:ascii="Arial" w:cs="Arial" w:eastAsia="Arial" w:hAnsi="Arial"/>
          <w:sz w:val="9"/>
          <w:szCs w:val="9"/>
          <w:color w:val="auto"/>
        </w:rPr>
        <w:t>Non-income producing securities.</w:t>
      </w:r>
    </w:p>
    <w:p>
      <w:pPr>
        <w:spacing w:after="0" w:line="37" w:lineRule="exact"/>
        <w:rPr>
          <w:rFonts w:ascii="Arial" w:cs="Arial" w:eastAsia="Arial" w:hAnsi="Arial"/>
          <w:sz w:val="16"/>
          <w:szCs w:val="16"/>
          <w:color w:val="auto"/>
          <w:vertAlign w:val="superscript"/>
        </w:rPr>
      </w:pPr>
    </w:p>
    <w:p>
      <w:pPr>
        <w:ind w:left="360" w:hanging="339"/>
        <w:spacing w:after="0" w:line="180" w:lineRule="auto"/>
        <w:tabs>
          <w:tab w:leader="none" w:pos="360" w:val="left"/>
        </w:tabs>
        <w:numPr>
          <w:ilvl w:val="0"/>
          <w:numId w:val="3"/>
        </w:numPr>
        <w:rPr>
          <w:rFonts w:ascii="Arial" w:cs="Arial" w:eastAsia="Arial" w:hAnsi="Arial"/>
          <w:sz w:val="16"/>
          <w:szCs w:val="16"/>
          <w:color w:val="auto"/>
          <w:vertAlign w:val="superscript"/>
        </w:rPr>
      </w:pPr>
      <w:r>
        <w:rPr>
          <w:rFonts w:ascii="Arial" w:cs="Arial" w:eastAsia="Arial" w:hAnsi="Arial"/>
          <w:sz w:val="9"/>
          <w:szCs w:val="9"/>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7" w:lineRule="exact"/>
        <w:rPr>
          <w:rFonts w:ascii="Arial" w:cs="Arial" w:eastAsia="Arial" w:hAnsi="Arial"/>
          <w:sz w:val="16"/>
          <w:szCs w:val="16"/>
          <w:color w:val="auto"/>
          <w:vertAlign w:val="superscript"/>
        </w:rPr>
      </w:pPr>
    </w:p>
    <w:p>
      <w:pPr>
        <w:ind w:left="360" w:hanging="339"/>
        <w:spacing w:after="0" w:line="180" w:lineRule="auto"/>
        <w:tabs>
          <w:tab w:leader="none" w:pos="360" w:val="left"/>
        </w:tabs>
        <w:numPr>
          <w:ilvl w:val="0"/>
          <w:numId w:val="3"/>
        </w:numPr>
        <w:rPr>
          <w:rFonts w:ascii="Arial" w:cs="Arial" w:eastAsia="Arial" w:hAnsi="Arial"/>
          <w:sz w:val="16"/>
          <w:szCs w:val="16"/>
          <w:color w:val="auto"/>
          <w:vertAlign w:val="superscript"/>
        </w:rPr>
      </w:pPr>
      <w:r>
        <w:rPr>
          <w:rFonts w:ascii="Arial" w:cs="Arial" w:eastAsia="Arial" w:hAnsi="Arial"/>
          <w:sz w:val="9"/>
          <w:szCs w:val="9"/>
          <w:color w:val="auto"/>
        </w:rPr>
        <w:t>Non-U.S. company or principal place of business outside the United States.</w:t>
      </w:r>
    </w:p>
    <w:p>
      <w:pPr>
        <w:spacing w:after="0" w:line="37" w:lineRule="exact"/>
        <w:rPr>
          <w:rFonts w:ascii="Arial" w:cs="Arial" w:eastAsia="Arial" w:hAnsi="Arial"/>
          <w:sz w:val="16"/>
          <w:szCs w:val="16"/>
          <w:color w:val="auto"/>
          <w:vertAlign w:val="superscript"/>
        </w:rPr>
      </w:pPr>
    </w:p>
    <w:p>
      <w:pPr>
        <w:ind w:left="360" w:hanging="339"/>
        <w:spacing w:after="0" w:line="180" w:lineRule="auto"/>
        <w:tabs>
          <w:tab w:leader="none" w:pos="360" w:val="left"/>
        </w:tabs>
        <w:numPr>
          <w:ilvl w:val="0"/>
          <w:numId w:val="3"/>
        </w:numPr>
        <w:rPr>
          <w:rFonts w:ascii="Arial" w:cs="Arial" w:eastAsia="Arial" w:hAnsi="Arial"/>
          <w:sz w:val="16"/>
          <w:szCs w:val="16"/>
          <w:color w:val="auto"/>
          <w:vertAlign w:val="superscript"/>
        </w:rPr>
      </w:pPr>
      <w:r>
        <w:rPr>
          <w:rFonts w:ascii="Arial" w:cs="Arial" w:eastAsia="Arial" w:hAnsi="Arial"/>
          <w:sz w:val="9"/>
          <w:szCs w:val="9"/>
          <w:color w:val="auto"/>
        </w:rPr>
        <w:t>Investment is held through our Taxable Subsidiary (See Note 1).</w:t>
      </w:r>
    </w:p>
    <w:p>
      <w:pPr>
        <w:spacing w:after="0" w:line="37" w:lineRule="exact"/>
        <w:rPr>
          <w:rFonts w:ascii="Arial" w:cs="Arial" w:eastAsia="Arial" w:hAnsi="Arial"/>
          <w:sz w:val="16"/>
          <w:szCs w:val="16"/>
          <w:color w:val="auto"/>
          <w:vertAlign w:val="superscript"/>
        </w:rPr>
      </w:pPr>
    </w:p>
    <w:p>
      <w:pPr>
        <w:ind w:left="360" w:hanging="339"/>
        <w:spacing w:after="0" w:line="180" w:lineRule="auto"/>
        <w:tabs>
          <w:tab w:leader="none" w:pos="360" w:val="left"/>
        </w:tabs>
        <w:numPr>
          <w:ilvl w:val="0"/>
          <w:numId w:val="3"/>
        </w:numPr>
        <w:rPr>
          <w:rFonts w:ascii="Arial" w:cs="Arial" w:eastAsia="Arial" w:hAnsi="Arial"/>
          <w:sz w:val="16"/>
          <w:szCs w:val="16"/>
          <w:color w:val="auto"/>
          <w:vertAlign w:val="superscript"/>
        </w:rPr>
      </w:pPr>
      <w:r>
        <w:rPr>
          <w:rFonts w:ascii="Arial" w:cs="Arial" w:eastAsia="Arial" w:hAnsi="Arial"/>
          <w:sz w:val="9"/>
          <w:szCs w:val="9"/>
          <w:color w:val="auto"/>
        </w:rPr>
        <w:t>Par / Shares amount is denominated in British Pounds (£) as denoted.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2021</w:t>
      </w:r>
    </w:p>
    <w:tbl>
      <w:tblPr>
        <w:tblLayout w:type="fixed"/>
        <w:tblInd w:w="0" w:type="dxa"/>
        <w:tblCellMar>
          <w:top w:w="0" w:type="dxa"/>
          <w:left w:w="0" w:type="dxa"/>
          <w:bottom w:w="0" w:type="dxa"/>
          <w:right w:w="0" w:type="dxa"/>
        </w:tblCellMar>
      </w:tblPr>
      <w:tr>
        <w:trPr>
          <w:trHeight w:val="102"/>
        </w:trPr>
        <w:tc>
          <w:tcPr>
            <w:tcW w:w="2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Maturity /</w:t>
            </w:r>
          </w:p>
        </w:tc>
        <w:tc>
          <w:tcPr>
            <w:tcW w:w="2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1"/>
                <w:szCs w:val="11"/>
                <w:b w:val="1"/>
                <w:bCs w:val="1"/>
                <w:color w:val="auto"/>
              </w:rPr>
              <w:t>Current</w:t>
            </w:r>
          </w:p>
        </w:tc>
        <w:tc>
          <w:tcPr>
            <w:tcW w:w="9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6"/>
              </w:rPr>
              <w:t>Basis Point</w:t>
            </w:r>
          </w:p>
        </w:tc>
        <w:tc>
          <w:tcPr>
            <w:tcW w:w="160" w:type="dxa"/>
            <w:vAlign w:val="bottom"/>
          </w:tcPr>
          <w:p>
            <w:pPr>
              <w:spacing w:after="0"/>
              <w:rPr>
                <w:sz w:val="8"/>
                <w:szCs w:val="8"/>
                <w:color w:val="auto"/>
              </w:rPr>
            </w:pPr>
          </w:p>
        </w:tc>
        <w:tc>
          <w:tcPr>
            <w:tcW w:w="74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Par /</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9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6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Spread Above</w:t>
            </w: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(3)</w:t>
            </w:r>
          </w:p>
        </w:tc>
        <w:tc>
          <w:tcPr>
            <w:tcW w:w="0" w:type="dxa"/>
            <w:vAlign w:val="bottom"/>
          </w:tcPr>
          <w:p>
            <w:pPr>
              <w:spacing w:after="0"/>
              <w:rPr>
                <w:sz w:val="1"/>
                <w:szCs w:val="1"/>
                <w:color w:val="auto"/>
              </w:rPr>
            </w:pPr>
          </w:p>
        </w:tc>
      </w:tr>
      <w:tr>
        <w:trPr>
          <w:trHeight w:val="142"/>
        </w:trPr>
        <w:tc>
          <w:tcPr>
            <w:tcW w:w="2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2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Coupon</w:t>
            </w:r>
          </w:p>
        </w:tc>
        <w:tc>
          <w:tcPr>
            <w:tcW w:w="920" w:type="dxa"/>
            <w:vAlign w:val="bottom"/>
          </w:tcPr>
          <w:p>
            <w:pPr>
              <w:jc w:val="center"/>
              <w:spacing w:after="0" w:line="130"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(4)</w:t>
            </w:r>
          </w:p>
        </w:tc>
        <w:tc>
          <w:tcPr>
            <w:tcW w:w="160" w:type="dxa"/>
            <w:vAlign w:val="bottom"/>
          </w:tcPr>
          <w:p>
            <w:pPr>
              <w:spacing w:after="0"/>
              <w:rPr>
                <w:sz w:val="12"/>
                <w:szCs w:val="12"/>
                <w:color w:val="auto"/>
              </w:rPr>
            </w:pPr>
          </w:p>
        </w:tc>
        <w:tc>
          <w:tcPr>
            <w:tcW w:w="740" w:type="dxa"/>
            <w:vAlign w:val="bottom"/>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76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w w:val="89"/>
              </w:rPr>
              <w:t xml:space="preserve">Investments in Non-Controlled, Non-Affiliated Portfolio Companies—124.3% </w:t>
            </w:r>
            <w:r>
              <w:rPr>
                <w:rFonts w:ascii="Arial" w:cs="Arial" w:eastAsia="Arial" w:hAnsi="Arial"/>
                <w:sz w:val="14"/>
                <w:szCs w:val="14"/>
                <w:b w:val="1"/>
                <w:bCs w:val="1"/>
                <w:color w:val="auto"/>
                <w:w w:val="89"/>
                <w:vertAlign w:val="superscript"/>
              </w:rPr>
              <w:t>(1),</w:t>
            </w:r>
          </w:p>
        </w:tc>
        <w:tc>
          <w:tcPr>
            <w:tcW w:w="140" w:type="dxa"/>
            <w:vAlign w:val="bottom"/>
          </w:tcPr>
          <w:p>
            <w:pPr>
              <w:jc w:val="right"/>
              <w:ind w:right="30"/>
              <w:spacing w:after="0" w:line="61" w:lineRule="exact"/>
              <w:rPr>
                <w:sz w:val="20"/>
                <w:szCs w:val="20"/>
                <w:color w:val="auto"/>
              </w:rPr>
            </w:pPr>
            <w:r>
              <w:rPr>
                <w:rFonts w:ascii="Arial" w:cs="Arial" w:eastAsia="Arial" w:hAnsi="Arial"/>
                <w:sz w:val="6"/>
                <w:szCs w:val="6"/>
                <w:b w:val="1"/>
                <w:bCs w:val="1"/>
                <w:color w:val="auto"/>
                <w:w w:val="81"/>
              </w:rPr>
              <w:t>(2)</w:t>
            </w:r>
          </w:p>
        </w:tc>
        <w:tc>
          <w:tcPr>
            <w:tcW w:w="2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80" w:type="dxa"/>
            <w:vAlign w:val="bottom"/>
          </w:tcPr>
          <w:p>
            <w:pPr>
              <w:ind w:left="20"/>
              <w:spacing w:after="0"/>
              <w:rPr>
                <w:sz w:val="20"/>
                <w:szCs w:val="20"/>
                <w:color w:val="auto"/>
              </w:rPr>
            </w:pPr>
            <w:r>
              <w:rPr>
                <w:rFonts w:ascii="Arial" w:cs="Arial" w:eastAsia="Arial" w:hAnsi="Arial"/>
                <w:sz w:val="11"/>
                <w:szCs w:val="11"/>
                <w:b w:val="1"/>
                <w:bCs w:val="1"/>
                <w:color w:val="auto"/>
              </w:rPr>
              <w:t>First Lien Secured Debt—77.5%</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80" w:type="dxa"/>
            <w:vAlign w:val="bottom"/>
            <w:shd w:val="clear" w:color="auto" w:fill="CCECFF"/>
          </w:tcPr>
          <w:p>
            <w:pPr>
              <w:ind w:left="20"/>
              <w:spacing w:after="0"/>
              <w:rPr>
                <w:sz w:val="20"/>
                <w:szCs w:val="20"/>
                <w:color w:val="auto"/>
              </w:rPr>
            </w:pPr>
            <w:r>
              <w:rPr>
                <w:rFonts w:ascii="Arial" w:cs="Arial" w:eastAsia="Arial" w:hAnsi="Arial"/>
                <w:sz w:val="11"/>
                <w:szCs w:val="11"/>
                <w:color w:val="auto"/>
              </w:rPr>
              <w:t>18 Freemont Street Acquisition, LLC</w:t>
            </w:r>
          </w:p>
        </w:tc>
        <w:tc>
          <w:tcPr>
            <w:tcW w:w="780" w:type="dxa"/>
            <w:vAlign w:val="bottom"/>
            <w:gridSpan w:val="2"/>
            <w:shd w:val="clear" w:color="auto" w:fill="CCECFF"/>
          </w:tcPr>
          <w:p>
            <w:pPr>
              <w:ind w:left="220"/>
              <w:spacing w:after="0"/>
              <w:rPr>
                <w:sz w:val="20"/>
                <w:szCs w:val="20"/>
                <w:color w:val="auto"/>
              </w:rPr>
            </w:pPr>
            <w:r>
              <w:rPr>
                <w:rFonts w:ascii="Arial" w:cs="Arial" w:eastAsia="Arial" w:hAnsi="Arial"/>
                <w:sz w:val="11"/>
                <w:szCs w:val="11"/>
                <w:color w:val="auto"/>
                <w:w w:val="98"/>
              </w:rPr>
              <w:t>08/11/2025</w:t>
            </w:r>
          </w:p>
        </w:tc>
        <w:tc>
          <w:tcPr>
            <w:tcW w:w="140" w:type="dxa"/>
            <w:vAlign w:val="bottom"/>
            <w:shd w:val="clear" w:color="auto" w:fill="CCECFF"/>
          </w:tcPr>
          <w:p>
            <w:pPr>
              <w:spacing w:after="0"/>
              <w:rPr>
                <w:sz w:val="12"/>
                <w:szCs w:val="12"/>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Hotels, Motels, Inns and Gaming</w:t>
            </w:r>
          </w:p>
        </w:tc>
        <w:tc>
          <w:tcPr>
            <w:tcW w:w="108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9.50 %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L+800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7,432,867</w:t>
            </w:r>
          </w:p>
        </w:tc>
        <w:tc>
          <w:tcPr>
            <w:tcW w:w="32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6,815,049</w:t>
            </w: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7,562,943</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980" w:type="dxa"/>
            <w:vAlign w:val="bottom"/>
          </w:tcPr>
          <w:p>
            <w:pPr>
              <w:ind w:left="20"/>
              <w:spacing w:after="0" w:line="105" w:lineRule="exact"/>
              <w:rPr>
                <w:sz w:val="20"/>
                <w:szCs w:val="20"/>
                <w:color w:val="auto"/>
              </w:rPr>
            </w:pPr>
            <w:r>
              <w:rPr>
                <w:rFonts w:ascii="Arial" w:cs="Arial" w:eastAsia="Arial" w:hAnsi="Arial"/>
                <w:sz w:val="11"/>
                <w:szCs w:val="11"/>
                <w:color w:val="auto"/>
              </w:rPr>
              <w:t>Ad.net Acquisition, LLC (Revolver)</w:t>
            </w:r>
          </w:p>
        </w:tc>
        <w:tc>
          <w:tcPr>
            <w:tcW w:w="780" w:type="dxa"/>
            <w:vAlign w:val="bottom"/>
            <w:gridSpan w:val="2"/>
          </w:tcPr>
          <w:p>
            <w:pPr>
              <w:ind w:left="220"/>
              <w:spacing w:after="0" w:line="105" w:lineRule="exact"/>
              <w:rPr>
                <w:sz w:val="20"/>
                <w:szCs w:val="20"/>
                <w:color w:val="auto"/>
              </w:rPr>
            </w:pPr>
            <w:r>
              <w:rPr>
                <w:rFonts w:ascii="Arial" w:cs="Arial" w:eastAsia="Arial" w:hAnsi="Arial"/>
                <w:sz w:val="11"/>
                <w:szCs w:val="11"/>
                <w:color w:val="auto"/>
                <w:w w:val="98"/>
              </w:rPr>
              <w:t>05/06/2026</w:t>
            </w:r>
          </w:p>
        </w:tc>
        <w:tc>
          <w:tcPr>
            <w:tcW w:w="140" w:type="dxa"/>
            <w:vAlign w:val="bottom"/>
          </w:tcPr>
          <w:p>
            <w:pPr>
              <w:spacing w:after="0"/>
              <w:rPr>
                <w:sz w:val="9"/>
                <w:szCs w:val="9"/>
                <w:color w:val="auto"/>
              </w:rPr>
            </w:pPr>
          </w:p>
        </w:tc>
        <w:tc>
          <w:tcPr>
            <w:tcW w:w="260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1080" w:type="dxa"/>
            <w:vAlign w:val="bottom"/>
            <w:gridSpan w:val="3"/>
          </w:tcPr>
          <w:p>
            <w:pPr>
              <w:jc w:val="right"/>
              <w:ind w:right="160"/>
              <w:spacing w:after="0" w:line="105" w:lineRule="exact"/>
              <w:rPr>
                <w:sz w:val="20"/>
                <w:szCs w:val="20"/>
                <w:color w:val="auto"/>
              </w:rPr>
            </w:pPr>
            <w:r>
              <w:rPr>
                <w:rFonts w:ascii="Arial" w:cs="Arial" w:eastAsia="Arial" w:hAnsi="Arial"/>
                <w:sz w:val="11"/>
                <w:szCs w:val="11"/>
                <w:color w:val="auto"/>
              </w:rPr>
              <w:t>7.00 %</w:t>
            </w:r>
          </w:p>
        </w:tc>
        <w:tc>
          <w:tcPr>
            <w:tcW w:w="920" w:type="dxa"/>
            <w:vAlign w:val="bottom"/>
          </w:tcPr>
          <w:p>
            <w:pPr>
              <w:jc w:val="right"/>
              <w:spacing w:after="0" w:line="105" w:lineRule="exact"/>
              <w:rPr>
                <w:sz w:val="20"/>
                <w:szCs w:val="20"/>
                <w:color w:val="auto"/>
              </w:rPr>
            </w:pPr>
            <w:r>
              <w:rPr>
                <w:rFonts w:ascii="Arial" w:cs="Arial" w:eastAsia="Arial" w:hAnsi="Arial"/>
                <w:sz w:val="11"/>
                <w:szCs w:val="11"/>
                <w:color w:val="auto"/>
              </w:rPr>
              <w:t>3M L+600</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75,556</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5" w:lineRule="exact"/>
              <w:rPr>
                <w:sz w:val="20"/>
                <w:szCs w:val="20"/>
                <w:color w:val="auto"/>
              </w:rPr>
            </w:pPr>
            <w:r>
              <w:rPr>
                <w:rFonts w:ascii="Arial" w:cs="Arial" w:eastAsia="Arial" w:hAnsi="Arial"/>
                <w:sz w:val="11"/>
                <w:szCs w:val="11"/>
                <w:color w:val="auto"/>
              </w:rPr>
              <w:t>75,556</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05" w:lineRule="exact"/>
              <w:rPr>
                <w:sz w:val="20"/>
                <w:szCs w:val="20"/>
                <w:color w:val="auto"/>
              </w:rPr>
            </w:pPr>
            <w:r>
              <w:rPr>
                <w:rFonts w:ascii="Arial" w:cs="Arial" w:eastAsia="Arial" w:hAnsi="Arial"/>
                <w:sz w:val="11"/>
                <w:szCs w:val="11"/>
                <w:color w:val="auto"/>
              </w:rPr>
              <w:t>74,422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Ad.net Acquisition, LLC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05/06/2026</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368,889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(5,533 )</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Altamira Technologies, LLC (Revolver)</w:t>
            </w:r>
          </w:p>
        </w:tc>
        <w:tc>
          <w:tcPr>
            <w:tcW w:w="78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8"/>
              </w:rPr>
              <w:t>07/24/2025</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6"/>
              </w:rPr>
              <w:t>Aerospace and Defense</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8.00 %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L+700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50,000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50,000</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46,875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07/24/2025</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137,500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(8,594 )</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American Insulated Glass, LLC</w:t>
            </w:r>
          </w:p>
        </w:tc>
        <w:tc>
          <w:tcPr>
            <w:tcW w:w="78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8"/>
              </w:rPr>
              <w:t>12/21/2023</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92"/>
              </w:rPr>
              <w:t>Building Materials</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6.50 %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15,795,264</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15,638,927</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15,637,311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Any Hour Services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07/21/2027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3,823,529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(38,235 )</w:t>
            </w:r>
          </w:p>
        </w:tc>
        <w:tc>
          <w:tcPr>
            <w:tcW w:w="0" w:type="dxa"/>
            <w:vAlign w:val="bottom"/>
          </w:tcPr>
          <w:p>
            <w:pPr>
              <w:spacing w:after="0"/>
              <w:rPr>
                <w:sz w:val="1"/>
                <w:szCs w:val="1"/>
                <w:color w:val="auto"/>
              </w:rPr>
            </w:pPr>
          </w:p>
        </w:tc>
      </w:tr>
      <w:tr>
        <w:trPr>
          <w:trHeight w:val="165"/>
        </w:trPr>
        <w:tc>
          <w:tcPr>
            <w:tcW w:w="2980" w:type="dxa"/>
            <w:vAlign w:val="bottom"/>
          </w:tcPr>
          <w:p>
            <w:pPr>
              <w:ind w:left="20"/>
              <w:spacing w:after="0"/>
              <w:rPr>
                <w:sz w:val="20"/>
                <w:szCs w:val="20"/>
                <w:color w:val="auto"/>
              </w:rPr>
            </w:pPr>
            <w:r>
              <w:rPr>
                <w:rFonts w:ascii="Arial" w:cs="Arial" w:eastAsia="Arial" w:hAnsi="Arial"/>
                <w:sz w:val="11"/>
                <w:szCs w:val="11"/>
                <w:color w:val="auto"/>
              </w:rPr>
              <w:t xml:space="preserve">Any Hour Services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07/21/2027</w:t>
            </w:r>
          </w:p>
        </w:tc>
        <w:tc>
          <w:tcPr>
            <w:tcW w:w="14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1,147,059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(22,941 )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w:t>
            </w:r>
          </w:p>
        </w:tc>
        <w:tc>
          <w:tcPr>
            <w:tcW w:w="780" w:type="dxa"/>
            <w:vAlign w:val="bottom"/>
            <w:gridSpan w:val="2"/>
            <w:shd w:val="clear" w:color="auto" w:fill="CCECFF"/>
          </w:tcPr>
          <w:p>
            <w:pPr>
              <w:ind w:left="220"/>
              <w:spacing w:after="0"/>
              <w:rPr>
                <w:sz w:val="20"/>
                <w:szCs w:val="20"/>
                <w:color w:val="auto"/>
              </w:rPr>
            </w:pPr>
            <w:r>
              <w:rPr>
                <w:rFonts w:ascii="Arial" w:cs="Arial" w:eastAsia="Arial" w:hAnsi="Arial"/>
                <w:sz w:val="11"/>
                <w:szCs w:val="11"/>
                <w:color w:val="auto"/>
                <w:w w:val="98"/>
              </w:rPr>
              <w:t>07/31/2025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08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6.25 %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1,330,729</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1,330,729</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1,317,421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980" w:type="dxa"/>
            <w:vAlign w:val="bottom"/>
          </w:tcPr>
          <w:p>
            <w:pPr>
              <w:ind w:left="20"/>
              <w:spacing w:after="0" w:line="105" w:lineRule="exact"/>
              <w:rPr>
                <w:sz w:val="20"/>
                <w:szCs w:val="20"/>
                <w:color w:val="auto"/>
              </w:rPr>
            </w:pPr>
            <w:r>
              <w:rPr>
                <w:rFonts w:ascii="Arial" w:cs="Arial" w:eastAsia="Arial" w:hAnsi="Arial"/>
                <w:sz w:val="11"/>
                <w:szCs w:val="11"/>
                <w:color w:val="auto"/>
              </w:rPr>
              <w:t>Apex Service Partners, LLC Term Loan C</w:t>
            </w:r>
          </w:p>
        </w:tc>
        <w:tc>
          <w:tcPr>
            <w:tcW w:w="780" w:type="dxa"/>
            <w:vAlign w:val="bottom"/>
            <w:gridSpan w:val="2"/>
          </w:tcPr>
          <w:p>
            <w:pPr>
              <w:ind w:left="220"/>
              <w:spacing w:after="0" w:line="105" w:lineRule="exact"/>
              <w:rPr>
                <w:sz w:val="20"/>
                <w:szCs w:val="20"/>
                <w:color w:val="auto"/>
              </w:rPr>
            </w:pPr>
            <w:r>
              <w:rPr>
                <w:rFonts w:ascii="Arial" w:cs="Arial" w:eastAsia="Arial" w:hAnsi="Arial"/>
                <w:sz w:val="11"/>
                <w:szCs w:val="11"/>
                <w:color w:val="auto"/>
                <w:w w:val="98"/>
              </w:rPr>
              <w:t>07/31/2025</w:t>
            </w:r>
          </w:p>
        </w:tc>
        <w:tc>
          <w:tcPr>
            <w:tcW w:w="140" w:type="dxa"/>
            <w:vAlign w:val="bottom"/>
          </w:tcPr>
          <w:p>
            <w:pPr>
              <w:spacing w:after="0"/>
              <w:rPr>
                <w:sz w:val="9"/>
                <w:szCs w:val="9"/>
                <w:color w:val="auto"/>
              </w:rPr>
            </w:pPr>
          </w:p>
        </w:tc>
        <w:tc>
          <w:tcPr>
            <w:tcW w:w="2600" w:type="dxa"/>
            <w:vAlign w:val="bottom"/>
          </w:tcPr>
          <w:p>
            <w:pPr>
              <w:jc w:val="center"/>
              <w:spacing w:after="0" w:line="105" w:lineRule="exact"/>
              <w:rPr>
                <w:sz w:val="20"/>
                <w:szCs w:val="20"/>
                <w:color w:val="auto"/>
              </w:rPr>
            </w:pPr>
            <w:r>
              <w:rPr>
                <w:rFonts w:ascii="Arial" w:cs="Arial" w:eastAsia="Arial" w:hAnsi="Arial"/>
                <w:sz w:val="11"/>
                <w:szCs w:val="11"/>
                <w:color w:val="auto"/>
                <w:w w:val="87"/>
              </w:rPr>
              <w:t>Personal, Food and Miscellaneous Services</w:t>
            </w:r>
          </w:p>
        </w:tc>
        <w:tc>
          <w:tcPr>
            <w:tcW w:w="1080" w:type="dxa"/>
            <w:vAlign w:val="bottom"/>
            <w:gridSpan w:val="3"/>
          </w:tcPr>
          <w:p>
            <w:pPr>
              <w:jc w:val="right"/>
              <w:ind w:right="160"/>
              <w:spacing w:after="0" w:line="105" w:lineRule="exact"/>
              <w:rPr>
                <w:sz w:val="20"/>
                <w:szCs w:val="20"/>
                <w:color w:val="auto"/>
              </w:rPr>
            </w:pPr>
            <w:r>
              <w:rPr>
                <w:rFonts w:ascii="Arial" w:cs="Arial" w:eastAsia="Arial" w:hAnsi="Arial"/>
                <w:sz w:val="11"/>
                <w:szCs w:val="11"/>
                <w:color w:val="auto"/>
              </w:rPr>
              <w:t>6.25 %</w:t>
            </w:r>
          </w:p>
        </w:tc>
        <w:tc>
          <w:tcPr>
            <w:tcW w:w="920" w:type="dxa"/>
            <w:vAlign w:val="bottom"/>
          </w:tcPr>
          <w:p>
            <w:pPr>
              <w:jc w:val="right"/>
              <w:spacing w:after="0" w:line="105" w:lineRule="exact"/>
              <w:rPr>
                <w:sz w:val="20"/>
                <w:szCs w:val="20"/>
                <w:color w:val="auto"/>
              </w:rPr>
            </w:pPr>
            <w:r>
              <w:rPr>
                <w:rFonts w:ascii="Arial" w:cs="Arial" w:eastAsia="Arial" w:hAnsi="Arial"/>
                <w:sz w:val="11"/>
                <w:szCs w:val="11"/>
                <w:color w:val="auto"/>
              </w:rPr>
              <w:t>1M L+525</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5,592,391</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5" w:lineRule="exact"/>
              <w:rPr>
                <w:sz w:val="20"/>
                <w:szCs w:val="20"/>
                <w:color w:val="auto"/>
              </w:rPr>
            </w:pPr>
            <w:r>
              <w:rPr>
                <w:rFonts w:ascii="Arial" w:cs="Arial" w:eastAsia="Arial" w:hAnsi="Arial"/>
                <w:sz w:val="11"/>
                <w:szCs w:val="11"/>
                <w:color w:val="auto"/>
              </w:rPr>
              <w:t>5,508,960</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05" w:lineRule="exact"/>
              <w:rPr>
                <w:sz w:val="20"/>
                <w:szCs w:val="20"/>
                <w:color w:val="auto"/>
              </w:rPr>
            </w:pPr>
            <w:r>
              <w:rPr>
                <w:rFonts w:ascii="Arial" w:cs="Arial" w:eastAsia="Arial" w:hAnsi="Arial"/>
                <w:sz w:val="11"/>
                <w:szCs w:val="11"/>
                <w:color w:val="auto"/>
              </w:rPr>
              <w:t>5,536,467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Apex Service Partners, LLC Term Loan C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01/31/2022</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6,657,609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(8,322 )</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Apex Service Partners, LLC (Revolver)</w:t>
            </w:r>
          </w:p>
        </w:tc>
        <w:tc>
          <w:tcPr>
            <w:tcW w:w="78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8"/>
              </w:rPr>
              <w:t>07/29/2024</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7"/>
              </w:rPr>
              <w:t>Personal, Food and Miscellaneous Services</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6.25 %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L+525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238,991</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238,991</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234,809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Apex Service Partners, LLC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07/29/2024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693,074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(12,129 )</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Applied Technical Services, LLC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06/29/2022</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Environmental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6,235,427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(54,560 )</w:t>
            </w: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12/29/2026</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Environmental Services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1,000,000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(20,000 )</w:t>
            </w:r>
          </w:p>
        </w:tc>
        <w:tc>
          <w:tcPr>
            <w:tcW w:w="0" w:type="dxa"/>
            <w:vAlign w:val="bottom"/>
          </w:tcPr>
          <w:p>
            <w:pPr>
              <w:spacing w:after="0"/>
              <w:rPr>
                <w:sz w:val="1"/>
                <w:szCs w:val="1"/>
                <w:color w:val="auto"/>
              </w:rPr>
            </w:pPr>
          </w:p>
        </w:tc>
      </w:tr>
      <w:tr>
        <w:trPr>
          <w:trHeight w:val="140"/>
        </w:trPr>
        <w:tc>
          <w:tcPr>
            <w:tcW w:w="2980" w:type="dxa"/>
            <w:vAlign w:val="bottom"/>
          </w:tcPr>
          <w:p>
            <w:pPr>
              <w:ind w:left="20"/>
              <w:spacing w:after="0"/>
              <w:rPr>
                <w:sz w:val="20"/>
                <w:szCs w:val="20"/>
                <w:color w:val="auto"/>
              </w:rPr>
            </w:pPr>
            <w:r>
              <w:rPr>
                <w:rFonts w:ascii="Arial" w:cs="Arial" w:eastAsia="Arial" w:hAnsi="Arial"/>
                <w:sz w:val="11"/>
                <w:szCs w:val="11"/>
                <w:color w:val="auto"/>
              </w:rPr>
              <w:t>Bottom Line Systems, LLC</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02/13/2023</w:t>
            </w:r>
          </w:p>
        </w:tc>
        <w:tc>
          <w:tcPr>
            <w:tcW w:w="140" w:type="dxa"/>
            <w:vAlign w:val="bottom"/>
          </w:tcPr>
          <w:p>
            <w:pPr>
              <w:spacing w:after="0"/>
              <w:rPr>
                <w:sz w:val="12"/>
                <w:szCs w:val="12"/>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080" w:type="dxa"/>
            <w:vAlign w:val="bottom"/>
            <w:gridSpan w:val="3"/>
          </w:tcPr>
          <w:p>
            <w:pPr>
              <w:jc w:val="right"/>
              <w:ind w:right="160"/>
              <w:spacing w:after="0"/>
              <w:rPr>
                <w:sz w:val="20"/>
                <w:szCs w:val="20"/>
                <w:color w:val="auto"/>
              </w:rPr>
            </w:pPr>
            <w:r>
              <w:rPr>
                <w:rFonts w:ascii="Arial" w:cs="Arial" w:eastAsia="Arial" w:hAnsi="Arial"/>
                <w:sz w:val="11"/>
                <w:szCs w:val="11"/>
                <w:color w:val="auto"/>
              </w:rPr>
              <w:t>6.25 %</w:t>
            </w:r>
          </w:p>
        </w:tc>
        <w:tc>
          <w:tcPr>
            <w:tcW w:w="920" w:type="dxa"/>
            <w:vAlign w:val="bottom"/>
          </w:tcPr>
          <w:p>
            <w:pPr>
              <w:jc w:val="right"/>
              <w:spacing w:after="0"/>
              <w:rPr>
                <w:sz w:val="20"/>
                <w:szCs w:val="20"/>
                <w:color w:val="auto"/>
              </w:rPr>
            </w:pPr>
            <w:r>
              <w:rPr>
                <w:rFonts w:ascii="Arial" w:cs="Arial" w:eastAsia="Arial" w:hAnsi="Arial"/>
                <w:sz w:val="11"/>
                <w:szCs w:val="11"/>
                <w:color w:val="auto"/>
              </w:rPr>
              <w:t>1M L+550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6,153,097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6,128,168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6,153,097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80" w:type="dxa"/>
            <w:vAlign w:val="bottom"/>
            <w:shd w:val="clear" w:color="auto" w:fill="CCECFF"/>
          </w:tcPr>
          <w:p>
            <w:pPr>
              <w:ind w:left="20"/>
              <w:spacing w:after="0"/>
              <w:rPr>
                <w:sz w:val="20"/>
                <w:szCs w:val="20"/>
                <w:color w:val="auto"/>
              </w:rPr>
            </w:pPr>
            <w:r>
              <w:rPr>
                <w:rFonts w:ascii="Arial" w:cs="Arial" w:eastAsia="Arial" w:hAnsi="Arial"/>
                <w:sz w:val="11"/>
                <w:szCs w:val="11"/>
                <w:color w:val="auto"/>
              </w:rPr>
              <w:t>Broder Bros., Co.</w:t>
            </w:r>
          </w:p>
        </w:tc>
        <w:tc>
          <w:tcPr>
            <w:tcW w:w="780" w:type="dxa"/>
            <w:vAlign w:val="bottom"/>
            <w:gridSpan w:val="2"/>
            <w:shd w:val="clear" w:color="auto" w:fill="CCECFF"/>
          </w:tcPr>
          <w:p>
            <w:pPr>
              <w:ind w:left="220"/>
              <w:spacing w:after="0"/>
              <w:rPr>
                <w:sz w:val="20"/>
                <w:szCs w:val="20"/>
                <w:color w:val="auto"/>
              </w:rPr>
            </w:pPr>
            <w:r>
              <w:rPr>
                <w:rFonts w:ascii="Arial" w:cs="Arial" w:eastAsia="Arial" w:hAnsi="Arial"/>
                <w:sz w:val="11"/>
                <w:szCs w:val="11"/>
                <w:color w:val="auto"/>
                <w:w w:val="98"/>
              </w:rPr>
              <w:t>12/02/2022</w:t>
            </w:r>
          </w:p>
        </w:tc>
        <w:tc>
          <w:tcPr>
            <w:tcW w:w="140" w:type="dxa"/>
            <w:vAlign w:val="bottom"/>
            <w:shd w:val="clear" w:color="auto" w:fill="CCECFF"/>
          </w:tcPr>
          <w:p>
            <w:pPr>
              <w:spacing w:after="0"/>
              <w:rPr>
                <w:sz w:val="12"/>
                <w:szCs w:val="12"/>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Products</w:t>
            </w:r>
          </w:p>
        </w:tc>
        <w:tc>
          <w:tcPr>
            <w:tcW w:w="108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9.75 %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L+850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25,332,751</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25,333,384</w:t>
            </w: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25,332,751</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980" w:type="dxa"/>
            <w:vAlign w:val="bottom"/>
          </w:tcPr>
          <w:p>
            <w:pPr>
              <w:ind w:left="20"/>
              <w:spacing w:after="0" w:line="105" w:lineRule="exact"/>
              <w:rPr>
                <w:sz w:val="20"/>
                <w:szCs w:val="20"/>
                <w:color w:val="auto"/>
              </w:rPr>
            </w:pPr>
            <w:r>
              <w:rPr>
                <w:rFonts w:ascii="Arial" w:cs="Arial" w:eastAsia="Arial" w:hAnsi="Arial"/>
                <w:sz w:val="11"/>
                <w:szCs w:val="11"/>
                <w:color w:val="auto"/>
              </w:rPr>
              <w:t>CF512, Inc.</w:t>
            </w:r>
          </w:p>
        </w:tc>
        <w:tc>
          <w:tcPr>
            <w:tcW w:w="780" w:type="dxa"/>
            <w:vAlign w:val="bottom"/>
            <w:gridSpan w:val="2"/>
          </w:tcPr>
          <w:p>
            <w:pPr>
              <w:ind w:left="220"/>
              <w:spacing w:after="0" w:line="105" w:lineRule="exact"/>
              <w:rPr>
                <w:sz w:val="20"/>
                <w:szCs w:val="20"/>
                <w:color w:val="auto"/>
              </w:rPr>
            </w:pPr>
            <w:r>
              <w:rPr>
                <w:rFonts w:ascii="Arial" w:cs="Arial" w:eastAsia="Arial" w:hAnsi="Arial"/>
                <w:sz w:val="11"/>
                <w:szCs w:val="11"/>
                <w:color w:val="auto"/>
                <w:w w:val="98"/>
              </w:rPr>
              <w:t>08/20/2026</w:t>
            </w:r>
          </w:p>
        </w:tc>
        <w:tc>
          <w:tcPr>
            <w:tcW w:w="140" w:type="dxa"/>
            <w:vAlign w:val="bottom"/>
          </w:tcPr>
          <w:p>
            <w:pPr>
              <w:spacing w:after="0"/>
              <w:rPr>
                <w:sz w:val="9"/>
                <w:szCs w:val="9"/>
                <w:color w:val="auto"/>
              </w:rPr>
            </w:pPr>
          </w:p>
        </w:tc>
        <w:tc>
          <w:tcPr>
            <w:tcW w:w="260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1080" w:type="dxa"/>
            <w:vAlign w:val="bottom"/>
            <w:gridSpan w:val="3"/>
          </w:tcPr>
          <w:p>
            <w:pPr>
              <w:jc w:val="right"/>
              <w:ind w:right="160"/>
              <w:spacing w:after="0" w:line="105" w:lineRule="exact"/>
              <w:rPr>
                <w:sz w:val="20"/>
                <w:szCs w:val="20"/>
                <w:color w:val="auto"/>
              </w:rPr>
            </w:pPr>
            <w:r>
              <w:rPr>
                <w:rFonts w:ascii="Arial" w:cs="Arial" w:eastAsia="Arial" w:hAnsi="Arial"/>
                <w:sz w:val="11"/>
                <w:szCs w:val="11"/>
                <w:color w:val="auto"/>
              </w:rPr>
              <w:t>7.00 %</w:t>
            </w:r>
          </w:p>
        </w:tc>
        <w:tc>
          <w:tcPr>
            <w:tcW w:w="920" w:type="dxa"/>
            <w:vAlign w:val="bottom"/>
          </w:tcPr>
          <w:p>
            <w:pPr>
              <w:jc w:val="right"/>
              <w:spacing w:after="0" w:line="105" w:lineRule="exact"/>
              <w:rPr>
                <w:sz w:val="20"/>
                <w:szCs w:val="20"/>
                <w:color w:val="auto"/>
              </w:rPr>
            </w:pPr>
            <w:r>
              <w:rPr>
                <w:rFonts w:ascii="Arial" w:cs="Arial" w:eastAsia="Arial" w:hAnsi="Arial"/>
                <w:sz w:val="11"/>
                <w:szCs w:val="11"/>
                <w:color w:val="auto"/>
              </w:rPr>
              <w:t>3M L+600</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10,000,000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5" w:lineRule="exact"/>
              <w:rPr>
                <w:sz w:val="20"/>
                <w:szCs w:val="20"/>
                <w:color w:val="auto"/>
              </w:rPr>
            </w:pPr>
            <w:r>
              <w:rPr>
                <w:rFonts w:ascii="Arial" w:cs="Arial" w:eastAsia="Arial" w:hAnsi="Arial"/>
                <w:sz w:val="11"/>
                <w:szCs w:val="11"/>
                <w:color w:val="auto"/>
              </w:rPr>
              <w:t>9,802,447</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05" w:lineRule="exact"/>
              <w:rPr>
                <w:sz w:val="20"/>
                <w:szCs w:val="20"/>
                <w:color w:val="auto"/>
              </w:rPr>
            </w:pPr>
            <w:r>
              <w:rPr>
                <w:rFonts w:ascii="Arial" w:cs="Arial" w:eastAsia="Arial" w:hAnsi="Arial"/>
                <w:sz w:val="11"/>
                <w:szCs w:val="11"/>
                <w:color w:val="auto"/>
              </w:rPr>
              <w:t>9,800,000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CF512, Inc.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08/20/2026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2,727,273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(27,273 )</w:t>
            </w:r>
          </w:p>
        </w:tc>
        <w:tc>
          <w:tcPr>
            <w:tcW w:w="0" w:type="dxa"/>
            <w:vAlign w:val="bottom"/>
          </w:tcPr>
          <w:p>
            <w:pPr>
              <w:spacing w:after="0"/>
              <w:rPr>
                <w:sz w:val="1"/>
                <w:szCs w:val="1"/>
                <w:color w:val="auto"/>
              </w:rPr>
            </w:pPr>
          </w:p>
        </w:tc>
      </w:tr>
      <w:tr>
        <w:trPr>
          <w:trHeight w:val="165"/>
        </w:trPr>
        <w:tc>
          <w:tcPr>
            <w:tcW w:w="2980" w:type="dxa"/>
            <w:vAlign w:val="bottom"/>
          </w:tcPr>
          <w:p>
            <w:pPr>
              <w:ind w:left="20"/>
              <w:spacing w:after="0"/>
              <w:rPr>
                <w:sz w:val="20"/>
                <w:szCs w:val="20"/>
                <w:color w:val="auto"/>
              </w:rPr>
            </w:pPr>
            <w:r>
              <w:rPr>
                <w:rFonts w:ascii="Arial" w:cs="Arial" w:eastAsia="Arial" w:hAnsi="Arial"/>
                <w:sz w:val="11"/>
                <w:szCs w:val="11"/>
                <w:color w:val="auto"/>
              </w:rPr>
              <w:t xml:space="preserve">CF512, Inc.(Revolver)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08/20/2026</w:t>
            </w:r>
          </w:p>
        </w:tc>
        <w:tc>
          <w:tcPr>
            <w:tcW w:w="14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909,091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(18,182 )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Arial" w:cs="Arial" w:eastAsia="Arial" w:hAnsi="Arial"/>
                <w:sz w:val="11"/>
                <w:szCs w:val="11"/>
                <w:color w:val="auto"/>
              </w:rPr>
              <w:t>Compex Legal Services, Inc.</w:t>
            </w:r>
          </w:p>
        </w:tc>
        <w:tc>
          <w:tcPr>
            <w:tcW w:w="780" w:type="dxa"/>
            <w:vAlign w:val="bottom"/>
            <w:gridSpan w:val="2"/>
            <w:shd w:val="clear" w:color="auto" w:fill="CCECFF"/>
          </w:tcPr>
          <w:p>
            <w:pPr>
              <w:ind w:left="220"/>
              <w:spacing w:after="0"/>
              <w:rPr>
                <w:sz w:val="20"/>
                <w:szCs w:val="20"/>
                <w:color w:val="auto"/>
              </w:rPr>
            </w:pPr>
            <w:r>
              <w:rPr>
                <w:rFonts w:ascii="Arial" w:cs="Arial" w:eastAsia="Arial" w:hAnsi="Arial"/>
                <w:sz w:val="11"/>
                <w:szCs w:val="11"/>
                <w:color w:val="auto"/>
                <w:w w:val="98"/>
              </w:rPr>
              <w:t>02/09/2026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4"/>
              </w:rPr>
              <w:t>Business Services</w:t>
            </w:r>
          </w:p>
        </w:tc>
        <w:tc>
          <w:tcPr>
            <w:tcW w:w="108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6.75 %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3,569,654</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3,514,434</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3,528,959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980" w:type="dxa"/>
            <w:vAlign w:val="bottom"/>
          </w:tcPr>
          <w:p>
            <w:pPr>
              <w:ind w:left="20"/>
              <w:spacing w:after="0" w:line="105" w:lineRule="exact"/>
              <w:rPr>
                <w:sz w:val="20"/>
                <w:szCs w:val="20"/>
                <w:color w:val="auto"/>
              </w:rPr>
            </w:pPr>
            <w:r>
              <w:rPr>
                <w:rFonts w:ascii="Arial" w:cs="Arial" w:eastAsia="Arial" w:hAnsi="Arial"/>
                <w:sz w:val="11"/>
                <w:szCs w:val="11"/>
                <w:color w:val="auto"/>
              </w:rPr>
              <w:t>Compex Legal Services, Inc. (Revolver)</w:t>
            </w:r>
          </w:p>
        </w:tc>
        <w:tc>
          <w:tcPr>
            <w:tcW w:w="780" w:type="dxa"/>
            <w:vAlign w:val="bottom"/>
            <w:gridSpan w:val="2"/>
          </w:tcPr>
          <w:p>
            <w:pPr>
              <w:ind w:left="220"/>
              <w:spacing w:after="0" w:line="105" w:lineRule="exact"/>
              <w:rPr>
                <w:sz w:val="20"/>
                <w:szCs w:val="20"/>
                <w:color w:val="auto"/>
              </w:rPr>
            </w:pPr>
            <w:r>
              <w:rPr>
                <w:rFonts w:ascii="Arial" w:cs="Arial" w:eastAsia="Arial" w:hAnsi="Arial"/>
                <w:sz w:val="11"/>
                <w:szCs w:val="11"/>
                <w:color w:val="auto"/>
                <w:w w:val="98"/>
              </w:rPr>
              <w:t>02/07/2025</w:t>
            </w:r>
          </w:p>
        </w:tc>
        <w:tc>
          <w:tcPr>
            <w:tcW w:w="140" w:type="dxa"/>
            <w:vAlign w:val="bottom"/>
          </w:tcPr>
          <w:p>
            <w:pPr>
              <w:spacing w:after="0"/>
              <w:rPr>
                <w:sz w:val="9"/>
                <w:szCs w:val="9"/>
                <w:color w:val="auto"/>
              </w:rPr>
            </w:pPr>
          </w:p>
        </w:tc>
        <w:tc>
          <w:tcPr>
            <w:tcW w:w="2600" w:type="dxa"/>
            <w:vAlign w:val="bottom"/>
          </w:tcPr>
          <w:p>
            <w:pPr>
              <w:jc w:val="center"/>
              <w:spacing w:after="0" w:line="105" w:lineRule="exact"/>
              <w:rPr>
                <w:sz w:val="20"/>
                <w:szCs w:val="20"/>
                <w:color w:val="auto"/>
              </w:rPr>
            </w:pPr>
            <w:r>
              <w:rPr>
                <w:rFonts w:ascii="Arial" w:cs="Arial" w:eastAsia="Arial" w:hAnsi="Arial"/>
                <w:sz w:val="11"/>
                <w:szCs w:val="11"/>
                <w:color w:val="auto"/>
                <w:w w:val="84"/>
              </w:rPr>
              <w:t>Business Services</w:t>
            </w:r>
          </w:p>
        </w:tc>
        <w:tc>
          <w:tcPr>
            <w:tcW w:w="1080" w:type="dxa"/>
            <w:vAlign w:val="bottom"/>
            <w:gridSpan w:val="3"/>
          </w:tcPr>
          <w:p>
            <w:pPr>
              <w:jc w:val="right"/>
              <w:ind w:right="160"/>
              <w:spacing w:after="0" w:line="105" w:lineRule="exact"/>
              <w:rPr>
                <w:sz w:val="20"/>
                <w:szCs w:val="20"/>
                <w:color w:val="auto"/>
              </w:rPr>
            </w:pPr>
            <w:r>
              <w:rPr>
                <w:rFonts w:ascii="Arial" w:cs="Arial" w:eastAsia="Arial" w:hAnsi="Arial"/>
                <w:sz w:val="11"/>
                <w:szCs w:val="11"/>
                <w:color w:val="auto"/>
              </w:rPr>
              <w:t>6.75 %</w:t>
            </w:r>
          </w:p>
        </w:tc>
        <w:tc>
          <w:tcPr>
            <w:tcW w:w="920" w:type="dxa"/>
            <w:vAlign w:val="bottom"/>
          </w:tcPr>
          <w:p>
            <w:pPr>
              <w:jc w:val="right"/>
              <w:spacing w:after="0" w:line="105" w:lineRule="exact"/>
              <w:rPr>
                <w:sz w:val="20"/>
                <w:szCs w:val="20"/>
                <w:color w:val="auto"/>
              </w:rPr>
            </w:pPr>
            <w:r>
              <w:rPr>
                <w:rFonts w:ascii="Arial" w:cs="Arial" w:eastAsia="Arial" w:hAnsi="Arial"/>
                <w:sz w:val="11"/>
                <w:szCs w:val="11"/>
                <w:color w:val="auto"/>
              </w:rPr>
              <w:t>3M L+575</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458,962</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5" w:lineRule="exact"/>
              <w:rPr>
                <w:sz w:val="20"/>
                <w:szCs w:val="20"/>
                <w:color w:val="auto"/>
              </w:rPr>
            </w:pPr>
            <w:r>
              <w:rPr>
                <w:rFonts w:ascii="Arial" w:cs="Arial" w:eastAsia="Arial" w:hAnsi="Arial"/>
                <w:sz w:val="11"/>
                <w:szCs w:val="11"/>
                <w:color w:val="auto"/>
              </w:rPr>
              <w:t>458,962</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05" w:lineRule="exact"/>
              <w:rPr>
                <w:sz w:val="20"/>
                <w:szCs w:val="20"/>
                <w:color w:val="auto"/>
              </w:rPr>
            </w:pPr>
            <w:r>
              <w:rPr>
                <w:rFonts w:ascii="Arial" w:cs="Arial" w:eastAsia="Arial" w:hAnsi="Arial"/>
                <w:sz w:val="11"/>
                <w:szCs w:val="11"/>
                <w:color w:val="auto"/>
              </w:rPr>
              <w:t>453,730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02/07/2025</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196,698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(2,242 )</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Connatix Buyer, Inc.</w:t>
            </w:r>
          </w:p>
        </w:tc>
        <w:tc>
          <w:tcPr>
            <w:tcW w:w="78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8"/>
              </w:rPr>
              <w:t>07/13/2027</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6.25 %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12,000,000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11,765,652</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11,760,000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Connatix Buyer, Inc.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01/13/2023</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3,157,895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(31,579 )</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Connatix Buyer, Inc. (Revolver)</w:t>
            </w:r>
          </w:p>
        </w:tc>
        <w:tc>
          <w:tcPr>
            <w:tcW w:w="78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8"/>
              </w:rPr>
              <w:t>07/13/2027</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6.25 %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185,938</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185,938</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182,219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Connatix Buyer, Inc.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07/13/2027</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1,673,438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(33,469 )</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Crane 1 Services, Inc.</w:t>
            </w:r>
          </w:p>
        </w:tc>
        <w:tc>
          <w:tcPr>
            <w:tcW w:w="78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8"/>
              </w:rPr>
              <w:t>08/16/2027</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7"/>
              </w:rPr>
              <w:t>Personal, Food and Miscellaneous Services</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6.75 %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1,847,368</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1,820,153</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1,828,895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Crane 1 Services, Inc.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08/16/2023</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777,512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(1,944 )</w:t>
            </w: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Crane 1 Services, Inc.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08/16/2027</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291,567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(2,916 )</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Crash Champions, LLC</w:t>
            </w:r>
          </w:p>
        </w:tc>
        <w:tc>
          <w:tcPr>
            <w:tcW w:w="78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8"/>
              </w:rPr>
              <w:t>08/05/2025</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90"/>
              </w:rPr>
              <w:t>Auto Sector</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6.00 %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4,750,756</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4,703,891</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4,655,741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980" w:type="dxa"/>
            <w:vAlign w:val="bottom"/>
          </w:tcPr>
          <w:p>
            <w:pPr>
              <w:ind w:left="20"/>
              <w:spacing w:after="0"/>
              <w:rPr>
                <w:sz w:val="20"/>
                <w:szCs w:val="20"/>
                <w:color w:val="auto"/>
              </w:rPr>
            </w:pPr>
            <w:r>
              <w:rPr>
                <w:rFonts w:ascii="Arial" w:cs="Arial" w:eastAsia="Arial" w:hAnsi="Arial"/>
                <w:sz w:val="11"/>
                <w:szCs w:val="11"/>
                <w:color w:val="auto"/>
              </w:rPr>
              <w:t xml:space="preserve">Crash Champions, LLC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05/14/2022</w:t>
            </w:r>
          </w:p>
        </w:tc>
        <w:tc>
          <w:tcPr>
            <w:tcW w:w="14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0"/>
              </w:rPr>
              <w:t>Auto Sector</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6,749,244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(67,492 )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Arial" w:cs="Arial" w:eastAsia="Arial" w:hAnsi="Arial"/>
                <w:sz w:val="11"/>
                <w:szCs w:val="11"/>
                <w:color w:val="auto"/>
              </w:rPr>
              <w:t>DermaRite Industries LLC</w:t>
            </w:r>
          </w:p>
        </w:tc>
        <w:tc>
          <w:tcPr>
            <w:tcW w:w="780" w:type="dxa"/>
            <w:vAlign w:val="bottom"/>
            <w:gridSpan w:val="2"/>
            <w:shd w:val="clear" w:color="auto" w:fill="CCECFF"/>
          </w:tcPr>
          <w:p>
            <w:pPr>
              <w:ind w:left="220"/>
              <w:spacing w:after="0"/>
              <w:rPr>
                <w:sz w:val="20"/>
                <w:szCs w:val="20"/>
                <w:color w:val="auto"/>
              </w:rPr>
            </w:pPr>
            <w:r>
              <w:rPr>
                <w:rFonts w:ascii="Arial" w:cs="Arial" w:eastAsia="Arial" w:hAnsi="Arial"/>
                <w:sz w:val="11"/>
                <w:szCs w:val="11"/>
                <w:color w:val="auto"/>
                <w:w w:val="98"/>
              </w:rPr>
              <w:t>03/03/2022</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Manufacturing / Basic Industries</w:t>
            </w:r>
          </w:p>
        </w:tc>
        <w:tc>
          <w:tcPr>
            <w:tcW w:w="108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8.00 %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8,054,975</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8,041,482</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7,719,888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980" w:type="dxa"/>
            <w:vAlign w:val="bottom"/>
          </w:tcPr>
          <w:p>
            <w:pPr>
              <w:ind w:left="20"/>
              <w:spacing w:after="0" w:line="125" w:lineRule="exact"/>
              <w:rPr>
                <w:sz w:val="20"/>
                <w:szCs w:val="20"/>
                <w:color w:val="auto"/>
              </w:rPr>
            </w:pPr>
            <w:r>
              <w:rPr>
                <w:rFonts w:ascii="Arial" w:cs="Arial" w:eastAsia="Arial" w:hAnsi="Arial"/>
                <w:sz w:val="11"/>
                <w:szCs w:val="11"/>
                <w:color w:val="auto"/>
              </w:rPr>
              <w:t>Dr. Squatch, LLC</w:t>
            </w:r>
          </w:p>
        </w:tc>
        <w:tc>
          <w:tcPr>
            <w:tcW w:w="780" w:type="dxa"/>
            <w:vAlign w:val="bottom"/>
            <w:gridSpan w:val="2"/>
          </w:tcPr>
          <w:p>
            <w:pPr>
              <w:ind w:left="220"/>
              <w:spacing w:after="0" w:line="125" w:lineRule="exact"/>
              <w:rPr>
                <w:sz w:val="20"/>
                <w:szCs w:val="20"/>
                <w:color w:val="auto"/>
              </w:rPr>
            </w:pPr>
            <w:r>
              <w:rPr>
                <w:rFonts w:ascii="Arial" w:cs="Arial" w:eastAsia="Arial" w:hAnsi="Arial"/>
                <w:sz w:val="11"/>
                <w:szCs w:val="11"/>
                <w:color w:val="auto"/>
                <w:w w:val="98"/>
              </w:rPr>
              <w:t>08/27/2026</w:t>
            </w:r>
          </w:p>
        </w:tc>
        <w:tc>
          <w:tcPr>
            <w:tcW w:w="140" w:type="dxa"/>
            <w:vAlign w:val="bottom"/>
          </w:tcPr>
          <w:p>
            <w:pPr>
              <w:spacing w:after="0"/>
              <w:rPr>
                <w:sz w:val="10"/>
                <w:szCs w:val="10"/>
                <w:color w:val="auto"/>
              </w:rPr>
            </w:pPr>
          </w:p>
        </w:tc>
        <w:tc>
          <w:tcPr>
            <w:tcW w:w="2600" w:type="dxa"/>
            <w:vAlign w:val="bottom"/>
          </w:tcPr>
          <w:p>
            <w:pPr>
              <w:jc w:val="center"/>
              <w:spacing w:after="0" w:line="125" w:lineRule="exact"/>
              <w:rPr>
                <w:sz w:val="20"/>
                <w:szCs w:val="20"/>
                <w:color w:val="auto"/>
              </w:rPr>
            </w:pPr>
            <w:r>
              <w:rPr>
                <w:rFonts w:ascii="Arial" w:cs="Arial" w:eastAsia="Arial" w:hAnsi="Arial"/>
                <w:sz w:val="11"/>
                <w:szCs w:val="11"/>
                <w:color w:val="auto"/>
                <w:w w:val="88"/>
              </w:rPr>
              <w:t>Personal and Non-Durable Consumer Products</w:t>
            </w:r>
          </w:p>
        </w:tc>
        <w:tc>
          <w:tcPr>
            <w:tcW w:w="1080" w:type="dxa"/>
            <w:vAlign w:val="bottom"/>
            <w:gridSpan w:val="3"/>
          </w:tcPr>
          <w:p>
            <w:pPr>
              <w:jc w:val="right"/>
              <w:ind w:right="160"/>
              <w:spacing w:after="0" w:line="125" w:lineRule="exact"/>
              <w:rPr>
                <w:sz w:val="20"/>
                <w:szCs w:val="20"/>
                <w:color w:val="auto"/>
              </w:rPr>
            </w:pPr>
            <w:r>
              <w:rPr>
                <w:rFonts w:ascii="Arial" w:cs="Arial" w:eastAsia="Arial" w:hAnsi="Arial"/>
                <w:sz w:val="11"/>
                <w:szCs w:val="11"/>
                <w:color w:val="auto"/>
              </w:rPr>
              <w:t>7.00 %</w:t>
            </w:r>
          </w:p>
        </w:tc>
        <w:tc>
          <w:tcPr>
            <w:tcW w:w="920" w:type="dxa"/>
            <w:vAlign w:val="bottom"/>
          </w:tcPr>
          <w:p>
            <w:pPr>
              <w:jc w:val="right"/>
              <w:spacing w:after="0" w:line="125" w:lineRule="exact"/>
              <w:rPr>
                <w:sz w:val="20"/>
                <w:szCs w:val="20"/>
                <w:color w:val="auto"/>
              </w:rPr>
            </w:pPr>
            <w:r>
              <w:rPr>
                <w:rFonts w:ascii="Arial" w:cs="Arial" w:eastAsia="Arial" w:hAnsi="Arial"/>
                <w:sz w:val="11"/>
                <w:szCs w:val="11"/>
                <w:color w:val="auto"/>
              </w:rPr>
              <w:t>3M L+600</w:t>
            </w:r>
          </w:p>
        </w:tc>
        <w:tc>
          <w:tcPr>
            <w:tcW w:w="9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13,514,714</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13,247,087</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1"/>
                <w:szCs w:val="11"/>
                <w:color w:val="auto"/>
              </w:rPr>
              <w:t>13,244,419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Dr. Squatch, LLC (Revolver)</w:t>
            </w:r>
          </w:p>
        </w:tc>
        <w:tc>
          <w:tcPr>
            <w:tcW w:w="78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8"/>
              </w:rPr>
              <w:t>08/27/2026</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8"/>
              </w:rPr>
              <w:t>Personal and Non-Durable Consumer Products</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7.00 %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L+600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1,705,610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1,705,610</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1,671,498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Dr. Squatch, LLC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08/27/2026</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8"/>
              </w:rPr>
              <w:t>Personal and Non-Durable Consumer Products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620,222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(12,404 )</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DRS Holdings III, Inc.</w:t>
            </w:r>
          </w:p>
        </w:tc>
        <w:tc>
          <w:tcPr>
            <w:tcW w:w="78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8"/>
              </w:rPr>
              <w:t>11/03/2025</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6"/>
              </w:rPr>
              <w:t>Consumer Products</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7.25 %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L+625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9,975,000</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9,881,551</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9,905,175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11/03/2025</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Consumer Products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1,782,555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(12,478 )</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ECL Entertainment, LLC</w:t>
            </w:r>
          </w:p>
        </w:tc>
        <w:tc>
          <w:tcPr>
            <w:tcW w:w="78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8"/>
              </w:rPr>
              <w:t>03/31/2028</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90"/>
              </w:rPr>
              <w:t>Hotels, Motels, Inns and Gaming</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8.25 %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1M L+750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8,747,308</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8,663,806</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8,944,122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980" w:type="dxa"/>
            <w:vAlign w:val="bottom"/>
          </w:tcPr>
          <w:p>
            <w:pPr>
              <w:ind w:left="20"/>
              <w:spacing w:after="0"/>
              <w:rPr>
                <w:sz w:val="20"/>
                <w:szCs w:val="20"/>
                <w:color w:val="auto"/>
              </w:rPr>
            </w:pPr>
            <w:r>
              <w:rPr>
                <w:rFonts w:ascii="Arial" w:cs="Arial" w:eastAsia="Arial" w:hAnsi="Arial"/>
                <w:sz w:val="11"/>
                <w:szCs w:val="11"/>
                <w:color w:val="auto"/>
              </w:rPr>
              <w:t xml:space="preserve">ECM Industries, LLC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12/23/2025</w:t>
            </w:r>
          </w:p>
        </w:tc>
        <w:tc>
          <w:tcPr>
            <w:tcW w:w="14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Electronics</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517,594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(2,588 )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Arial" w:cs="Arial" w:eastAsia="Arial" w:hAnsi="Arial"/>
                <w:sz w:val="11"/>
                <w:szCs w:val="11"/>
                <w:color w:val="auto"/>
              </w:rPr>
              <w:t>Fairbanks Morse Defense</w:t>
            </w:r>
          </w:p>
        </w:tc>
        <w:tc>
          <w:tcPr>
            <w:tcW w:w="780" w:type="dxa"/>
            <w:vAlign w:val="bottom"/>
            <w:gridSpan w:val="2"/>
            <w:shd w:val="clear" w:color="auto" w:fill="CCECFF"/>
          </w:tcPr>
          <w:p>
            <w:pPr>
              <w:ind w:left="220"/>
              <w:spacing w:after="0"/>
              <w:rPr>
                <w:sz w:val="20"/>
                <w:szCs w:val="20"/>
                <w:color w:val="auto"/>
              </w:rPr>
            </w:pPr>
            <w:r>
              <w:rPr>
                <w:rFonts w:ascii="Arial" w:cs="Arial" w:eastAsia="Arial" w:hAnsi="Arial"/>
                <w:sz w:val="11"/>
                <w:szCs w:val="11"/>
                <w:color w:val="auto"/>
                <w:w w:val="98"/>
              </w:rPr>
              <w:t>06/17/2028</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08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5.50 %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3,500,000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3,487,100</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3,500,000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980" w:type="dxa"/>
            <w:vAlign w:val="bottom"/>
          </w:tcPr>
          <w:p>
            <w:pPr>
              <w:ind w:left="20"/>
              <w:spacing w:after="0" w:line="125" w:lineRule="exact"/>
              <w:rPr>
                <w:sz w:val="20"/>
                <w:szCs w:val="20"/>
                <w:color w:val="auto"/>
              </w:rPr>
            </w:pPr>
            <w:r>
              <w:rPr>
                <w:rFonts w:ascii="Arial" w:cs="Arial" w:eastAsia="Arial" w:hAnsi="Arial"/>
                <w:sz w:val="11"/>
                <w:szCs w:val="11"/>
                <w:color w:val="auto"/>
              </w:rPr>
              <w:t>Gantech Acquisition Corp.</w:t>
            </w:r>
          </w:p>
        </w:tc>
        <w:tc>
          <w:tcPr>
            <w:tcW w:w="780" w:type="dxa"/>
            <w:vAlign w:val="bottom"/>
            <w:gridSpan w:val="2"/>
          </w:tcPr>
          <w:p>
            <w:pPr>
              <w:ind w:left="220"/>
              <w:spacing w:after="0" w:line="125" w:lineRule="exact"/>
              <w:rPr>
                <w:sz w:val="20"/>
                <w:szCs w:val="20"/>
                <w:color w:val="auto"/>
              </w:rPr>
            </w:pPr>
            <w:r>
              <w:rPr>
                <w:rFonts w:ascii="Arial" w:cs="Arial" w:eastAsia="Arial" w:hAnsi="Arial"/>
                <w:sz w:val="11"/>
                <w:szCs w:val="11"/>
                <w:color w:val="auto"/>
                <w:w w:val="98"/>
              </w:rPr>
              <w:t>05/14/2026</w:t>
            </w:r>
          </w:p>
        </w:tc>
        <w:tc>
          <w:tcPr>
            <w:tcW w:w="140" w:type="dxa"/>
            <w:vAlign w:val="bottom"/>
          </w:tcPr>
          <w:p>
            <w:pPr>
              <w:spacing w:after="0"/>
              <w:rPr>
                <w:sz w:val="10"/>
                <w:szCs w:val="10"/>
                <w:color w:val="auto"/>
              </w:rPr>
            </w:pPr>
          </w:p>
        </w:tc>
        <w:tc>
          <w:tcPr>
            <w:tcW w:w="2600" w:type="dxa"/>
            <w:vAlign w:val="bottom"/>
          </w:tcPr>
          <w:p>
            <w:pPr>
              <w:jc w:val="center"/>
              <w:spacing w:after="0" w:line="125" w:lineRule="exact"/>
              <w:rPr>
                <w:sz w:val="20"/>
                <w:szCs w:val="20"/>
                <w:color w:val="auto"/>
              </w:rPr>
            </w:pPr>
            <w:r>
              <w:rPr>
                <w:rFonts w:ascii="Arial" w:cs="Arial" w:eastAsia="Arial" w:hAnsi="Arial"/>
                <w:sz w:val="11"/>
                <w:szCs w:val="11"/>
                <w:color w:val="auto"/>
                <w:w w:val="84"/>
              </w:rPr>
              <w:t>Business Services</w:t>
            </w:r>
          </w:p>
        </w:tc>
        <w:tc>
          <w:tcPr>
            <w:tcW w:w="1080" w:type="dxa"/>
            <w:vAlign w:val="bottom"/>
            <w:gridSpan w:val="3"/>
          </w:tcPr>
          <w:p>
            <w:pPr>
              <w:jc w:val="right"/>
              <w:ind w:right="160"/>
              <w:spacing w:after="0" w:line="125" w:lineRule="exact"/>
              <w:rPr>
                <w:sz w:val="20"/>
                <w:szCs w:val="20"/>
                <w:color w:val="auto"/>
              </w:rPr>
            </w:pPr>
            <w:r>
              <w:rPr>
                <w:rFonts w:ascii="Arial" w:cs="Arial" w:eastAsia="Arial" w:hAnsi="Arial"/>
                <w:sz w:val="11"/>
                <w:szCs w:val="11"/>
                <w:color w:val="auto"/>
              </w:rPr>
              <w:t>7.25 %</w:t>
            </w:r>
          </w:p>
        </w:tc>
        <w:tc>
          <w:tcPr>
            <w:tcW w:w="920" w:type="dxa"/>
            <w:vAlign w:val="bottom"/>
          </w:tcPr>
          <w:p>
            <w:pPr>
              <w:jc w:val="right"/>
              <w:spacing w:after="0" w:line="125" w:lineRule="exact"/>
              <w:rPr>
                <w:sz w:val="20"/>
                <w:szCs w:val="20"/>
                <w:color w:val="auto"/>
              </w:rPr>
            </w:pPr>
            <w:r>
              <w:rPr>
                <w:rFonts w:ascii="Arial" w:cs="Arial" w:eastAsia="Arial" w:hAnsi="Arial"/>
                <w:sz w:val="11"/>
                <w:szCs w:val="11"/>
                <w:color w:val="auto"/>
              </w:rPr>
              <w:t>1M L+625</w:t>
            </w:r>
          </w:p>
        </w:tc>
        <w:tc>
          <w:tcPr>
            <w:tcW w:w="9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19,900,000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19,522,193</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1"/>
                <w:szCs w:val="11"/>
                <w:color w:val="auto"/>
              </w:rPr>
              <w:t>19,502,000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Gantech Acquisition Corp. (Revolver)</w:t>
            </w:r>
          </w:p>
        </w:tc>
        <w:tc>
          <w:tcPr>
            <w:tcW w:w="78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8"/>
              </w:rPr>
              <w:t>05/14/2026</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4"/>
              </w:rPr>
              <w:t>Business Services</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7.25 %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1M L+625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497,771</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497,771</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487,816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Gantech Acquisition Corp.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05/14/2026</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1,493,313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(29,866 )</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Graffiti Buyer, Inc.</w:t>
            </w:r>
          </w:p>
        </w:tc>
        <w:tc>
          <w:tcPr>
            <w:tcW w:w="78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8"/>
              </w:rPr>
              <w:t>08/10/2027</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94"/>
              </w:rPr>
              <w:t>Distribution</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6.75 %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1,994,048</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1,954,772</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1,964,137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Graffiti Buyer, Inc.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08/10/2023</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892,857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(4,464 )</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Graffiti Buyer, Inc.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08/10/2027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768,634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(17,832 )</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Hancock Roofing and Construction L.L.C.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12/31/2022</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1,500,000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(15,000 )</w:t>
            </w: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Hancock Roofing and Construction L.L.C.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12/31/2026</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750,000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(7,500 )</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Arial" w:cs="Arial" w:eastAsia="Arial" w:hAnsi="Arial"/>
                <w:sz w:val="11"/>
                <w:szCs w:val="11"/>
                <w:color w:val="auto"/>
              </w:rPr>
              <w:t>HW Holdco, LLC</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12/10/2024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080" w:type="dxa"/>
            <w:vAlign w:val="bottom"/>
            <w:gridSpan w:val="3"/>
          </w:tcPr>
          <w:p>
            <w:pPr>
              <w:jc w:val="right"/>
              <w:ind w:right="160"/>
              <w:spacing w:after="0"/>
              <w:rPr>
                <w:sz w:val="20"/>
                <w:szCs w:val="20"/>
                <w:color w:val="auto"/>
              </w:rPr>
            </w:pPr>
            <w:r>
              <w:rPr>
                <w:rFonts w:ascii="Arial" w:cs="Arial" w:eastAsia="Arial" w:hAnsi="Arial"/>
                <w:sz w:val="11"/>
                <w:szCs w:val="11"/>
                <w:color w:val="auto"/>
              </w:rPr>
              <w:t>5.50 %</w:t>
            </w:r>
          </w:p>
        </w:tc>
        <w:tc>
          <w:tcPr>
            <w:tcW w:w="920" w:type="dxa"/>
            <w:vAlign w:val="bottom"/>
          </w:tcPr>
          <w:p>
            <w:pPr>
              <w:jc w:val="right"/>
              <w:spacing w:after="0"/>
              <w:rPr>
                <w:sz w:val="20"/>
                <w:szCs w:val="20"/>
                <w:color w:val="auto"/>
              </w:rPr>
            </w:pPr>
            <w:r>
              <w:rPr>
                <w:rFonts w:ascii="Arial" w:cs="Arial" w:eastAsia="Arial" w:hAnsi="Arial"/>
                <w:sz w:val="11"/>
                <w:szCs w:val="11"/>
                <w:color w:val="auto"/>
              </w:rPr>
              <w:t>3M L+450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2,541,048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2,525,585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2,515,638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HW Holdco, LLC (Revolver)</w:t>
            </w:r>
          </w:p>
        </w:tc>
        <w:tc>
          <w:tcPr>
            <w:tcW w:w="78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8"/>
              </w:rPr>
              <w:t>12/10/2024</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5.50 %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L+450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1,219,355</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1,219,355</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1,207,161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12/10/2024</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2,167,742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(21,677 )</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IG Investments Holdings, LLC</w:t>
            </w:r>
          </w:p>
        </w:tc>
        <w:tc>
          <w:tcPr>
            <w:tcW w:w="78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8"/>
              </w:rPr>
              <w:t>09/22/2028</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4"/>
              </w:rPr>
              <w:t>Business Services</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6.75 %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L+600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4,518,304</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4,428,218</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4,427,938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IG Investments Holdings, LLC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09/22/2027</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476,879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IMIA Holdings, Inc.</w:t>
            </w:r>
          </w:p>
        </w:tc>
        <w:tc>
          <w:tcPr>
            <w:tcW w:w="78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8"/>
              </w:rPr>
              <w:t>04/09/2027</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6"/>
              </w:rPr>
              <w:t>Aerospace and Defense</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6.75 %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13,589,144</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13,340,706</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13,317,361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IMIA Holdings, Inc.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04/09/2027</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1,673,705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(33,474 )</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Integrity Marketing Acquisition, LLC</w:t>
            </w:r>
          </w:p>
        </w:tc>
        <w:tc>
          <w:tcPr>
            <w:tcW w:w="78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8"/>
              </w:rPr>
              <w:t>08/27/2025</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6"/>
              </w:rPr>
              <w:t>Insurance</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6.49 %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17,220,295</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17,116,076</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17,134,194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980" w:type="dxa"/>
            <w:vAlign w:val="bottom"/>
          </w:tcPr>
          <w:p>
            <w:pPr>
              <w:ind w:left="20"/>
              <w:spacing w:after="0"/>
              <w:rPr>
                <w:sz w:val="20"/>
                <w:szCs w:val="20"/>
                <w:color w:val="auto"/>
              </w:rPr>
            </w:pPr>
            <w:r>
              <w:rPr>
                <w:rFonts w:ascii="Arial" w:cs="Arial" w:eastAsia="Arial" w:hAnsi="Arial"/>
                <w:sz w:val="11"/>
                <w:szCs w:val="11"/>
                <w:color w:val="auto"/>
              </w:rPr>
              <w:t xml:space="preserve">Integrity Marketing Acquisition, LLC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07/09/2023</w:t>
            </w:r>
          </w:p>
        </w:tc>
        <w:tc>
          <w:tcPr>
            <w:tcW w:w="14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4,277,692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10,694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Arial" w:cs="Arial" w:eastAsia="Arial" w:hAnsi="Arial"/>
                <w:sz w:val="11"/>
                <w:szCs w:val="11"/>
                <w:color w:val="auto"/>
              </w:rPr>
              <w:t>Juniper Landscaping of Florida, LLC</w:t>
            </w:r>
          </w:p>
        </w:tc>
        <w:tc>
          <w:tcPr>
            <w:tcW w:w="780" w:type="dxa"/>
            <w:vAlign w:val="bottom"/>
            <w:gridSpan w:val="2"/>
            <w:shd w:val="clear" w:color="auto" w:fill="CCECFF"/>
          </w:tcPr>
          <w:p>
            <w:pPr>
              <w:ind w:left="220"/>
              <w:spacing w:after="0"/>
              <w:rPr>
                <w:sz w:val="20"/>
                <w:szCs w:val="20"/>
                <w:color w:val="auto"/>
              </w:rPr>
            </w:pPr>
            <w:r>
              <w:rPr>
                <w:rFonts w:ascii="Arial" w:cs="Arial" w:eastAsia="Arial" w:hAnsi="Arial"/>
                <w:sz w:val="11"/>
                <w:szCs w:val="11"/>
                <w:color w:val="auto"/>
                <w:w w:val="98"/>
              </w:rPr>
              <w:t>12/22/2021</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08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6.50 %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2,614,750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2,610,844</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2,614,750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980" w:type="dxa"/>
            <w:vAlign w:val="bottom"/>
          </w:tcPr>
          <w:p>
            <w:pPr>
              <w:ind w:left="20"/>
              <w:spacing w:after="0" w:line="125" w:lineRule="exact"/>
              <w:rPr>
                <w:sz w:val="20"/>
                <w:szCs w:val="20"/>
                <w:color w:val="auto"/>
              </w:rPr>
            </w:pPr>
            <w:r>
              <w:rPr>
                <w:rFonts w:ascii="Arial" w:cs="Arial" w:eastAsia="Arial" w:hAnsi="Arial"/>
                <w:sz w:val="11"/>
                <w:szCs w:val="11"/>
                <w:color w:val="auto"/>
              </w:rPr>
              <w:t>K2 Pure Solutions NoCal, L.P.</w:t>
            </w:r>
          </w:p>
        </w:tc>
        <w:tc>
          <w:tcPr>
            <w:tcW w:w="780" w:type="dxa"/>
            <w:vAlign w:val="bottom"/>
            <w:gridSpan w:val="2"/>
          </w:tcPr>
          <w:p>
            <w:pPr>
              <w:ind w:left="220"/>
              <w:spacing w:after="0" w:line="125" w:lineRule="exact"/>
              <w:rPr>
                <w:sz w:val="20"/>
                <w:szCs w:val="20"/>
                <w:color w:val="auto"/>
              </w:rPr>
            </w:pPr>
            <w:r>
              <w:rPr>
                <w:rFonts w:ascii="Arial" w:cs="Arial" w:eastAsia="Arial" w:hAnsi="Arial"/>
                <w:sz w:val="11"/>
                <w:szCs w:val="11"/>
                <w:color w:val="auto"/>
                <w:w w:val="98"/>
              </w:rPr>
              <w:t>12/20/2023</w:t>
            </w:r>
          </w:p>
        </w:tc>
        <w:tc>
          <w:tcPr>
            <w:tcW w:w="140" w:type="dxa"/>
            <w:vAlign w:val="bottom"/>
          </w:tcPr>
          <w:p>
            <w:pPr>
              <w:spacing w:after="0"/>
              <w:rPr>
                <w:sz w:val="10"/>
                <w:szCs w:val="10"/>
                <w:color w:val="auto"/>
              </w:rPr>
            </w:pPr>
          </w:p>
        </w:tc>
        <w:tc>
          <w:tcPr>
            <w:tcW w:w="2600" w:type="dxa"/>
            <w:vAlign w:val="bottom"/>
          </w:tcPr>
          <w:p>
            <w:pPr>
              <w:jc w:val="center"/>
              <w:spacing w:after="0" w:line="125" w:lineRule="exact"/>
              <w:rPr>
                <w:sz w:val="20"/>
                <w:szCs w:val="20"/>
                <w:color w:val="auto"/>
              </w:rPr>
            </w:pPr>
            <w:r>
              <w:rPr>
                <w:rFonts w:ascii="Arial" w:cs="Arial" w:eastAsia="Arial" w:hAnsi="Arial"/>
                <w:sz w:val="11"/>
                <w:szCs w:val="11"/>
                <w:color w:val="auto"/>
                <w:w w:val="87"/>
              </w:rPr>
              <w:t>Chemicals, Plastics and Rubber</w:t>
            </w:r>
          </w:p>
        </w:tc>
        <w:tc>
          <w:tcPr>
            <w:tcW w:w="1080" w:type="dxa"/>
            <w:vAlign w:val="bottom"/>
            <w:gridSpan w:val="3"/>
          </w:tcPr>
          <w:p>
            <w:pPr>
              <w:jc w:val="right"/>
              <w:ind w:right="160"/>
              <w:spacing w:after="0" w:line="125" w:lineRule="exact"/>
              <w:rPr>
                <w:sz w:val="20"/>
                <w:szCs w:val="20"/>
                <w:color w:val="auto"/>
              </w:rPr>
            </w:pPr>
            <w:r>
              <w:rPr>
                <w:rFonts w:ascii="Arial" w:cs="Arial" w:eastAsia="Arial" w:hAnsi="Arial"/>
                <w:sz w:val="11"/>
                <w:szCs w:val="11"/>
                <w:color w:val="auto"/>
              </w:rPr>
              <w:t>8.00 %</w:t>
            </w:r>
          </w:p>
        </w:tc>
        <w:tc>
          <w:tcPr>
            <w:tcW w:w="920" w:type="dxa"/>
            <w:vAlign w:val="bottom"/>
          </w:tcPr>
          <w:p>
            <w:pPr>
              <w:jc w:val="right"/>
              <w:spacing w:after="0" w:line="125" w:lineRule="exact"/>
              <w:rPr>
                <w:sz w:val="20"/>
                <w:szCs w:val="20"/>
                <w:color w:val="auto"/>
              </w:rPr>
            </w:pPr>
            <w:r>
              <w:rPr>
                <w:rFonts w:ascii="Arial" w:cs="Arial" w:eastAsia="Arial" w:hAnsi="Arial"/>
                <w:sz w:val="11"/>
                <w:szCs w:val="11"/>
                <w:color w:val="auto"/>
              </w:rPr>
              <w:t>1M L+700</w:t>
            </w:r>
          </w:p>
        </w:tc>
        <w:tc>
          <w:tcPr>
            <w:tcW w:w="9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11,799,667</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11,712,192</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1"/>
                <w:szCs w:val="11"/>
                <w:color w:val="auto"/>
              </w:rPr>
              <w:t>11,485,796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K2 Pure Solutions NoCal, L.P. (Revolver)</w:t>
            </w:r>
          </w:p>
        </w:tc>
        <w:tc>
          <w:tcPr>
            <w:tcW w:w="78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8"/>
              </w:rPr>
              <w:t>12/20/2023</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7"/>
              </w:rPr>
              <w:t>Chemicals, Plastics and Rubber</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8.00 %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1M L+700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872,143</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872,143</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848,944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980" w:type="dxa"/>
            <w:vAlign w:val="bottom"/>
          </w:tcPr>
          <w:p>
            <w:pPr>
              <w:ind w:left="20"/>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12/20/2023</w:t>
            </w:r>
          </w:p>
        </w:tc>
        <w:tc>
          <w:tcPr>
            <w:tcW w:w="14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1,065,952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(28,354 )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Arial" w:cs="Arial" w:eastAsia="Arial" w:hAnsi="Arial"/>
                <w:sz w:val="11"/>
                <w:szCs w:val="11"/>
                <w:color w:val="auto"/>
              </w:rPr>
              <w:t>Lash OpCo, LLC</w:t>
            </w:r>
          </w:p>
        </w:tc>
        <w:tc>
          <w:tcPr>
            <w:tcW w:w="780" w:type="dxa"/>
            <w:vAlign w:val="bottom"/>
            <w:gridSpan w:val="2"/>
            <w:shd w:val="clear" w:color="auto" w:fill="CCECFF"/>
          </w:tcPr>
          <w:p>
            <w:pPr>
              <w:ind w:left="220"/>
              <w:spacing w:after="0"/>
              <w:rPr>
                <w:sz w:val="20"/>
                <w:szCs w:val="20"/>
                <w:color w:val="auto"/>
              </w:rPr>
            </w:pPr>
            <w:r>
              <w:rPr>
                <w:rFonts w:ascii="Arial" w:cs="Arial" w:eastAsia="Arial" w:hAnsi="Arial"/>
                <w:sz w:val="11"/>
                <w:szCs w:val="11"/>
                <w:color w:val="auto"/>
                <w:w w:val="98"/>
              </w:rPr>
              <w:t>02/18/2027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Products</w:t>
            </w:r>
          </w:p>
        </w:tc>
        <w:tc>
          <w:tcPr>
            <w:tcW w:w="108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8.00 %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30,000,000</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29,334,858</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29,400,001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980" w:type="dxa"/>
            <w:vAlign w:val="bottom"/>
          </w:tcPr>
          <w:p>
            <w:pPr>
              <w:ind w:left="20"/>
              <w:spacing w:after="0" w:line="105" w:lineRule="exact"/>
              <w:rPr>
                <w:sz w:val="20"/>
                <w:szCs w:val="20"/>
                <w:color w:val="auto"/>
              </w:rPr>
            </w:pPr>
            <w:r>
              <w:rPr>
                <w:rFonts w:ascii="Arial" w:cs="Arial" w:eastAsia="Arial" w:hAnsi="Arial"/>
                <w:sz w:val="11"/>
                <w:szCs w:val="11"/>
                <w:color w:val="auto"/>
              </w:rPr>
              <w:t>Lash OpCo, LLC (Revolver)</w:t>
            </w:r>
          </w:p>
        </w:tc>
        <w:tc>
          <w:tcPr>
            <w:tcW w:w="780" w:type="dxa"/>
            <w:vAlign w:val="bottom"/>
            <w:gridSpan w:val="2"/>
          </w:tcPr>
          <w:p>
            <w:pPr>
              <w:ind w:left="220"/>
              <w:spacing w:after="0" w:line="105" w:lineRule="exact"/>
              <w:rPr>
                <w:sz w:val="20"/>
                <w:szCs w:val="20"/>
                <w:color w:val="auto"/>
              </w:rPr>
            </w:pPr>
            <w:r>
              <w:rPr>
                <w:rFonts w:ascii="Arial" w:cs="Arial" w:eastAsia="Arial" w:hAnsi="Arial"/>
                <w:sz w:val="11"/>
                <w:szCs w:val="11"/>
                <w:color w:val="auto"/>
                <w:w w:val="98"/>
              </w:rPr>
              <w:t>08/16/2026</w:t>
            </w:r>
          </w:p>
        </w:tc>
        <w:tc>
          <w:tcPr>
            <w:tcW w:w="140" w:type="dxa"/>
            <w:vAlign w:val="bottom"/>
          </w:tcPr>
          <w:p>
            <w:pPr>
              <w:spacing w:after="0"/>
              <w:rPr>
                <w:sz w:val="9"/>
                <w:szCs w:val="9"/>
                <w:color w:val="auto"/>
              </w:rPr>
            </w:pPr>
          </w:p>
        </w:tc>
        <w:tc>
          <w:tcPr>
            <w:tcW w:w="2600" w:type="dxa"/>
            <w:vAlign w:val="bottom"/>
          </w:tcPr>
          <w:p>
            <w:pPr>
              <w:jc w:val="center"/>
              <w:spacing w:after="0" w:line="105" w:lineRule="exact"/>
              <w:rPr>
                <w:sz w:val="20"/>
                <w:szCs w:val="20"/>
                <w:color w:val="auto"/>
              </w:rPr>
            </w:pPr>
            <w:r>
              <w:rPr>
                <w:rFonts w:ascii="Arial" w:cs="Arial" w:eastAsia="Arial" w:hAnsi="Arial"/>
                <w:sz w:val="11"/>
                <w:szCs w:val="11"/>
                <w:color w:val="auto"/>
                <w:w w:val="86"/>
              </w:rPr>
              <w:t>Consumer Products</w:t>
            </w:r>
          </w:p>
        </w:tc>
        <w:tc>
          <w:tcPr>
            <w:tcW w:w="1080" w:type="dxa"/>
            <w:vAlign w:val="bottom"/>
            <w:gridSpan w:val="3"/>
          </w:tcPr>
          <w:p>
            <w:pPr>
              <w:jc w:val="right"/>
              <w:ind w:right="160"/>
              <w:spacing w:after="0" w:line="105" w:lineRule="exact"/>
              <w:rPr>
                <w:sz w:val="20"/>
                <w:szCs w:val="20"/>
                <w:color w:val="auto"/>
              </w:rPr>
            </w:pPr>
            <w:r>
              <w:rPr>
                <w:rFonts w:ascii="Arial" w:cs="Arial" w:eastAsia="Arial" w:hAnsi="Arial"/>
                <w:sz w:val="11"/>
                <w:szCs w:val="11"/>
                <w:color w:val="auto"/>
              </w:rPr>
              <w:t>8.00 %</w:t>
            </w:r>
          </w:p>
        </w:tc>
        <w:tc>
          <w:tcPr>
            <w:tcW w:w="920" w:type="dxa"/>
            <w:vAlign w:val="bottom"/>
          </w:tcPr>
          <w:p>
            <w:pPr>
              <w:jc w:val="right"/>
              <w:spacing w:after="0" w:line="105" w:lineRule="exact"/>
              <w:rPr>
                <w:sz w:val="20"/>
                <w:szCs w:val="20"/>
                <w:color w:val="auto"/>
              </w:rPr>
            </w:pPr>
            <w:r>
              <w:rPr>
                <w:rFonts w:ascii="Arial" w:cs="Arial" w:eastAsia="Arial" w:hAnsi="Arial"/>
                <w:sz w:val="11"/>
                <w:szCs w:val="11"/>
                <w:color w:val="auto"/>
              </w:rPr>
              <w:t>1M L+700</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291,142</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5" w:lineRule="exact"/>
              <w:rPr>
                <w:sz w:val="20"/>
                <w:szCs w:val="20"/>
                <w:color w:val="auto"/>
              </w:rPr>
            </w:pPr>
            <w:r>
              <w:rPr>
                <w:rFonts w:ascii="Arial" w:cs="Arial" w:eastAsia="Arial" w:hAnsi="Arial"/>
                <w:sz w:val="11"/>
                <w:szCs w:val="11"/>
                <w:color w:val="auto"/>
              </w:rPr>
              <w:t>291,142</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05" w:lineRule="exact"/>
              <w:rPr>
                <w:sz w:val="20"/>
                <w:szCs w:val="20"/>
                <w:color w:val="auto"/>
              </w:rPr>
            </w:pPr>
            <w:r>
              <w:rPr>
                <w:rFonts w:ascii="Arial" w:cs="Arial" w:eastAsia="Arial" w:hAnsi="Arial"/>
                <w:sz w:val="11"/>
                <w:szCs w:val="11"/>
                <w:color w:val="auto"/>
              </w:rPr>
              <w:t>285,319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08/19/2026</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Consumer Products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1,528,494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(30,570 )</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Arial" w:cs="Arial" w:eastAsia="Arial" w:hAnsi="Arial"/>
                <w:sz w:val="11"/>
                <w:szCs w:val="11"/>
                <w:color w:val="auto"/>
              </w:rPr>
              <w:t>LAV Gear Holdings, Inc.</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10/31/2024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0"/>
              </w:rPr>
              <w:t>Leisure, Amusement, Motion Pictures, Entertainment</w:t>
            </w:r>
          </w:p>
        </w:tc>
        <w:tc>
          <w:tcPr>
            <w:tcW w:w="1080" w:type="dxa"/>
            <w:vAlign w:val="bottom"/>
            <w:gridSpan w:val="3"/>
          </w:tcPr>
          <w:p>
            <w:pPr>
              <w:jc w:val="right"/>
              <w:ind w:right="160"/>
              <w:spacing w:after="0"/>
              <w:rPr>
                <w:sz w:val="20"/>
                <w:szCs w:val="20"/>
                <w:color w:val="auto"/>
              </w:rPr>
            </w:pPr>
            <w:r>
              <w:rPr>
                <w:rFonts w:ascii="Arial" w:cs="Arial" w:eastAsia="Arial" w:hAnsi="Arial"/>
                <w:sz w:val="11"/>
                <w:szCs w:val="11"/>
                <w:color w:val="auto"/>
              </w:rPr>
              <w:t>8.50 %</w:t>
            </w:r>
          </w:p>
        </w:tc>
        <w:tc>
          <w:tcPr>
            <w:tcW w:w="920" w:type="dxa"/>
            <w:vAlign w:val="bottom"/>
          </w:tcPr>
          <w:p>
            <w:pPr>
              <w:jc w:val="right"/>
              <w:spacing w:after="0"/>
              <w:rPr>
                <w:sz w:val="20"/>
                <w:szCs w:val="20"/>
                <w:color w:val="auto"/>
              </w:rPr>
            </w:pPr>
            <w:r>
              <w:rPr>
                <w:rFonts w:ascii="Arial" w:cs="Arial" w:eastAsia="Arial" w:hAnsi="Arial"/>
                <w:sz w:val="11"/>
                <w:szCs w:val="11"/>
                <w:color w:val="auto"/>
              </w:rPr>
              <w:t>1M L+750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790,306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785,493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740,754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(PIK 5.00%)</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Lightspeed Buyer Inc.</w:t>
            </w:r>
          </w:p>
        </w:tc>
        <w:tc>
          <w:tcPr>
            <w:tcW w:w="78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8"/>
              </w:rPr>
              <w:t>02/03/2026</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9"/>
              </w:rPr>
              <w:t>Healthcare, Education and Childcare</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6.75 %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1M L+575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4,993,874</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4,922,030</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4,993,874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980" w:type="dxa"/>
            <w:vAlign w:val="bottom"/>
          </w:tcPr>
          <w:p>
            <w:pPr>
              <w:ind w:left="20"/>
              <w:spacing w:after="0"/>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14"/>
                <w:szCs w:val="14"/>
                <w:color w:val="auto"/>
                <w:vertAlign w:val="superscript"/>
              </w:rPr>
              <w:t>(7)</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02/03/2026</w:t>
            </w:r>
          </w:p>
        </w:tc>
        <w:tc>
          <w:tcPr>
            <w:tcW w:w="14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1,165,780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Arial" w:cs="Arial" w:eastAsia="Arial" w:hAnsi="Arial"/>
                <w:sz w:val="11"/>
                <w:szCs w:val="11"/>
                <w:color w:val="auto"/>
              </w:rPr>
              <w:t>Lombart Brothers, Inc.</w:t>
            </w:r>
          </w:p>
        </w:tc>
        <w:tc>
          <w:tcPr>
            <w:tcW w:w="780" w:type="dxa"/>
            <w:vAlign w:val="bottom"/>
            <w:gridSpan w:val="2"/>
            <w:shd w:val="clear" w:color="auto" w:fill="CCECFF"/>
          </w:tcPr>
          <w:p>
            <w:pPr>
              <w:ind w:left="220"/>
              <w:spacing w:after="0"/>
              <w:rPr>
                <w:sz w:val="20"/>
                <w:szCs w:val="20"/>
                <w:color w:val="auto"/>
              </w:rPr>
            </w:pPr>
            <w:r>
              <w:rPr>
                <w:rFonts w:ascii="Arial" w:cs="Arial" w:eastAsia="Arial" w:hAnsi="Arial"/>
                <w:sz w:val="11"/>
                <w:szCs w:val="11"/>
                <w:color w:val="auto"/>
                <w:w w:val="98"/>
              </w:rPr>
              <w:t>04/13/2023</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08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7.25 %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1,035,618</w:t>
            </w: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1,035,618</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1,035,618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980" w:type="dxa"/>
            <w:vAlign w:val="bottom"/>
          </w:tcPr>
          <w:p>
            <w:pPr>
              <w:ind w:left="20"/>
              <w:spacing w:after="0"/>
              <w:rPr>
                <w:sz w:val="20"/>
                <w:szCs w:val="20"/>
                <w:color w:val="auto"/>
              </w:rPr>
            </w:pPr>
            <w:r>
              <w:rPr>
                <w:rFonts w:ascii="Arial" w:cs="Arial" w:eastAsia="Arial" w:hAnsi="Arial"/>
                <w:sz w:val="11"/>
                <w:szCs w:val="11"/>
                <w:color w:val="auto"/>
              </w:rPr>
              <w:t>Lombart Brothers, Inc. (Revolver)</w:t>
            </w:r>
          </w:p>
        </w:tc>
        <w:tc>
          <w:tcPr>
            <w:tcW w:w="780" w:type="dxa"/>
            <w:vAlign w:val="bottom"/>
            <w:gridSpan w:val="2"/>
          </w:tcPr>
          <w:p>
            <w:pPr>
              <w:ind w:left="220"/>
              <w:spacing w:after="0"/>
              <w:rPr>
                <w:sz w:val="20"/>
                <w:szCs w:val="20"/>
                <w:color w:val="auto"/>
              </w:rPr>
            </w:pPr>
            <w:r>
              <w:rPr>
                <w:rFonts w:ascii="Arial" w:cs="Arial" w:eastAsia="Arial" w:hAnsi="Arial"/>
                <w:sz w:val="11"/>
                <w:szCs w:val="11"/>
                <w:color w:val="auto"/>
                <w:w w:val="98"/>
              </w:rPr>
              <w:t>04/13/2023</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080" w:type="dxa"/>
            <w:vAlign w:val="bottom"/>
            <w:gridSpan w:val="3"/>
          </w:tcPr>
          <w:p>
            <w:pPr>
              <w:jc w:val="right"/>
              <w:ind w:right="160"/>
              <w:spacing w:after="0"/>
              <w:rPr>
                <w:sz w:val="20"/>
                <w:szCs w:val="20"/>
                <w:color w:val="auto"/>
              </w:rPr>
            </w:pPr>
            <w:r>
              <w:rPr>
                <w:rFonts w:ascii="Arial" w:cs="Arial" w:eastAsia="Arial" w:hAnsi="Arial"/>
                <w:sz w:val="11"/>
                <w:szCs w:val="11"/>
                <w:color w:val="auto"/>
              </w:rPr>
              <w:t>7.25 %</w:t>
            </w:r>
          </w:p>
        </w:tc>
        <w:tc>
          <w:tcPr>
            <w:tcW w:w="920" w:type="dxa"/>
            <w:vAlign w:val="bottom"/>
          </w:tcPr>
          <w:p>
            <w:pPr>
              <w:jc w:val="right"/>
              <w:spacing w:after="0"/>
              <w:rPr>
                <w:sz w:val="20"/>
                <w:szCs w:val="20"/>
                <w:color w:val="auto"/>
              </w:rPr>
            </w:pPr>
            <w:r>
              <w:rPr>
                <w:rFonts w:ascii="Arial" w:cs="Arial" w:eastAsia="Arial" w:hAnsi="Arial"/>
                <w:sz w:val="11"/>
                <w:szCs w:val="11"/>
                <w:color w:val="auto"/>
              </w:rPr>
              <w:t>1M L+625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737,293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737,293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737,293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-6266815</wp:posOffset>
            </wp:positionV>
            <wp:extent cx="7132320" cy="939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-5915025</wp:posOffset>
            </wp:positionV>
            <wp:extent cx="7132320" cy="857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-5743575</wp:posOffset>
            </wp:positionV>
            <wp:extent cx="7132320" cy="857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-5572125</wp:posOffset>
            </wp:positionV>
            <wp:extent cx="7132320" cy="857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-5229225</wp:posOffset>
            </wp:positionV>
            <wp:extent cx="7132320" cy="857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-5057775</wp:posOffset>
            </wp:positionV>
            <wp:extent cx="7132320" cy="857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-4886325</wp:posOffset>
            </wp:positionV>
            <wp:extent cx="7132320" cy="857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-4543425</wp:posOffset>
            </wp:positionV>
            <wp:extent cx="7132320" cy="857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-4200525</wp:posOffset>
            </wp:positionV>
            <wp:extent cx="7132320" cy="857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-4029075</wp:posOffset>
            </wp:positionV>
            <wp:extent cx="7132320" cy="857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-3857625</wp:posOffset>
            </wp:positionV>
            <wp:extent cx="7132320" cy="857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-3686175</wp:posOffset>
            </wp:positionV>
            <wp:extent cx="7132320" cy="857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-3514725</wp:posOffset>
            </wp:positionV>
            <wp:extent cx="7132320" cy="857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-3171825</wp:posOffset>
            </wp:positionV>
            <wp:extent cx="7132320" cy="857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-3000375</wp:posOffset>
            </wp:positionV>
            <wp:extent cx="7132320" cy="857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-2828925</wp:posOffset>
            </wp:positionV>
            <wp:extent cx="7132320" cy="857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-2486025</wp:posOffset>
            </wp:positionV>
            <wp:extent cx="7132320" cy="857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-2314575</wp:posOffset>
            </wp:positionV>
            <wp:extent cx="7132320" cy="857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-2143125</wp:posOffset>
            </wp:positionV>
            <wp:extent cx="7132320" cy="857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-1971675</wp:posOffset>
            </wp:positionV>
            <wp:extent cx="7132320" cy="857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-1800225</wp:posOffset>
            </wp:positionV>
            <wp:extent cx="7132320" cy="857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-1628775</wp:posOffset>
            </wp:positionV>
            <wp:extent cx="7132320" cy="857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-1457325</wp:posOffset>
            </wp:positionV>
            <wp:extent cx="7132320" cy="857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-1285875</wp:posOffset>
            </wp:positionV>
            <wp:extent cx="7132320" cy="857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-942975</wp:posOffset>
            </wp:positionV>
            <wp:extent cx="7132320" cy="857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57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57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2021</w:t>
      </w:r>
    </w:p>
    <w:tbl>
      <w:tblPr>
        <w:tblLayout w:type="fixed"/>
        <w:tblInd w:w="0" w:type="dxa"/>
        <w:tblCellMar>
          <w:top w:w="0" w:type="dxa"/>
          <w:left w:w="0" w:type="dxa"/>
          <w:bottom w:w="0" w:type="dxa"/>
          <w:right w:w="0" w:type="dxa"/>
        </w:tblCellMar>
      </w:tblPr>
      <w:tr>
        <w:trPr>
          <w:trHeight w:val="102"/>
        </w:trPr>
        <w:tc>
          <w:tcPr>
            <w:tcW w:w="2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Maturity /</w:t>
            </w:r>
          </w:p>
        </w:tc>
        <w:tc>
          <w:tcPr>
            <w:tcW w:w="1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1"/>
                <w:szCs w:val="11"/>
                <w:b w:val="1"/>
                <w:bCs w:val="1"/>
                <w:color w:val="auto"/>
              </w:rPr>
              <w:t>Current</w:t>
            </w:r>
          </w:p>
        </w:tc>
        <w:tc>
          <w:tcPr>
            <w:tcW w:w="9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6"/>
              </w:rPr>
              <w:t>Basis Point</w:t>
            </w:r>
          </w:p>
        </w:tc>
        <w:tc>
          <w:tcPr>
            <w:tcW w:w="160" w:type="dxa"/>
            <w:vAlign w:val="bottom"/>
          </w:tcPr>
          <w:p>
            <w:pPr>
              <w:spacing w:after="0"/>
              <w:rPr>
                <w:sz w:val="8"/>
                <w:szCs w:val="8"/>
                <w:color w:val="auto"/>
              </w:rPr>
            </w:pPr>
          </w:p>
        </w:tc>
        <w:tc>
          <w:tcPr>
            <w:tcW w:w="74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Par /</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9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6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Spread Above</w:t>
            </w: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right"/>
              <w:ind w:right="62"/>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(3)</w:t>
            </w:r>
          </w:p>
        </w:tc>
        <w:tc>
          <w:tcPr>
            <w:tcW w:w="0" w:type="dxa"/>
            <w:vAlign w:val="bottom"/>
          </w:tcPr>
          <w:p>
            <w:pPr>
              <w:spacing w:after="0"/>
              <w:rPr>
                <w:sz w:val="1"/>
                <w:szCs w:val="1"/>
                <w:color w:val="auto"/>
              </w:rPr>
            </w:pPr>
          </w:p>
        </w:tc>
      </w:tr>
      <w:tr>
        <w:trPr>
          <w:trHeight w:val="142"/>
        </w:trPr>
        <w:tc>
          <w:tcPr>
            <w:tcW w:w="2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2"/>
                <w:szCs w:val="12"/>
                <w:color w:val="auto"/>
              </w:rPr>
            </w:pPr>
          </w:p>
        </w:tc>
        <w:tc>
          <w:tcPr>
            <w:tcW w:w="2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Coupon</w:t>
            </w:r>
          </w:p>
        </w:tc>
        <w:tc>
          <w:tcPr>
            <w:tcW w:w="920" w:type="dxa"/>
            <w:vAlign w:val="bottom"/>
          </w:tcPr>
          <w:p>
            <w:pPr>
              <w:jc w:val="center"/>
              <w:spacing w:after="0" w:line="132"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(4)</w:t>
            </w:r>
          </w:p>
        </w:tc>
        <w:tc>
          <w:tcPr>
            <w:tcW w:w="160" w:type="dxa"/>
            <w:vAlign w:val="bottom"/>
          </w:tcPr>
          <w:p>
            <w:pPr>
              <w:spacing w:after="0"/>
              <w:rPr>
                <w:sz w:val="12"/>
                <w:szCs w:val="12"/>
                <w:color w:val="auto"/>
              </w:rPr>
            </w:pPr>
          </w:p>
        </w:tc>
        <w:tc>
          <w:tcPr>
            <w:tcW w:w="740" w:type="dxa"/>
            <w:vAlign w:val="bottom"/>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980" w:type="dxa"/>
            <w:vAlign w:val="bottom"/>
          </w:tcPr>
          <w:p>
            <w:pPr>
              <w:ind w:left="20"/>
              <w:spacing w:after="0" w:line="105" w:lineRule="exact"/>
              <w:rPr>
                <w:sz w:val="20"/>
                <w:szCs w:val="20"/>
                <w:color w:val="auto"/>
              </w:rPr>
            </w:pPr>
            <w:r>
              <w:rPr>
                <w:rFonts w:ascii="Arial" w:cs="Arial" w:eastAsia="Arial" w:hAnsi="Arial"/>
                <w:sz w:val="9"/>
                <w:szCs w:val="9"/>
                <w:color w:val="auto"/>
              </w:rPr>
              <w:t>Mars Acquisition Holdings Corp. (Revolver)</w:t>
            </w:r>
            <w:r>
              <w:rPr>
                <w:rFonts w:ascii="Arial" w:cs="Arial" w:eastAsia="Arial" w:hAnsi="Arial"/>
                <w:sz w:val="12"/>
                <w:szCs w:val="12"/>
                <w:color w:val="auto"/>
                <w:vertAlign w:val="superscript"/>
              </w:rPr>
              <w:t>(7)</w:t>
            </w:r>
          </w:p>
        </w:tc>
        <w:tc>
          <w:tcPr>
            <w:tcW w:w="140" w:type="dxa"/>
            <w:vAlign w:val="bottom"/>
          </w:tcPr>
          <w:p>
            <w:pPr>
              <w:spacing w:after="0"/>
              <w:rPr>
                <w:sz w:val="9"/>
                <w:szCs w:val="9"/>
                <w:color w:val="auto"/>
              </w:rPr>
            </w:pPr>
          </w:p>
        </w:tc>
        <w:tc>
          <w:tcPr>
            <w:tcW w:w="64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1"/>
                <w:szCs w:val="11"/>
                <w:color w:val="auto"/>
                <w:w w:val="89"/>
              </w:rPr>
              <w:t>5/14/2026</w:t>
            </w:r>
          </w:p>
        </w:tc>
        <w:tc>
          <w:tcPr>
            <w:tcW w:w="140" w:type="dxa"/>
            <w:vAlign w:val="bottom"/>
          </w:tcPr>
          <w:p>
            <w:pPr>
              <w:spacing w:after="0"/>
              <w:rPr>
                <w:sz w:val="9"/>
                <w:szCs w:val="9"/>
                <w:color w:val="auto"/>
              </w:rPr>
            </w:pPr>
          </w:p>
        </w:tc>
        <w:tc>
          <w:tcPr>
            <w:tcW w:w="260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9"/>
                <w:szCs w:val="9"/>
                <w:color w:val="auto"/>
              </w:rPr>
            </w:pPr>
          </w:p>
        </w:tc>
        <w:tc>
          <w:tcPr>
            <w:tcW w:w="68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92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4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806,142</w:t>
            </w:r>
          </w:p>
        </w:tc>
        <w:tc>
          <w:tcPr>
            <w:tcW w:w="160" w:type="dxa"/>
            <w:vAlign w:val="bottom"/>
          </w:tcPr>
          <w:p>
            <w:pPr>
              <w:spacing w:after="0"/>
              <w:rPr>
                <w:sz w:val="9"/>
                <w:szCs w:val="9"/>
                <w:color w:val="auto"/>
              </w:rPr>
            </w:pPr>
          </w:p>
        </w:tc>
        <w:tc>
          <w:tcPr>
            <w:tcW w:w="140" w:type="dxa"/>
            <w:vAlign w:val="bottom"/>
            <w:tcBorders>
              <w:top w:val="single" w:sz="8" w:color="auto"/>
            </w:tcBorders>
          </w:tcPr>
          <w:p>
            <w:pPr>
              <w:jc w:val="right"/>
              <w:ind w:right="6"/>
              <w:spacing w:after="0" w:line="105" w:lineRule="exact"/>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6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(8,061</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MBS Holdings, Inc.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04/16/2027</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694,444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(13,889 )</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MeritDirect, LLC</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05/23/2024</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6.50 %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2,759,490</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2,735,940</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2,731,895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05/23/2024</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2,518,345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(25,183 )</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Municipal Emergency Services, Inc.</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09/28/2027</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94"/>
              </w:rPr>
              <w:t>Distribution</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6.00 %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6,952,830</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6,813,773</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6,813,773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09/28/2027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1,880,414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Municipal Emergency Services, Inc.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09/28/2027</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1,880,414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NBH Group LLC</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08/19/2026</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9"/>
              </w:rPr>
              <w:t>Healthcare, Education and Childcare</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6.50 %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1M L+550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7,561,352</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7,412,724</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7,410,125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NBH Group LLC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08/19/2026</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1,162,916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(23,258 )</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OIS Management Services, LLC</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07/09/2026</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9"/>
              </w:rPr>
              <w:t>Healthcare, Education and Childcare</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5.75 %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L+475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3,892,500</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3,842,568</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3,834,113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OIS Management Services, LLC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07/09/2023</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1,433,333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(10,750 )</w:t>
            </w:r>
          </w:p>
        </w:tc>
        <w:tc>
          <w:tcPr>
            <w:tcW w:w="0" w:type="dxa"/>
            <w:vAlign w:val="bottom"/>
          </w:tcPr>
          <w:p>
            <w:pPr>
              <w:spacing w:after="0"/>
              <w:rPr>
                <w:sz w:val="1"/>
                <w:szCs w:val="1"/>
                <w:color w:val="auto"/>
              </w:rPr>
            </w:pPr>
          </w:p>
        </w:tc>
      </w:tr>
      <w:tr>
        <w:trPr>
          <w:trHeight w:val="165"/>
        </w:trPr>
        <w:tc>
          <w:tcPr>
            <w:tcW w:w="2980" w:type="dxa"/>
            <w:vAlign w:val="bottom"/>
          </w:tcPr>
          <w:p>
            <w:pPr>
              <w:ind w:left="20"/>
              <w:spacing w:after="0"/>
              <w:rPr>
                <w:sz w:val="20"/>
                <w:szCs w:val="20"/>
                <w:color w:val="auto"/>
              </w:rPr>
            </w:pPr>
            <w:r>
              <w:rPr>
                <w:rFonts w:ascii="Arial" w:cs="Arial" w:eastAsia="Arial" w:hAnsi="Arial"/>
                <w:sz w:val="11"/>
                <w:szCs w:val="11"/>
                <w:color w:val="auto"/>
              </w:rPr>
              <w:t xml:space="preserve">OIS Management Services, LLC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07/09/2026</w:t>
            </w:r>
          </w:p>
        </w:tc>
        <w:tc>
          <w:tcPr>
            <w:tcW w:w="14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333,333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(5,000 )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Arial" w:cs="Arial" w:eastAsia="Arial" w:hAnsi="Arial"/>
                <w:sz w:val="11"/>
                <w:szCs w:val="11"/>
                <w:color w:val="auto"/>
              </w:rPr>
              <w:t>One Stop Mailing,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05/07/2027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Cargo Transport</w:t>
            </w:r>
          </w:p>
        </w:tc>
        <w:tc>
          <w:tcPr>
            <w:tcW w:w="108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7.25 %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14,919,643</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14,630,941</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14,658,549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980" w:type="dxa"/>
            <w:vAlign w:val="bottom"/>
          </w:tcPr>
          <w:p>
            <w:pPr>
              <w:ind w:left="20"/>
              <w:spacing w:after="0" w:line="105" w:lineRule="exact"/>
              <w:rPr>
                <w:sz w:val="20"/>
                <w:szCs w:val="20"/>
                <w:color w:val="auto"/>
              </w:rPr>
            </w:pPr>
            <w:r>
              <w:rPr>
                <w:rFonts w:ascii="Arial" w:cs="Arial" w:eastAsia="Arial" w:hAnsi="Arial"/>
                <w:sz w:val="11"/>
                <w:szCs w:val="11"/>
                <w:color w:val="auto"/>
              </w:rPr>
              <w:t>ORL Acquisition, Inc.</w:t>
            </w:r>
          </w:p>
        </w:tc>
        <w:tc>
          <w:tcPr>
            <w:tcW w:w="78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87"/>
              </w:rPr>
              <w:t>09/03/2027</w:t>
            </w:r>
          </w:p>
        </w:tc>
        <w:tc>
          <w:tcPr>
            <w:tcW w:w="140" w:type="dxa"/>
            <w:vAlign w:val="bottom"/>
          </w:tcPr>
          <w:p>
            <w:pPr>
              <w:spacing w:after="0"/>
              <w:rPr>
                <w:sz w:val="9"/>
                <w:szCs w:val="9"/>
                <w:color w:val="auto"/>
              </w:rPr>
            </w:pPr>
          </w:p>
        </w:tc>
        <w:tc>
          <w:tcPr>
            <w:tcW w:w="2600" w:type="dxa"/>
            <w:vAlign w:val="bottom"/>
          </w:tcPr>
          <w:p>
            <w:pPr>
              <w:jc w:val="center"/>
              <w:spacing w:after="0" w:line="105" w:lineRule="exact"/>
              <w:rPr>
                <w:sz w:val="20"/>
                <w:szCs w:val="20"/>
                <w:color w:val="auto"/>
              </w:rPr>
            </w:pPr>
            <w:r>
              <w:rPr>
                <w:rFonts w:ascii="Arial" w:cs="Arial" w:eastAsia="Arial" w:hAnsi="Arial"/>
                <w:sz w:val="11"/>
                <w:szCs w:val="11"/>
                <w:color w:val="auto"/>
                <w:w w:val="84"/>
              </w:rPr>
              <w:t>Business Services</w:t>
            </w:r>
          </w:p>
        </w:tc>
        <w:tc>
          <w:tcPr>
            <w:tcW w:w="1080" w:type="dxa"/>
            <w:vAlign w:val="bottom"/>
            <w:gridSpan w:val="3"/>
          </w:tcPr>
          <w:p>
            <w:pPr>
              <w:jc w:val="right"/>
              <w:ind w:right="160"/>
              <w:spacing w:after="0" w:line="105" w:lineRule="exact"/>
              <w:rPr>
                <w:sz w:val="20"/>
                <w:szCs w:val="20"/>
                <w:color w:val="auto"/>
              </w:rPr>
            </w:pPr>
            <w:r>
              <w:rPr>
                <w:rFonts w:ascii="Arial" w:cs="Arial" w:eastAsia="Arial" w:hAnsi="Arial"/>
                <w:sz w:val="11"/>
                <w:szCs w:val="11"/>
                <w:color w:val="auto"/>
              </w:rPr>
              <w:t>6.25 %</w:t>
            </w:r>
          </w:p>
        </w:tc>
        <w:tc>
          <w:tcPr>
            <w:tcW w:w="920" w:type="dxa"/>
            <w:vAlign w:val="bottom"/>
          </w:tcPr>
          <w:p>
            <w:pPr>
              <w:jc w:val="right"/>
              <w:spacing w:after="0" w:line="105" w:lineRule="exact"/>
              <w:rPr>
                <w:sz w:val="20"/>
                <w:szCs w:val="20"/>
                <w:color w:val="auto"/>
              </w:rPr>
            </w:pPr>
            <w:r>
              <w:rPr>
                <w:rFonts w:ascii="Arial" w:cs="Arial" w:eastAsia="Arial" w:hAnsi="Arial"/>
                <w:sz w:val="11"/>
                <w:szCs w:val="11"/>
                <w:color w:val="auto"/>
              </w:rPr>
              <w:t>3M L+525</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5,040,902</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4,940,826</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05" w:lineRule="exact"/>
              <w:rPr>
                <w:sz w:val="20"/>
                <w:szCs w:val="20"/>
                <w:color w:val="auto"/>
              </w:rPr>
            </w:pPr>
            <w:r>
              <w:rPr>
                <w:rFonts w:ascii="Arial" w:cs="Arial" w:eastAsia="Arial" w:hAnsi="Arial"/>
                <w:sz w:val="11"/>
                <w:szCs w:val="11"/>
                <w:color w:val="auto"/>
              </w:rPr>
              <w:t>4,940,084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ORL Acquisition, Inc.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09/03/2027</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596,963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Arial" w:cs="Arial" w:eastAsia="Arial" w:hAnsi="Arial"/>
                <w:sz w:val="11"/>
                <w:szCs w:val="11"/>
                <w:color w:val="auto"/>
              </w:rPr>
              <w:t>Ox Two,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05/18/2026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2"/>
              </w:rPr>
              <w:t>Building Materials</w:t>
            </w:r>
          </w:p>
        </w:tc>
        <w:tc>
          <w:tcPr>
            <w:tcW w:w="1080" w:type="dxa"/>
            <w:vAlign w:val="bottom"/>
            <w:gridSpan w:val="3"/>
          </w:tcPr>
          <w:p>
            <w:pPr>
              <w:jc w:val="right"/>
              <w:ind w:right="160"/>
              <w:spacing w:after="0"/>
              <w:rPr>
                <w:sz w:val="20"/>
                <w:szCs w:val="20"/>
                <w:color w:val="auto"/>
              </w:rPr>
            </w:pPr>
            <w:r>
              <w:rPr>
                <w:rFonts w:ascii="Arial" w:cs="Arial" w:eastAsia="Arial" w:hAnsi="Arial"/>
                <w:sz w:val="11"/>
                <w:szCs w:val="11"/>
                <w:color w:val="auto"/>
              </w:rPr>
              <w:t>7.00 %</w:t>
            </w:r>
          </w:p>
        </w:tc>
        <w:tc>
          <w:tcPr>
            <w:tcW w:w="920" w:type="dxa"/>
            <w:vAlign w:val="bottom"/>
          </w:tcPr>
          <w:p>
            <w:pPr>
              <w:jc w:val="right"/>
              <w:spacing w:after="0"/>
              <w:rPr>
                <w:sz w:val="20"/>
                <w:szCs w:val="20"/>
                <w:color w:val="auto"/>
              </w:rPr>
            </w:pPr>
            <w:r>
              <w:rPr>
                <w:rFonts w:ascii="Arial" w:cs="Arial" w:eastAsia="Arial" w:hAnsi="Arial"/>
                <w:sz w:val="11"/>
                <w:szCs w:val="11"/>
                <w:color w:val="auto"/>
              </w:rPr>
              <w:t>1M L+600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15,671,250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15,435,477</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15,357,825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Ox Two, LLC (Revolver)</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05/18/2026</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92"/>
              </w:rPr>
              <w:t>Building Materials</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7.00 %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1M L+600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645,161</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645,161</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632,258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980" w:type="dxa"/>
            <w:vAlign w:val="bottom"/>
          </w:tcPr>
          <w:p>
            <w:pPr>
              <w:ind w:left="20"/>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05/18/2026</w:t>
            </w:r>
          </w:p>
        </w:tc>
        <w:tc>
          <w:tcPr>
            <w:tcW w:w="14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2"/>
              </w:rPr>
              <w:t>Building Materials</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1,774,194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(35,484 )</w:t>
            </w:r>
          </w:p>
        </w:tc>
        <w:tc>
          <w:tcPr>
            <w:tcW w:w="0" w:type="dxa"/>
            <w:vAlign w:val="bottom"/>
          </w:tcPr>
          <w:p>
            <w:pPr>
              <w:spacing w:after="0"/>
              <w:rPr>
                <w:sz w:val="1"/>
                <w:szCs w:val="1"/>
                <w:color w:val="auto"/>
              </w:rPr>
            </w:pPr>
          </w:p>
        </w:tc>
      </w:tr>
      <w:tr>
        <w:trPr>
          <w:trHeight w:val="125"/>
        </w:trPr>
        <w:tc>
          <w:tcPr>
            <w:tcW w:w="298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PRA Events, Inc.</w:t>
            </w:r>
          </w:p>
        </w:tc>
        <w:tc>
          <w:tcPr>
            <w:tcW w:w="780" w:type="dxa"/>
            <w:vAlign w:val="bottom"/>
            <w:gridSpan w:val="2"/>
            <w:shd w:val="clear" w:color="auto" w:fill="CCECFF"/>
          </w:tcPr>
          <w:p>
            <w:pPr>
              <w:jc w:val="center"/>
              <w:ind w:left="86"/>
              <w:spacing w:after="0" w:line="125" w:lineRule="exact"/>
              <w:rPr>
                <w:sz w:val="20"/>
                <w:szCs w:val="20"/>
                <w:color w:val="auto"/>
              </w:rPr>
            </w:pPr>
            <w:r>
              <w:rPr>
                <w:rFonts w:ascii="Arial" w:cs="Arial" w:eastAsia="Arial" w:hAnsi="Arial"/>
                <w:sz w:val="11"/>
                <w:szCs w:val="11"/>
                <w:color w:val="auto"/>
                <w:w w:val="87"/>
              </w:rPr>
              <w:t>08/07/2025</w:t>
            </w:r>
          </w:p>
        </w:tc>
        <w:tc>
          <w:tcPr>
            <w:tcW w:w="140" w:type="dxa"/>
            <w:vAlign w:val="bottom"/>
            <w:shd w:val="clear" w:color="auto" w:fill="CCECFF"/>
          </w:tcPr>
          <w:p>
            <w:pPr>
              <w:spacing w:after="0"/>
              <w:rPr>
                <w:sz w:val="10"/>
                <w:szCs w:val="10"/>
                <w:color w:val="auto"/>
              </w:rPr>
            </w:pPr>
          </w:p>
        </w:tc>
        <w:tc>
          <w:tcPr>
            <w:tcW w:w="260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84"/>
              </w:rPr>
              <w:t>Business Services</w:t>
            </w:r>
          </w:p>
        </w:tc>
        <w:tc>
          <w:tcPr>
            <w:tcW w:w="1080" w:type="dxa"/>
            <w:vAlign w:val="bottom"/>
            <w:gridSpan w:val="3"/>
            <w:shd w:val="clear" w:color="auto" w:fill="CCECFF"/>
          </w:tcPr>
          <w:p>
            <w:pPr>
              <w:jc w:val="right"/>
              <w:ind w:right="160"/>
              <w:spacing w:after="0" w:line="125" w:lineRule="exact"/>
              <w:rPr>
                <w:sz w:val="20"/>
                <w:szCs w:val="20"/>
                <w:color w:val="auto"/>
              </w:rPr>
            </w:pPr>
            <w:r>
              <w:rPr>
                <w:rFonts w:ascii="Arial" w:cs="Arial" w:eastAsia="Arial" w:hAnsi="Arial"/>
                <w:sz w:val="11"/>
                <w:szCs w:val="11"/>
                <w:color w:val="auto"/>
              </w:rPr>
              <w:t>11.50 %</w:t>
            </w:r>
          </w:p>
        </w:tc>
        <w:tc>
          <w:tcPr>
            <w:tcW w:w="92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3M L+1,050</w:t>
            </w:r>
          </w:p>
        </w:tc>
        <w:tc>
          <w:tcPr>
            <w:tcW w:w="90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23,674,669</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20,421,188</w:t>
            </w:r>
          </w:p>
        </w:tc>
        <w:tc>
          <w:tcPr>
            <w:tcW w:w="18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6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22,372,562</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9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(PIK 11.50%)</w:t>
            </w:r>
          </w:p>
        </w:tc>
        <w:tc>
          <w:tcPr>
            <w:tcW w:w="9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980" w:type="dxa"/>
            <w:vAlign w:val="bottom"/>
          </w:tcPr>
          <w:p>
            <w:pPr>
              <w:ind w:left="20"/>
              <w:spacing w:after="0" w:line="125" w:lineRule="exact"/>
              <w:rPr>
                <w:sz w:val="20"/>
                <w:szCs w:val="20"/>
                <w:color w:val="auto"/>
              </w:rPr>
            </w:pPr>
            <w:r>
              <w:rPr>
                <w:rFonts w:ascii="Arial" w:cs="Arial" w:eastAsia="Arial" w:hAnsi="Arial"/>
                <w:sz w:val="11"/>
                <w:szCs w:val="11"/>
                <w:color w:val="auto"/>
              </w:rPr>
              <w:t>PRA Events, Inc. (Revolver)</w:t>
            </w:r>
          </w:p>
        </w:tc>
        <w:tc>
          <w:tcPr>
            <w:tcW w:w="78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87"/>
              </w:rPr>
              <w:t>08/07/2025</w:t>
            </w:r>
          </w:p>
        </w:tc>
        <w:tc>
          <w:tcPr>
            <w:tcW w:w="140" w:type="dxa"/>
            <w:vAlign w:val="bottom"/>
          </w:tcPr>
          <w:p>
            <w:pPr>
              <w:spacing w:after="0"/>
              <w:rPr>
                <w:sz w:val="10"/>
                <w:szCs w:val="10"/>
                <w:color w:val="auto"/>
              </w:rPr>
            </w:pPr>
          </w:p>
        </w:tc>
        <w:tc>
          <w:tcPr>
            <w:tcW w:w="2600" w:type="dxa"/>
            <w:vAlign w:val="bottom"/>
          </w:tcPr>
          <w:p>
            <w:pPr>
              <w:jc w:val="center"/>
              <w:spacing w:after="0" w:line="125" w:lineRule="exact"/>
              <w:rPr>
                <w:sz w:val="20"/>
                <w:szCs w:val="20"/>
                <w:color w:val="auto"/>
              </w:rPr>
            </w:pPr>
            <w:r>
              <w:rPr>
                <w:rFonts w:ascii="Arial" w:cs="Arial" w:eastAsia="Arial" w:hAnsi="Arial"/>
                <w:sz w:val="11"/>
                <w:szCs w:val="11"/>
                <w:color w:val="auto"/>
                <w:w w:val="84"/>
              </w:rPr>
              <w:t>Business Services</w:t>
            </w:r>
          </w:p>
        </w:tc>
        <w:tc>
          <w:tcPr>
            <w:tcW w:w="1080" w:type="dxa"/>
            <w:vAlign w:val="bottom"/>
            <w:gridSpan w:val="3"/>
          </w:tcPr>
          <w:p>
            <w:pPr>
              <w:jc w:val="right"/>
              <w:ind w:right="160"/>
              <w:spacing w:after="0" w:line="125" w:lineRule="exact"/>
              <w:rPr>
                <w:sz w:val="20"/>
                <w:szCs w:val="20"/>
                <w:color w:val="auto"/>
              </w:rPr>
            </w:pPr>
            <w:r>
              <w:rPr>
                <w:rFonts w:ascii="Arial" w:cs="Arial" w:eastAsia="Arial" w:hAnsi="Arial"/>
                <w:sz w:val="11"/>
                <w:szCs w:val="11"/>
                <w:color w:val="auto"/>
              </w:rPr>
              <w:t>11.50 %</w:t>
            </w:r>
          </w:p>
        </w:tc>
        <w:tc>
          <w:tcPr>
            <w:tcW w:w="920" w:type="dxa"/>
            <w:vAlign w:val="bottom"/>
          </w:tcPr>
          <w:p>
            <w:pPr>
              <w:jc w:val="right"/>
              <w:spacing w:after="0" w:line="125" w:lineRule="exact"/>
              <w:rPr>
                <w:sz w:val="20"/>
                <w:szCs w:val="20"/>
                <w:color w:val="auto"/>
              </w:rPr>
            </w:pPr>
            <w:r>
              <w:rPr>
                <w:rFonts w:ascii="Arial" w:cs="Arial" w:eastAsia="Arial" w:hAnsi="Arial"/>
                <w:sz w:val="11"/>
                <w:szCs w:val="11"/>
                <w:color w:val="auto"/>
              </w:rPr>
              <w:t>3M L+1,050</w:t>
            </w:r>
          </w:p>
        </w:tc>
        <w:tc>
          <w:tcPr>
            <w:tcW w:w="9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2,461,198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2,122,969</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1"/>
                <w:szCs w:val="11"/>
                <w:color w:val="auto"/>
              </w:rPr>
              <w:t>2,325,832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(PIK 11.50%)</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Quantic Electronics, LLC</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11/19/2026</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6"/>
              </w:rPr>
              <w:t>Aerospace and Defense</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7.25 %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1M L+625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6,187,790</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6,094,679</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6,064,035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Quantic Electronics, LLC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11/19/2026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2,093,825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(20,938 )</w:t>
            </w: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Quantic Electronics, LLC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11/19/2026</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528,486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(10,570 )</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Arial" w:cs="Arial" w:eastAsia="Arial" w:hAnsi="Arial"/>
                <w:sz w:val="11"/>
                <w:szCs w:val="11"/>
                <w:color w:val="auto"/>
              </w:rPr>
              <w:t>Questex,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09/09/2024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080" w:type="dxa"/>
            <w:vAlign w:val="bottom"/>
            <w:gridSpan w:val="3"/>
          </w:tcPr>
          <w:p>
            <w:pPr>
              <w:jc w:val="right"/>
              <w:ind w:right="160"/>
              <w:spacing w:after="0"/>
              <w:rPr>
                <w:sz w:val="20"/>
                <w:szCs w:val="20"/>
                <w:color w:val="auto"/>
              </w:rPr>
            </w:pPr>
            <w:r>
              <w:rPr>
                <w:rFonts w:ascii="Arial" w:cs="Arial" w:eastAsia="Arial" w:hAnsi="Arial"/>
                <w:sz w:val="11"/>
                <w:szCs w:val="11"/>
                <w:color w:val="auto"/>
              </w:rPr>
              <w:t>6.00 %</w:t>
            </w:r>
          </w:p>
        </w:tc>
        <w:tc>
          <w:tcPr>
            <w:tcW w:w="920" w:type="dxa"/>
            <w:vAlign w:val="bottom"/>
          </w:tcPr>
          <w:p>
            <w:pPr>
              <w:jc w:val="right"/>
              <w:spacing w:after="0"/>
              <w:rPr>
                <w:sz w:val="20"/>
                <w:szCs w:val="20"/>
                <w:color w:val="auto"/>
              </w:rPr>
            </w:pPr>
            <w:r>
              <w:rPr>
                <w:rFonts w:ascii="Arial" w:cs="Arial" w:eastAsia="Arial" w:hAnsi="Arial"/>
                <w:sz w:val="11"/>
                <w:szCs w:val="11"/>
                <w:color w:val="auto"/>
              </w:rPr>
              <w:t>3M L+500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21,825,000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21,583,560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20,515,500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Questex, LLC (Revolver)</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09/09/2024</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6.00 %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2,154,255</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2,154,255</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2,025,000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09/09/2024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1,436,170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(86,170 )</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Radius Aerospace, Inc.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03/31/2025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2,227,142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(62,805 )</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Rancho Health MSO, Inc.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12/18/2025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1,050,000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Rancho Health MSO, Inc.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12/18/2025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525,000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2980" w:type="dxa"/>
            <w:vAlign w:val="bottom"/>
          </w:tcPr>
          <w:p>
            <w:pPr>
              <w:ind w:left="20"/>
              <w:spacing w:after="0"/>
              <w:rPr>
                <w:sz w:val="20"/>
                <w:szCs w:val="20"/>
                <w:color w:val="auto"/>
              </w:rPr>
            </w:pPr>
            <w:r>
              <w:rPr>
                <w:rFonts w:ascii="Arial" w:cs="Arial" w:eastAsia="Arial" w:hAnsi="Arial"/>
                <w:sz w:val="11"/>
                <w:szCs w:val="11"/>
                <w:color w:val="auto"/>
              </w:rPr>
              <w:t xml:space="preserve">Recteq, LLC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01/29/2026</w:t>
            </w:r>
          </w:p>
        </w:tc>
        <w:tc>
          <w:tcPr>
            <w:tcW w:w="14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Consumer Products</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1,126,761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(11,268 )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Research Horizons,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06/28/2022</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08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7.25 %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28,796,453</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28,682,356</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28,508,488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980" w:type="dxa"/>
            <w:vAlign w:val="bottom"/>
          </w:tcPr>
          <w:p>
            <w:pPr>
              <w:ind w:left="20"/>
              <w:spacing w:after="0" w:line="105" w:lineRule="exact"/>
              <w:rPr>
                <w:sz w:val="20"/>
                <w:szCs w:val="20"/>
                <w:color w:val="auto"/>
              </w:rPr>
            </w:pPr>
            <w:r>
              <w:rPr>
                <w:rFonts w:ascii="Arial" w:cs="Arial" w:eastAsia="Arial" w:hAnsi="Arial"/>
                <w:sz w:val="11"/>
                <w:szCs w:val="11"/>
                <w:color w:val="auto"/>
              </w:rPr>
              <w:t>Research Now Group, Inc. and Dynata, LLC</w:t>
            </w:r>
          </w:p>
        </w:tc>
        <w:tc>
          <w:tcPr>
            <w:tcW w:w="78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87"/>
              </w:rPr>
              <w:t>12/20/2024</w:t>
            </w:r>
          </w:p>
        </w:tc>
        <w:tc>
          <w:tcPr>
            <w:tcW w:w="140" w:type="dxa"/>
            <w:vAlign w:val="bottom"/>
          </w:tcPr>
          <w:p>
            <w:pPr>
              <w:spacing w:after="0"/>
              <w:rPr>
                <w:sz w:val="9"/>
                <w:szCs w:val="9"/>
                <w:color w:val="auto"/>
              </w:rPr>
            </w:pPr>
          </w:p>
        </w:tc>
        <w:tc>
          <w:tcPr>
            <w:tcW w:w="2600" w:type="dxa"/>
            <w:vAlign w:val="bottom"/>
          </w:tcPr>
          <w:p>
            <w:pPr>
              <w:jc w:val="center"/>
              <w:spacing w:after="0" w:line="105" w:lineRule="exact"/>
              <w:rPr>
                <w:sz w:val="20"/>
                <w:szCs w:val="20"/>
                <w:color w:val="auto"/>
              </w:rPr>
            </w:pPr>
            <w:r>
              <w:rPr>
                <w:rFonts w:ascii="Arial" w:cs="Arial" w:eastAsia="Arial" w:hAnsi="Arial"/>
                <w:sz w:val="11"/>
                <w:szCs w:val="11"/>
                <w:color w:val="auto"/>
                <w:w w:val="84"/>
              </w:rPr>
              <w:t>Business Services</w:t>
            </w:r>
          </w:p>
        </w:tc>
        <w:tc>
          <w:tcPr>
            <w:tcW w:w="1080" w:type="dxa"/>
            <w:vAlign w:val="bottom"/>
            <w:gridSpan w:val="3"/>
          </w:tcPr>
          <w:p>
            <w:pPr>
              <w:jc w:val="right"/>
              <w:ind w:right="160"/>
              <w:spacing w:after="0" w:line="105" w:lineRule="exact"/>
              <w:rPr>
                <w:sz w:val="20"/>
                <w:szCs w:val="20"/>
                <w:color w:val="auto"/>
              </w:rPr>
            </w:pPr>
            <w:r>
              <w:rPr>
                <w:rFonts w:ascii="Arial" w:cs="Arial" w:eastAsia="Arial" w:hAnsi="Arial"/>
                <w:sz w:val="11"/>
                <w:szCs w:val="11"/>
                <w:color w:val="auto"/>
              </w:rPr>
              <w:t>6.50 %</w:t>
            </w:r>
          </w:p>
        </w:tc>
        <w:tc>
          <w:tcPr>
            <w:tcW w:w="920" w:type="dxa"/>
            <w:vAlign w:val="bottom"/>
          </w:tcPr>
          <w:p>
            <w:pPr>
              <w:jc w:val="right"/>
              <w:spacing w:after="0" w:line="105" w:lineRule="exact"/>
              <w:rPr>
                <w:sz w:val="20"/>
                <w:szCs w:val="20"/>
                <w:color w:val="auto"/>
              </w:rPr>
            </w:pPr>
            <w:r>
              <w:rPr>
                <w:rFonts w:ascii="Arial" w:cs="Arial" w:eastAsia="Arial" w:hAnsi="Arial"/>
                <w:sz w:val="11"/>
                <w:szCs w:val="11"/>
                <w:color w:val="auto"/>
              </w:rPr>
              <w:t>3M L+550</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2,883,769</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2,883,769</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05" w:lineRule="exact"/>
              <w:rPr>
                <w:sz w:val="20"/>
                <w:szCs w:val="20"/>
                <w:color w:val="auto"/>
              </w:rPr>
            </w:pPr>
            <w:r>
              <w:rPr>
                <w:rFonts w:ascii="Arial" w:cs="Arial" w:eastAsia="Arial" w:hAnsi="Arial"/>
                <w:sz w:val="11"/>
                <w:szCs w:val="11"/>
                <w:color w:val="auto"/>
              </w:rPr>
              <w:t>2,847,117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06/20/2025</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363,636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(4,473 )</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Riverside Assessments, LLC</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03/10/2025</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9"/>
              </w:rPr>
              <w:t>Education</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6.75 %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16,173,514</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15,951,570</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15,769,176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01/03/2025</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731,707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(18,293 )</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Sargent &amp; Greenleaf Inc. (Revolver)</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12/20/2024</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9"/>
              </w:rPr>
              <w:t>Electronics</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7.00 %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298,972</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298,972</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298,972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12/20/2024</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Electronics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298,972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Arial" w:cs="Arial" w:eastAsia="Arial" w:hAnsi="Arial"/>
                <w:sz w:val="11"/>
                <w:szCs w:val="11"/>
                <w:color w:val="auto"/>
              </w:rPr>
              <w:t>Schlesinger Global,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07/14/2025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080" w:type="dxa"/>
            <w:vAlign w:val="bottom"/>
            <w:gridSpan w:val="3"/>
          </w:tcPr>
          <w:p>
            <w:pPr>
              <w:jc w:val="right"/>
              <w:ind w:right="160"/>
              <w:spacing w:after="0"/>
              <w:rPr>
                <w:sz w:val="20"/>
                <w:szCs w:val="20"/>
                <w:color w:val="auto"/>
              </w:rPr>
            </w:pPr>
            <w:r>
              <w:rPr>
                <w:rFonts w:ascii="Arial" w:cs="Arial" w:eastAsia="Arial" w:hAnsi="Arial"/>
                <w:sz w:val="11"/>
                <w:szCs w:val="11"/>
                <w:color w:val="auto"/>
              </w:rPr>
              <w:t>8.00 %</w:t>
            </w:r>
          </w:p>
        </w:tc>
        <w:tc>
          <w:tcPr>
            <w:tcW w:w="920" w:type="dxa"/>
            <w:vAlign w:val="bottom"/>
          </w:tcPr>
          <w:p>
            <w:pPr>
              <w:jc w:val="right"/>
              <w:spacing w:after="0"/>
              <w:rPr>
                <w:sz w:val="20"/>
                <w:szCs w:val="20"/>
                <w:color w:val="auto"/>
              </w:rPr>
            </w:pPr>
            <w:r>
              <w:rPr>
                <w:rFonts w:ascii="Arial" w:cs="Arial" w:eastAsia="Arial" w:hAnsi="Arial"/>
                <w:sz w:val="11"/>
                <w:szCs w:val="11"/>
                <w:color w:val="auto"/>
              </w:rPr>
              <w:t>3M L+700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512,170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507,440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489,123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(PIK 1.00%)</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80" w:type="dxa"/>
            <w:vAlign w:val="bottom"/>
            <w:shd w:val="clear" w:color="auto" w:fill="CCECFF"/>
          </w:tcPr>
          <w:p>
            <w:pPr>
              <w:ind w:left="20"/>
              <w:spacing w:after="0"/>
              <w:rPr>
                <w:sz w:val="20"/>
                <w:szCs w:val="20"/>
                <w:color w:val="auto"/>
              </w:rPr>
            </w:pPr>
            <w:r>
              <w:rPr>
                <w:rFonts w:ascii="Arial" w:cs="Arial" w:eastAsia="Arial" w:hAnsi="Arial"/>
                <w:sz w:val="11"/>
                <w:szCs w:val="11"/>
                <w:color w:val="auto"/>
              </w:rPr>
              <w:t>Schlesinger Global, Inc. (Revolver)</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07/14/2025</w:t>
            </w:r>
          </w:p>
        </w:tc>
        <w:tc>
          <w:tcPr>
            <w:tcW w:w="140" w:type="dxa"/>
            <w:vAlign w:val="bottom"/>
            <w:shd w:val="clear" w:color="auto" w:fill="CCECFF"/>
          </w:tcPr>
          <w:p>
            <w:pPr>
              <w:spacing w:after="0"/>
              <w:rPr>
                <w:sz w:val="12"/>
                <w:szCs w:val="12"/>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4"/>
              </w:rPr>
              <w:t>Business Services</w:t>
            </w:r>
          </w:p>
        </w:tc>
        <w:tc>
          <w:tcPr>
            <w:tcW w:w="108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8.00 %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24,235</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24,235</w:t>
            </w: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23,144</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vMerge w:val="restart"/>
          </w:tcPr>
          <w:p>
            <w:pPr>
              <w:ind w:left="20"/>
              <w:spacing w:after="0"/>
              <w:rPr>
                <w:sz w:val="20"/>
                <w:szCs w:val="20"/>
                <w:color w:val="auto"/>
              </w:rPr>
            </w:pPr>
            <w:r>
              <w:rPr>
                <w:rFonts w:ascii="Arial" w:cs="Arial" w:eastAsia="Arial" w:hAnsi="Arial"/>
                <w:sz w:val="11"/>
                <w:szCs w:val="11"/>
                <w:color w:val="auto"/>
              </w:rPr>
              <w:t>Schlesinger Global, Inc. (Revolver)</w:t>
            </w:r>
            <w:r>
              <w:rPr>
                <w:rFonts w:ascii="Arial" w:cs="Arial" w:eastAsia="Arial" w:hAnsi="Arial"/>
                <w:sz w:val="14"/>
                <w:szCs w:val="14"/>
                <w:color w:val="auto"/>
                <w:vertAlign w:val="superscript"/>
              </w:rPr>
              <w:t>(7)</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(PIK 1.00%)</w:t>
            </w:r>
          </w:p>
        </w:tc>
        <w:tc>
          <w:tcPr>
            <w:tcW w:w="9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980" w:type="dxa"/>
            <w:vAlign w:val="bottom"/>
            <w:vMerge w:val="continue"/>
          </w:tcPr>
          <w:p>
            <w:pPr>
              <w:spacing w:after="0"/>
              <w:rPr>
                <w:sz w:val="10"/>
                <w:szCs w:val="10"/>
                <w:color w:val="auto"/>
              </w:rPr>
            </w:pPr>
          </w:p>
        </w:tc>
        <w:tc>
          <w:tcPr>
            <w:tcW w:w="780" w:type="dxa"/>
            <w:vAlign w:val="bottom"/>
            <w:gridSpan w:val="2"/>
          </w:tcPr>
          <w:p>
            <w:pPr>
              <w:jc w:val="center"/>
              <w:ind w:left="86"/>
              <w:spacing w:after="0" w:line="125" w:lineRule="exact"/>
              <w:rPr>
                <w:sz w:val="20"/>
                <w:szCs w:val="20"/>
                <w:color w:val="auto"/>
              </w:rPr>
            </w:pPr>
            <w:r>
              <w:rPr>
                <w:rFonts w:ascii="Arial" w:cs="Arial" w:eastAsia="Arial" w:hAnsi="Arial"/>
                <w:sz w:val="11"/>
                <w:szCs w:val="11"/>
                <w:color w:val="auto"/>
                <w:w w:val="87"/>
              </w:rPr>
              <w:t>07/14/2025</w:t>
            </w:r>
          </w:p>
        </w:tc>
        <w:tc>
          <w:tcPr>
            <w:tcW w:w="140" w:type="dxa"/>
            <w:vAlign w:val="bottom"/>
          </w:tcPr>
          <w:p>
            <w:pPr>
              <w:spacing w:after="0"/>
              <w:rPr>
                <w:sz w:val="10"/>
                <w:szCs w:val="10"/>
                <w:color w:val="auto"/>
              </w:rPr>
            </w:pPr>
          </w:p>
        </w:tc>
        <w:tc>
          <w:tcPr>
            <w:tcW w:w="2600" w:type="dxa"/>
            <w:vAlign w:val="bottom"/>
          </w:tcPr>
          <w:p>
            <w:pPr>
              <w:jc w:val="center"/>
              <w:spacing w:after="0" w:line="125" w:lineRule="exact"/>
              <w:rPr>
                <w:sz w:val="20"/>
                <w:szCs w:val="20"/>
                <w:color w:val="auto"/>
              </w:rPr>
            </w:pPr>
            <w:r>
              <w:rPr>
                <w:rFonts w:ascii="Arial" w:cs="Arial" w:eastAsia="Arial" w:hAnsi="Arial"/>
                <w:sz w:val="11"/>
                <w:szCs w:val="11"/>
                <w:color w:val="auto"/>
                <w:w w:val="84"/>
              </w:rPr>
              <w:t>Business Services</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w:t>
            </w:r>
          </w:p>
        </w:tc>
        <w:tc>
          <w:tcPr>
            <w:tcW w:w="9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14,089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(634 )</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Sigma Defense Systems, LLC</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12/18/2025</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9"/>
              </w:rPr>
              <w:t>Telecommunications</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9.75 %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L+875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6,519,875</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6,378,184</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6,405,777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980" w:type="dxa"/>
            <w:vAlign w:val="bottom"/>
          </w:tcPr>
          <w:p>
            <w:pPr>
              <w:ind w:left="20"/>
              <w:spacing w:after="0"/>
              <w:rPr>
                <w:sz w:val="20"/>
                <w:szCs w:val="20"/>
                <w:color w:val="auto"/>
              </w:rPr>
            </w:pPr>
            <w:r>
              <w:rPr>
                <w:rFonts w:ascii="Arial" w:cs="Arial" w:eastAsia="Arial" w:hAnsi="Arial"/>
                <w:sz w:val="11"/>
                <w:szCs w:val="11"/>
                <w:color w:val="auto"/>
              </w:rPr>
              <w:t xml:space="preserve">Sigma Defense Systems, LLC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12/18/2025</w:t>
            </w:r>
          </w:p>
        </w:tc>
        <w:tc>
          <w:tcPr>
            <w:tcW w:w="14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950,869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(16,640 )</w:t>
            </w: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Arial" w:cs="Arial" w:eastAsia="Arial" w:hAnsi="Arial"/>
                <w:sz w:val="11"/>
                <w:szCs w:val="11"/>
                <w:color w:val="auto"/>
              </w:rPr>
              <w:t>Signature Systems Holding Company - Term Loan II</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12/31/2021</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08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8.50 %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806,452</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802,420</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798,387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980" w:type="dxa"/>
            <w:vAlign w:val="bottom"/>
          </w:tcPr>
          <w:p>
            <w:pPr>
              <w:ind w:left="20"/>
              <w:spacing w:after="0" w:line="105" w:lineRule="exact"/>
              <w:rPr>
                <w:sz w:val="20"/>
                <w:szCs w:val="20"/>
                <w:color w:val="auto"/>
              </w:rPr>
            </w:pPr>
            <w:r>
              <w:rPr>
                <w:rFonts w:ascii="Arial" w:cs="Arial" w:eastAsia="Arial" w:hAnsi="Arial"/>
                <w:sz w:val="11"/>
                <w:szCs w:val="11"/>
                <w:color w:val="auto"/>
              </w:rPr>
              <w:t>Signature Systems Holding Company (Revolver)</w:t>
            </w:r>
          </w:p>
        </w:tc>
        <w:tc>
          <w:tcPr>
            <w:tcW w:w="780" w:type="dxa"/>
            <w:vAlign w:val="bottom"/>
            <w:gridSpan w:val="2"/>
          </w:tcPr>
          <w:p>
            <w:pPr>
              <w:jc w:val="center"/>
              <w:ind w:left="86"/>
              <w:spacing w:after="0" w:line="105" w:lineRule="exact"/>
              <w:rPr>
                <w:sz w:val="20"/>
                <w:szCs w:val="20"/>
                <w:color w:val="auto"/>
              </w:rPr>
            </w:pPr>
            <w:r>
              <w:rPr>
                <w:rFonts w:ascii="Arial" w:cs="Arial" w:eastAsia="Arial" w:hAnsi="Arial"/>
                <w:sz w:val="11"/>
                <w:szCs w:val="11"/>
                <w:color w:val="auto"/>
                <w:w w:val="87"/>
              </w:rPr>
              <w:t>05/03/2024</w:t>
            </w:r>
          </w:p>
        </w:tc>
        <w:tc>
          <w:tcPr>
            <w:tcW w:w="140" w:type="dxa"/>
            <w:vAlign w:val="bottom"/>
          </w:tcPr>
          <w:p>
            <w:pPr>
              <w:spacing w:after="0"/>
              <w:rPr>
                <w:sz w:val="9"/>
                <w:szCs w:val="9"/>
                <w:color w:val="auto"/>
              </w:rPr>
            </w:pPr>
          </w:p>
        </w:tc>
        <w:tc>
          <w:tcPr>
            <w:tcW w:w="2600" w:type="dxa"/>
            <w:vAlign w:val="bottom"/>
          </w:tcPr>
          <w:p>
            <w:pPr>
              <w:jc w:val="center"/>
              <w:spacing w:after="0" w:line="105" w:lineRule="exact"/>
              <w:rPr>
                <w:sz w:val="20"/>
                <w:szCs w:val="20"/>
                <w:color w:val="auto"/>
              </w:rPr>
            </w:pPr>
            <w:r>
              <w:rPr>
                <w:rFonts w:ascii="Arial" w:cs="Arial" w:eastAsia="Arial" w:hAnsi="Arial"/>
                <w:sz w:val="11"/>
                <w:szCs w:val="11"/>
                <w:color w:val="auto"/>
                <w:w w:val="87"/>
              </w:rPr>
              <w:t>Chemicals, Plastics and Rubber</w:t>
            </w:r>
          </w:p>
        </w:tc>
        <w:tc>
          <w:tcPr>
            <w:tcW w:w="1080" w:type="dxa"/>
            <w:vAlign w:val="bottom"/>
            <w:gridSpan w:val="3"/>
          </w:tcPr>
          <w:p>
            <w:pPr>
              <w:jc w:val="right"/>
              <w:ind w:right="160"/>
              <w:spacing w:after="0" w:line="105" w:lineRule="exact"/>
              <w:rPr>
                <w:sz w:val="20"/>
                <w:szCs w:val="20"/>
                <w:color w:val="auto"/>
              </w:rPr>
            </w:pPr>
            <w:r>
              <w:rPr>
                <w:rFonts w:ascii="Arial" w:cs="Arial" w:eastAsia="Arial" w:hAnsi="Arial"/>
                <w:sz w:val="11"/>
                <w:szCs w:val="11"/>
                <w:color w:val="auto"/>
              </w:rPr>
              <w:t>8.50 %</w:t>
            </w:r>
          </w:p>
        </w:tc>
        <w:tc>
          <w:tcPr>
            <w:tcW w:w="920" w:type="dxa"/>
            <w:vAlign w:val="bottom"/>
          </w:tcPr>
          <w:p>
            <w:pPr>
              <w:jc w:val="right"/>
              <w:spacing w:after="0" w:line="105" w:lineRule="exact"/>
              <w:rPr>
                <w:sz w:val="20"/>
                <w:szCs w:val="20"/>
                <w:color w:val="auto"/>
              </w:rPr>
            </w:pPr>
            <w:r>
              <w:rPr>
                <w:rFonts w:ascii="Arial" w:cs="Arial" w:eastAsia="Arial" w:hAnsi="Arial"/>
                <w:sz w:val="11"/>
                <w:szCs w:val="11"/>
                <w:color w:val="auto"/>
              </w:rPr>
              <w:t>3M L+750</w:t>
            </w: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483,871</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483,871</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05" w:lineRule="exact"/>
              <w:rPr>
                <w:sz w:val="20"/>
                <w:szCs w:val="20"/>
                <w:color w:val="auto"/>
              </w:rPr>
            </w:pPr>
            <w:r>
              <w:rPr>
                <w:rFonts w:ascii="Arial" w:cs="Arial" w:eastAsia="Arial" w:hAnsi="Arial"/>
                <w:sz w:val="11"/>
                <w:szCs w:val="11"/>
                <w:color w:val="auto"/>
              </w:rPr>
              <w:t>479,032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05/03/2024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1,532,258</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(15,323 )</w:t>
            </w: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01/17/2024</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0"/>
              </w:rPr>
              <w:t>Communications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1,665,000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Spear Education, LLC</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02/26/2025</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9"/>
              </w:rPr>
              <w:t>Education</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6.00 %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14,898,125</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14,780,767</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14,898,125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Spear Education, LLC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02/26/2022</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Education</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6,875,000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Spectacle Gary Holdings, LLC</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12/23/2025</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90"/>
              </w:rPr>
              <w:t>Hotels, Motels, Inns and Gaming</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11.00 %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1M L+900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21,546,000</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20,971,842</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23,390,984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TAC LifePort Purchaser, LLC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03/01/2026</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620,155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(200 )</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The Bluebird Group LLC</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07/27/2026</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4"/>
              </w:rPr>
              <w:t>Business Services</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8.00 %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L+700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5,605,539</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5,495,767</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5,570,223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The Bluebird Group LLC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07/27/2026</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733,737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(4,623 )</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The Vertex Companies, LLC</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08/30/2027</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4"/>
              </w:rPr>
              <w:t>Business Services</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6.50 %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1M L+550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4,577,116</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4,486,280</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4,491,420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The Vertex Companies, LLC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08/30/2027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2,220,985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(19,373 )</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The Vertex Companies, LLC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08/30/2027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740,328</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(13,861 )</w:t>
            </w: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14"/>
                <w:szCs w:val="14"/>
                <w:color w:val="auto"/>
                <w:vertAlign w:val="superscript"/>
              </w:rPr>
              <w:t>(8),(11)</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11/24/2025</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Food</w:t>
            </w:r>
          </w:p>
        </w:tc>
        <w:tc>
          <w:tcPr>
            <w:tcW w:w="1080" w:type="dxa"/>
            <w:vAlign w:val="bottom"/>
            <w:gridSpan w:val="3"/>
          </w:tcPr>
          <w:p>
            <w:pPr>
              <w:jc w:val="right"/>
              <w:ind w:right="160"/>
              <w:spacing w:after="0"/>
              <w:rPr>
                <w:sz w:val="20"/>
                <w:szCs w:val="20"/>
                <w:color w:val="auto"/>
              </w:rPr>
            </w:pPr>
            <w:r>
              <w:rPr>
                <w:rFonts w:ascii="Arial" w:cs="Arial" w:eastAsia="Arial" w:hAnsi="Arial"/>
                <w:sz w:val="11"/>
                <w:szCs w:val="11"/>
                <w:color w:val="auto"/>
              </w:rPr>
              <w:t>6.25 %</w:t>
            </w:r>
          </w:p>
        </w:tc>
        <w:tc>
          <w:tcPr>
            <w:tcW w:w="920" w:type="dxa"/>
            <w:vAlign w:val="bottom"/>
          </w:tcPr>
          <w:p>
            <w:pPr>
              <w:jc w:val="right"/>
              <w:spacing w:after="0"/>
              <w:rPr>
                <w:sz w:val="20"/>
                <w:szCs w:val="20"/>
                <w:color w:val="auto"/>
              </w:rPr>
            </w:pPr>
            <w:r>
              <w:rPr>
                <w:rFonts w:ascii="Arial" w:cs="Arial" w:eastAsia="Arial" w:hAnsi="Arial"/>
                <w:sz w:val="11"/>
                <w:szCs w:val="11"/>
                <w:color w:val="auto"/>
              </w:rPr>
              <w:t>3M L+525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1,771,084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1,771,084</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1,717,952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TVC Enterprises, LLC</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03/26/2026</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90"/>
              </w:rPr>
              <w:t>Transportation</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6.75 %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1M L+575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15,506,132</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15,347,022</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15,506,132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03/26/2026</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0"/>
              </w:rPr>
              <w:t>Transportation</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2,702,152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TWS Acquisition Corporation</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06/16/2025</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9"/>
              </w:rPr>
              <w:t>Education</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7.25 %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1M L+625</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4,136,641</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4,136,641</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4,136,641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06/16/2025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Education</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1,643,571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29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04/01/2026</w:t>
            </w:r>
          </w:p>
        </w:tc>
        <w:tc>
          <w:tcPr>
            <w:tcW w:w="1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363,610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Arial" w:cs="Arial" w:eastAsia="Arial" w:hAnsi="Arial"/>
                <w:sz w:val="11"/>
                <w:szCs w:val="11"/>
                <w:color w:val="auto"/>
              </w:rPr>
              <w:t>Walker Edison Furniture Company LLC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03/31/2027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Home and Office Furnishings</w:t>
            </w:r>
          </w:p>
        </w:tc>
        <w:tc>
          <w:tcPr>
            <w:tcW w:w="1080" w:type="dxa"/>
            <w:vAlign w:val="bottom"/>
            <w:gridSpan w:val="3"/>
          </w:tcPr>
          <w:p>
            <w:pPr>
              <w:jc w:val="right"/>
              <w:ind w:right="160"/>
              <w:spacing w:after="0"/>
              <w:rPr>
                <w:sz w:val="20"/>
                <w:szCs w:val="20"/>
                <w:color w:val="auto"/>
              </w:rPr>
            </w:pPr>
            <w:r>
              <w:rPr>
                <w:rFonts w:ascii="Arial" w:cs="Arial" w:eastAsia="Arial" w:hAnsi="Arial"/>
                <w:sz w:val="11"/>
                <w:szCs w:val="11"/>
                <w:color w:val="auto"/>
              </w:rPr>
              <w:t>6.75 %</w:t>
            </w:r>
          </w:p>
        </w:tc>
        <w:tc>
          <w:tcPr>
            <w:tcW w:w="920" w:type="dxa"/>
            <w:vAlign w:val="bottom"/>
          </w:tcPr>
          <w:p>
            <w:pPr>
              <w:jc w:val="right"/>
              <w:spacing w:after="0"/>
              <w:rPr>
                <w:sz w:val="20"/>
                <w:szCs w:val="20"/>
                <w:color w:val="auto"/>
              </w:rPr>
            </w:pPr>
            <w:r>
              <w:rPr>
                <w:rFonts w:ascii="Arial" w:cs="Arial" w:eastAsia="Arial" w:hAnsi="Arial"/>
                <w:sz w:val="11"/>
                <w:szCs w:val="11"/>
                <w:color w:val="auto"/>
              </w:rPr>
              <w:t>3M L+575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24,875,000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24,293,307</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23,942,188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80" w:type="dxa"/>
            <w:vAlign w:val="bottom"/>
          </w:tcPr>
          <w:p>
            <w:pPr>
              <w:ind w:left="20"/>
              <w:spacing w:after="0" w:line="115" w:lineRule="exact"/>
              <w:rPr>
                <w:sz w:val="20"/>
                <w:szCs w:val="20"/>
                <w:color w:val="auto"/>
              </w:rPr>
            </w:pPr>
            <w:r>
              <w:rPr>
                <w:rFonts w:ascii="Arial" w:cs="Arial" w:eastAsia="Arial" w:hAnsi="Arial"/>
                <w:sz w:val="11"/>
                <w:szCs w:val="11"/>
                <w:color w:val="auto"/>
              </w:rPr>
              <w:t>Wildcat Buyerco, Inc.</w:t>
            </w:r>
          </w:p>
        </w:tc>
        <w:tc>
          <w:tcPr>
            <w:tcW w:w="780" w:type="dxa"/>
            <w:vAlign w:val="bottom"/>
            <w:gridSpan w:val="2"/>
          </w:tcPr>
          <w:p>
            <w:pPr>
              <w:jc w:val="center"/>
              <w:ind w:left="86"/>
              <w:spacing w:after="0" w:line="115" w:lineRule="exact"/>
              <w:rPr>
                <w:sz w:val="20"/>
                <w:szCs w:val="20"/>
                <w:color w:val="auto"/>
              </w:rPr>
            </w:pPr>
            <w:r>
              <w:rPr>
                <w:rFonts w:ascii="Arial" w:cs="Arial" w:eastAsia="Arial" w:hAnsi="Arial"/>
                <w:sz w:val="11"/>
                <w:szCs w:val="11"/>
                <w:color w:val="auto"/>
                <w:w w:val="87"/>
              </w:rPr>
              <w:t>02/27/2026</w:t>
            </w:r>
          </w:p>
        </w:tc>
        <w:tc>
          <w:tcPr>
            <w:tcW w:w="140" w:type="dxa"/>
            <w:vAlign w:val="bottom"/>
          </w:tcPr>
          <w:p>
            <w:pPr>
              <w:spacing w:after="0"/>
              <w:rPr>
                <w:sz w:val="9"/>
                <w:szCs w:val="9"/>
                <w:color w:val="auto"/>
              </w:rPr>
            </w:pPr>
          </w:p>
        </w:tc>
        <w:tc>
          <w:tcPr>
            <w:tcW w:w="2600" w:type="dxa"/>
            <w:vAlign w:val="bottom"/>
          </w:tcPr>
          <w:p>
            <w:pPr>
              <w:jc w:val="center"/>
              <w:spacing w:after="0" w:line="115" w:lineRule="exact"/>
              <w:rPr>
                <w:sz w:val="20"/>
                <w:szCs w:val="20"/>
                <w:color w:val="auto"/>
              </w:rPr>
            </w:pPr>
            <w:r>
              <w:rPr>
                <w:rFonts w:ascii="Arial" w:cs="Arial" w:eastAsia="Arial" w:hAnsi="Arial"/>
                <w:sz w:val="11"/>
                <w:szCs w:val="11"/>
                <w:color w:val="auto"/>
                <w:w w:val="89"/>
              </w:rPr>
              <w:t>Electronics</w:t>
            </w:r>
          </w:p>
        </w:tc>
        <w:tc>
          <w:tcPr>
            <w:tcW w:w="108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6.00 %</w:t>
            </w:r>
          </w:p>
        </w:tc>
        <w:tc>
          <w:tcPr>
            <w:tcW w:w="92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1,628,686</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1,612,485</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1,620,542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Wildcat Buyerco, Inc.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02/27/2022</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Electronics</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2,573,529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16,085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980" w:type="dxa"/>
            <w:vAlign w:val="bottom"/>
          </w:tcPr>
          <w:p>
            <w:pPr>
              <w:ind w:left="20"/>
              <w:spacing w:after="0"/>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02/27/2026</w:t>
            </w:r>
          </w:p>
        </w:tc>
        <w:tc>
          <w:tcPr>
            <w:tcW w:w="14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Electronics</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551,471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(7,279 )</w:t>
            </w:r>
          </w:p>
        </w:tc>
        <w:tc>
          <w:tcPr>
            <w:tcW w:w="0" w:type="dxa"/>
            <w:vAlign w:val="bottom"/>
          </w:tcPr>
          <w:p>
            <w:pPr>
              <w:spacing w:after="0"/>
              <w:rPr>
                <w:sz w:val="1"/>
                <w:szCs w:val="1"/>
                <w:color w:val="auto"/>
              </w:rPr>
            </w:pPr>
          </w:p>
        </w:tc>
      </w:tr>
      <w:tr>
        <w:trPr>
          <w:trHeight w:val="129"/>
        </w:trPr>
        <w:tc>
          <w:tcPr>
            <w:tcW w:w="29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Total First Lien Secured Debt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4"/>
              </w:rPr>
              <w:t>509,046,239</w:t>
            </w:r>
          </w:p>
        </w:tc>
        <w:tc>
          <w:tcPr>
            <w:tcW w:w="1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511,405,396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shd w:val="clear" w:color="auto" w:fill="CCECFF"/>
          </w:tcPr>
          <w:p>
            <w:pPr>
              <w:ind w:left="20"/>
              <w:spacing w:after="0"/>
              <w:rPr>
                <w:sz w:val="20"/>
                <w:szCs w:val="20"/>
                <w:color w:val="auto"/>
              </w:rPr>
            </w:pPr>
            <w:r>
              <w:rPr>
                <w:rFonts w:ascii="Arial" w:cs="Arial" w:eastAsia="Arial" w:hAnsi="Arial"/>
                <w:sz w:val="11"/>
                <w:szCs w:val="11"/>
                <w:b w:val="1"/>
                <w:bCs w:val="1"/>
                <w:color w:val="auto"/>
              </w:rPr>
              <w:t>Second Lien Secured Debt—16.2%</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Arial" w:cs="Arial" w:eastAsia="Arial" w:hAnsi="Arial"/>
                <w:sz w:val="11"/>
                <w:szCs w:val="11"/>
                <w:color w:val="auto"/>
              </w:rPr>
              <w:t>Atlas Purchaser,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05/07/2029</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080" w:type="dxa"/>
            <w:vAlign w:val="bottom"/>
            <w:gridSpan w:val="3"/>
          </w:tcPr>
          <w:p>
            <w:pPr>
              <w:jc w:val="right"/>
              <w:ind w:right="160"/>
              <w:spacing w:after="0"/>
              <w:rPr>
                <w:sz w:val="20"/>
                <w:szCs w:val="20"/>
                <w:color w:val="auto"/>
              </w:rPr>
            </w:pPr>
            <w:r>
              <w:rPr>
                <w:rFonts w:ascii="Arial" w:cs="Arial" w:eastAsia="Arial" w:hAnsi="Arial"/>
                <w:sz w:val="11"/>
                <w:szCs w:val="11"/>
                <w:color w:val="auto"/>
              </w:rPr>
              <w:t>9.75 %</w:t>
            </w:r>
          </w:p>
        </w:tc>
        <w:tc>
          <w:tcPr>
            <w:tcW w:w="920" w:type="dxa"/>
            <w:vAlign w:val="bottom"/>
          </w:tcPr>
          <w:p>
            <w:pPr>
              <w:jc w:val="right"/>
              <w:spacing w:after="0"/>
              <w:rPr>
                <w:sz w:val="20"/>
                <w:szCs w:val="20"/>
                <w:color w:val="auto"/>
              </w:rPr>
            </w:pPr>
            <w:r>
              <w:rPr>
                <w:rFonts w:ascii="Arial" w:cs="Arial" w:eastAsia="Arial" w:hAnsi="Arial"/>
                <w:sz w:val="11"/>
                <w:szCs w:val="11"/>
                <w:color w:val="auto"/>
              </w:rPr>
              <w:t>3M L+900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17,000,000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16,506,150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16,872,500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Arial" w:cs="Arial" w:eastAsia="Arial" w:hAnsi="Arial"/>
                <w:sz w:val="11"/>
                <w:szCs w:val="11"/>
                <w:color w:val="auto"/>
              </w:rPr>
              <w:t>Data Axle,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04/03/2024</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Other Media</w:t>
            </w:r>
          </w:p>
        </w:tc>
        <w:tc>
          <w:tcPr>
            <w:tcW w:w="108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10.25 %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L+925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20,400,000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20,220,262</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20,400,000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Arial" w:cs="Arial" w:eastAsia="Arial" w:hAnsi="Arial"/>
                <w:sz w:val="11"/>
                <w:szCs w:val="11"/>
                <w:color w:val="auto"/>
              </w:rPr>
              <w:t>ENC Parent Corporation</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08/19/2029</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080" w:type="dxa"/>
            <w:vAlign w:val="bottom"/>
            <w:gridSpan w:val="3"/>
          </w:tcPr>
          <w:p>
            <w:pPr>
              <w:jc w:val="right"/>
              <w:ind w:right="160"/>
              <w:spacing w:after="0"/>
              <w:rPr>
                <w:sz w:val="20"/>
                <w:szCs w:val="20"/>
                <w:color w:val="auto"/>
              </w:rPr>
            </w:pPr>
            <w:r>
              <w:rPr>
                <w:rFonts w:ascii="Arial" w:cs="Arial" w:eastAsia="Arial" w:hAnsi="Arial"/>
                <w:sz w:val="11"/>
                <w:szCs w:val="11"/>
                <w:color w:val="auto"/>
              </w:rPr>
              <w:t>8.25 %</w:t>
            </w:r>
          </w:p>
        </w:tc>
        <w:tc>
          <w:tcPr>
            <w:tcW w:w="920" w:type="dxa"/>
            <w:vAlign w:val="bottom"/>
          </w:tcPr>
          <w:p>
            <w:pPr>
              <w:jc w:val="right"/>
              <w:spacing w:after="0"/>
              <w:rPr>
                <w:sz w:val="20"/>
                <w:szCs w:val="20"/>
                <w:color w:val="auto"/>
              </w:rPr>
            </w:pPr>
            <w:r>
              <w:rPr>
                <w:rFonts w:ascii="Arial" w:cs="Arial" w:eastAsia="Arial" w:hAnsi="Arial"/>
                <w:sz w:val="11"/>
                <w:szCs w:val="11"/>
                <w:color w:val="auto"/>
              </w:rPr>
              <w:t>3M L+750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7,500,000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7,425,504</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7,425,000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Arial" w:cs="Arial" w:eastAsia="Arial" w:hAnsi="Arial"/>
                <w:sz w:val="11"/>
                <w:szCs w:val="11"/>
                <w:color w:val="auto"/>
              </w:rPr>
              <w:t>Halo Buyer, Inc.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07/06/2026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Products</w:t>
            </w:r>
          </w:p>
        </w:tc>
        <w:tc>
          <w:tcPr>
            <w:tcW w:w="108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9.25 %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L+825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32,500,000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32,105,964</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31,118,750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Arial" w:cs="Arial" w:eastAsia="Arial" w:hAnsi="Arial"/>
                <w:sz w:val="11"/>
                <w:szCs w:val="11"/>
                <w:color w:val="auto"/>
              </w:rPr>
              <w:t>Inventus Power,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09/29/2024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Electronics</w:t>
            </w:r>
          </w:p>
        </w:tc>
        <w:tc>
          <w:tcPr>
            <w:tcW w:w="1080" w:type="dxa"/>
            <w:vAlign w:val="bottom"/>
            <w:gridSpan w:val="3"/>
          </w:tcPr>
          <w:p>
            <w:pPr>
              <w:jc w:val="right"/>
              <w:ind w:right="160"/>
              <w:spacing w:after="0"/>
              <w:rPr>
                <w:sz w:val="20"/>
                <w:szCs w:val="20"/>
                <w:color w:val="auto"/>
              </w:rPr>
            </w:pPr>
            <w:r>
              <w:rPr>
                <w:rFonts w:ascii="Arial" w:cs="Arial" w:eastAsia="Arial" w:hAnsi="Arial"/>
                <w:sz w:val="11"/>
                <w:szCs w:val="11"/>
                <w:color w:val="auto"/>
              </w:rPr>
              <w:t>9.50 %</w:t>
            </w:r>
          </w:p>
        </w:tc>
        <w:tc>
          <w:tcPr>
            <w:tcW w:w="920" w:type="dxa"/>
            <w:vAlign w:val="bottom"/>
          </w:tcPr>
          <w:p>
            <w:pPr>
              <w:jc w:val="right"/>
              <w:spacing w:after="0"/>
              <w:rPr>
                <w:sz w:val="20"/>
                <w:szCs w:val="20"/>
                <w:color w:val="auto"/>
              </w:rPr>
            </w:pPr>
            <w:r>
              <w:rPr>
                <w:rFonts w:ascii="Arial" w:cs="Arial" w:eastAsia="Arial" w:hAnsi="Arial"/>
                <w:sz w:val="11"/>
                <w:szCs w:val="11"/>
                <w:color w:val="auto"/>
              </w:rPr>
              <w:t>3M L+850</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16,593,290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16,292,435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16,261,424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CFF"/>
          </w:tcPr>
          <w:p>
            <w:pPr>
              <w:ind w:left="20"/>
              <w:spacing w:after="0"/>
              <w:rPr>
                <w:sz w:val="20"/>
                <w:szCs w:val="20"/>
                <w:color w:val="auto"/>
              </w:rPr>
            </w:pPr>
            <w:r>
              <w:rPr>
                <w:rFonts w:ascii="Arial" w:cs="Arial" w:eastAsia="Arial" w:hAnsi="Arial"/>
                <w:sz w:val="11"/>
                <w:szCs w:val="11"/>
                <w:color w:val="auto"/>
              </w:rPr>
              <w:t>QuantiTech LLC</w:t>
            </w:r>
          </w:p>
        </w:tc>
        <w:tc>
          <w:tcPr>
            <w:tcW w:w="78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7"/>
              </w:rPr>
              <w:t>02/04/2027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08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11.00 %</w:t>
            </w:r>
          </w:p>
        </w:tc>
        <w:tc>
          <w:tcPr>
            <w:tcW w:w="9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L+1,000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150,000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147,229</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147,375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rPr>
                <w:sz w:val="20"/>
                <w:szCs w:val="20"/>
                <w:color w:val="auto"/>
              </w:rPr>
            </w:pPr>
            <w:r>
              <w:rPr>
                <w:rFonts w:ascii="Arial" w:cs="Arial" w:eastAsia="Arial" w:hAnsi="Arial"/>
                <w:sz w:val="11"/>
                <w:szCs w:val="11"/>
                <w:color w:val="auto"/>
              </w:rPr>
              <w:t>VT Topco, Inc.</w:t>
            </w:r>
          </w:p>
        </w:tc>
        <w:tc>
          <w:tcPr>
            <w:tcW w:w="780" w:type="dxa"/>
            <w:vAlign w:val="bottom"/>
            <w:gridSpan w:val="2"/>
          </w:tcPr>
          <w:p>
            <w:pPr>
              <w:jc w:val="center"/>
              <w:ind w:left="86"/>
              <w:spacing w:after="0"/>
              <w:rPr>
                <w:sz w:val="20"/>
                <w:szCs w:val="20"/>
                <w:color w:val="auto"/>
              </w:rPr>
            </w:pPr>
            <w:r>
              <w:rPr>
                <w:rFonts w:ascii="Arial" w:cs="Arial" w:eastAsia="Arial" w:hAnsi="Arial"/>
                <w:sz w:val="11"/>
                <w:szCs w:val="11"/>
                <w:color w:val="auto"/>
                <w:w w:val="87"/>
              </w:rPr>
              <w:t>08/17/2026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080" w:type="dxa"/>
            <w:vAlign w:val="bottom"/>
            <w:gridSpan w:val="3"/>
          </w:tcPr>
          <w:p>
            <w:pPr>
              <w:jc w:val="right"/>
              <w:ind w:right="160"/>
              <w:spacing w:after="0"/>
              <w:rPr>
                <w:sz w:val="20"/>
                <w:szCs w:val="20"/>
                <w:color w:val="auto"/>
              </w:rPr>
            </w:pPr>
            <w:r>
              <w:rPr>
                <w:rFonts w:ascii="Arial" w:cs="Arial" w:eastAsia="Arial" w:hAnsi="Arial"/>
                <w:sz w:val="11"/>
                <w:szCs w:val="11"/>
                <w:color w:val="auto"/>
              </w:rPr>
              <w:t>7.06 %</w:t>
            </w:r>
          </w:p>
        </w:tc>
        <w:tc>
          <w:tcPr>
            <w:tcW w:w="920" w:type="dxa"/>
            <w:vAlign w:val="bottom"/>
          </w:tcPr>
          <w:p>
            <w:pPr>
              <w:jc w:val="right"/>
              <w:spacing w:after="0"/>
              <w:rPr>
                <w:sz w:val="20"/>
                <w:szCs w:val="20"/>
                <w:color w:val="auto"/>
              </w:rPr>
            </w:pPr>
            <w:r>
              <w:rPr>
                <w:rFonts w:ascii="Arial" w:cs="Arial" w:eastAsia="Arial" w:hAnsi="Arial"/>
                <w:sz w:val="11"/>
                <w:szCs w:val="11"/>
                <w:color w:val="auto"/>
              </w:rPr>
              <w:t>3M L+675</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15,000,000</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14,921,967</w:t>
            </w: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15,000,000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26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4"/>
              </w:rPr>
              <w:t>107,619,511</w:t>
            </w:r>
          </w:p>
        </w:tc>
        <w:tc>
          <w:tcPr>
            <w:tcW w:w="18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107,225,049</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-6814185</wp:posOffset>
            </wp:positionV>
            <wp:extent cx="7132320" cy="939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-6634480</wp:posOffset>
            </wp:positionV>
            <wp:extent cx="7132320" cy="857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-6463030</wp:posOffset>
            </wp:positionV>
            <wp:extent cx="7132320" cy="857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-6291580</wp:posOffset>
            </wp:positionV>
            <wp:extent cx="7132320" cy="857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-6120130</wp:posOffset>
            </wp:positionV>
            <wp:extent cx="7132320" cy="857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-5948680</wp:posOffset>
            </wp:positionV>
            <wp:extent cx="7132320" cy="857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-5605780</wp:posOffset>
            </wp:positionV>
            <wp:extent cx="7132320" cy="857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-5434330</wp:posOffset>
            </wp:positionV>
            <wp:extent cx="7132320" cy="857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-4919980</wp:posOffset>
            </wp:positionV>
            <wp:extent cx="7132320" cy="857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-4748530</wp:posOffset>
            </wp:positionV>
            <wp:extent cx="7132320" cy="857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-4577080</wp:posOffset>
            </wp:positionV>
            <wp:extent cx="7132320" cy="857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-4405630</wp:posOffset>
            </wp:positionV>
            <wp:extent cx="7132320" cy="857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-4234180</wp:posOffset>
            </wp:positionV>
            <wp:extent cx="7132320" cy="857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-3891280</wp:posOffset>
            </wp:positionV>
            <wp:extent cx="7132320" cy="857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-3719830</wp:posOffset>
            </wp:positionV>
            <wp:extent cx="7132320" cy="857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-3548380</wp:posOffset>
            </wp:positionV>
            <wp:extent cx="7132320" cy="857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-3291205</wp:posOffset>
            </wp:positionV>
            <wp:extent cx="1885950" cy="1714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88595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-3034030</wp:posOffset>
            </wp:positionV>
            <wp:extent cx="7132320" cy="857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-2691130</wp:posOffset>
            </wp:positionV>
            <wp:extent cx="7132320" cy="857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-2519680</wp:posOffset>
            </wp:positionV>
            <wp:extent cx="7132320" cy="857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-2348230</wp:posOffset>
            </wp:positionV>
            <wp:extent cx="7132320" cy="857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-2176780</wp:posOffset>
            </wp:positionV>
            <wp:extent cx="7132320" cy="857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-2005330</wp:posOffset>
            </wp:positionV>
            <wp:extent cx="7132320" cy="857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-1833880</wp:posOffset>
            </wp:positionV>
            <wp:extent cx="7132320" cy="857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857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-1490980</wp:posOffset>
            </wp:positionV>
            <wp:extent cx="7132320" cy="857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857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857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946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-5080</wp:posOffset>
            </wp:positionV>
            <wp:extent cx="2603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-5080</wp:posOffset>
            </wp:positionV>
            <wp:extent cx="2603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035" cy="571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Maturity /</w:t>
            </w:r>
          </w:p>
        </w:tc>
        <w:tc>
          <w:tcPr>
            <w:tcW w:w="1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1"/>
                <w:szCs w:val="11"/>
                <w:b w:val="1"/>
                <w:bCs w:val="1"/>
                <w:color w:val="auto"/>
              </w:rPr>
              <w:t>Current</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140" w:type="dxa"/>
            <w:vAlign w:val="bottom"/>
          </w:tcPr>
          <w:p>
            <w:pPr>
              <w:spacing w:after="0"/>
              <w:rPr>
                <w:sz w:val="10"/>
                <w:szCs w:val="10"/>
                <w:color w:val="auto"/>
              </w:rPr>
            </w:pPr>
          </w:p>
        </w:tc>
        <w:tc>
          <w:tcPr>
            <w:tcW w:w="74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Par /</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5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Spread Above</w:t>
            </w:r>
          </w:p>
        </w:tc>
        <w:tc>
          <w:tcPr>
            <w:tcW w:w="1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(3)</w:t>
            </w:r>
          </w:p>
        </w:tc>
        <w:tc>
          <w:tcPr>
            <w:tcW w:w="0" w:type="dxa"/>
            <w:vAlign w:val="bottom"/>
          </w:tcPr>
          <w:p>
            <w:pPr>
              <w:spacing w:after="0"/>
              <w:rPr>
                <w:sz w:val="1"/>
                <w:szCs w:val="1"/>
                <w:color w:val="auto"/>
              </w:rPr>
            </w:pPr>
          </w:p>
        </w:tc>
      </w:tr>
      <w:tr>
        <w:trPr>
          <w:trHeight w:val="148"/>
        </w:trPr>
        <w:tc>
          <w:tcPr>
            <w:tcW w:w="2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180" w:type="dxa"/>
            <w:vAlign w:val="bottom"/>
          </w:tcPr>
          <w:p>
            <w:pPr>
              <w:spacing w:after="0"/>
              <w:rPr>
                <w:sz w:val="12"/>
                <w:szCs w:val="12"/>
                <w:color w:val="auto"/>
              </w:rPr>
            </w:pPr>
          </w:p>
        </w:tc>
        <w:tc>
          <w:tcPr>
            <w:tcW w:w="2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Coupon</w:t>
            </w:r>
          </w:p>
        </w:tc>
        <w:tc>
          <w:tcPr>
            <w:tcW w:w="92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(4)</w:t>
            </w:r>
          </w:p>
        </w:tc>
        <w:tc>
          <w:tcPr>
            <w:tcW w:w="140" w:type="dxa"/>
            <w:vAlign w:val="bottom"/>
          </w:tcPr>
          <w:p>
            <w:pPr>
              <w:spacing w:after="0"/>
              <w:rPr>
                <w:sz w:val="12"/>
                <w:szCs w:val="12"/>
                <w:color w:val="auto"/>
              </w:rPr>
            </w:pPr>
          </w:p>
        </w:tc>
        <w:tc>
          <w:tcPr>
            <w:tcW w:w="740" w:type="dxa"/>
            <w:vAlign w:val="bottom"/>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96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Subordinated Debt/Corporate Notes—8.6%</w:t>
            </w:r>
          </w:p>
        </w:tc>
        <w:tc>
          <w:tcPr>
            <w:tcW w:w="120" w:type="dxa"/>
            <w:vAlign w:val="bottom"/>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58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2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Blackhawk Industrial Distribution, Inc.</w:t>
            </w:r>
          </w:p>
        </w:tc>
        <w:tc>
          <w:tcPr>
            <w:tcW w:w="760" w:type="dxa"/>
            <w:vAlign w:val="bottom"/>
            <w:gridSpan w:val="2"/>
          </w:tcPr>
          <w:p>
            <w:pPr>
              <w:ind w:left="200"/>
              <w:spacing w:after="0" w:line="125" w:lineRule="exact"/>
              <w:rPr>
                <w:sz w:val="20"/>
                <w:szCs w:val="20"/>
                <w:color w:val="auto"/>
              </w:rPr>
            </w:pPr>
            <w:r>
              <w:rPr>
                <w:rFonts w:ascii="Arial" w:cs="Arial" w:eastAsia="Arial" w:hAnsi="Arial"/>
                <w:sz w:val="11"/>
                <w:szCs w:val="11"/>
                <w:color w:val="auto"/>
                <w:w w:val="98"/>
              </w:rPr>
              <w:t>03/17/2025</w:t>
            </w:r>
          </w:p>
        </w:tc>
        <w:tc>
          <w:tcPr>
            <w:tcW w:w="180" w:type="dxa"/>
            <w:vAlign w:val="bottom"/>
          </w:tcPr>
          <w:p>
            <w:pPr>
              <w:spacing w:after="0"/>
              <w:rPr>
                <w:sz w:val="10"/>
                <w:szCs w:val="10"/>
                <w:color w:val="auto"/>
              </w:rPr>
            </w:pPr>
          </w:p>
        </w:tc>
        <w:tc>
          <w:tcPr>
            <w:tcW w:w="2580" w:type="dxa"/>
            <w:vAlign w:val="bottom"/>
          </w:tcPr>
          <w:p>
            <w:pPr>
              <w:jc w:val="center"/>
              <w:spacing w:after="0" w:line="125" w:lineRule="exact"/>
              <w:rPr>
                <w:sz w:val="20"/>
                <w:szCs w:val="20"/>
                <w:color w:val="auto"/>
              </w:rPr>
            </w:pPr>
            <w:r>
              <w:rPr>
                <w:rFonts w:ascii="Arial" w:cs="Arial" w:eastAsia="Arial" w:hAnsi="Arial"/>
                <w:sz w:val="11"/>
                <w:szCs w:val="11"/>
                <w:color w:val="auto"/>
                <w:w w:val="94"/>
              </w:rPr>
              <w:t>Distribution</w:t>
            </w:r>
          </w:p>
        </w:tc>
        <w:tc>
          <w:tcPr>
            <w:tcW w:w="1100" w:type="dxa"/>
            <w:vAlign w:val="bottom"/>
            <w:gridSpan w:val="3"/>
          </w:tcPr>
          <w:p>
            <w:pPr>
              <w:jc w:val="right"/>
              <w:ind w:right="160"/>
              <w:spacing w:after="0" w:line="125" w:lineRule="exact"/>
              <w:rPr>
                <w:sz w:val="20"/>
                <w:szCs w:val="20"/>
                <w:color w:val="auto"/>
              </w:rPr>
            </w:pPr>
            <w:r>
              <w:rPr>
                <w:rFonts w:ascii="Arial" w:cs="Arial" w:eastAsia="Arial" w:hAnsi="Arial"/>
                <w:sz w:val="11"/>
                <w:szCs w:val="11"/>
                <w:color w:val="auto"/>
              </w:rPr>
              <w:t>12.00 %</w:t>
            </w:r>
          </w:p>
        </w:tc>
        <w:tc>
          <w:tcPr>
            <w:tcW w:w="920" w:type="dxa"/>
            <w:vAlign w:val="bottom"/>
          </w:tcPr>
          <w:p>
            <w:pPr>
              <w:ind w:left="800"/>
              <w:spacing w:after="0" w:line="12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14,334,994</w:t>
            </w:r>
          </w:p>
        </w:tc>
        <w:tc>
          <w:tcPr>
            <w:tcW w:w="32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14,165,120</w:t>
            </w:r>
          </w:p>
        </w:tc>
        <w:tc>
          <w:tcPr>
            <w:tcW w:w="2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14,334,994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(PIK 2.00%)</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Cascade Environmental LLC</w:t>
            </w:r>
          </w:p>
        </w:tc>
        <w:tc>
          <w:tcPr>
            <w:tcW w:w="760" w:type="dxa"/>
            <w:vAlign w:val="bottom"/>
            <w:gridSpan w:val="2"/>
            <w:shd w:val="clear" w:color="auto" w:fill="CCECFF"/>
          </w:tcPr>
          <w:p>
            <w:pPr>
              <w:ind w:left="200"/>
              <w:spacing w:after="0"/>
              <w:rPr>
                <w:sz w:val="20"/>
                <w:szCs w:val="20"/>
                <w:color w:val="auto"/>
              </w:rPr>
            </w:pPr>
            <w:r>
              <w:rPr>
                <w:rFonts w:ascii="Arial" w:cs="Arial" w:eastAsia="Arial" w:hAnsi="Arial"/>
                <w:sz w:val="11"/>
                <w:szCs w:val="11"/>
                <w:color w:val="auto"/>
                <w:w w:val="98"/>
              </w:rPr>
              <w:t>12/30/2023</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Environmental Services</w:t>
            </w:r>
          </w:p>
        </w:tc>
        <w:tc>
          <w:tcPr>
            <w:tcW w:w="110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13.00 %</w:t>
            </w:r>
          </w:p>
        </w:tc>
        <w:tc>
          <w:tcPr>
            <w:tcW w:w="920" w:type="dxa"/>
            <w:vAlign w:val="bottom"/>
            <w:shd w:val="clear" w:color="auto" w:fill="CCECFF"/>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42,467,662</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42,150,188</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42,680,001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9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258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960" w:type="dxa"/>
            <w:vAlign w:val="bottom"/>
            <w:tcBorders>
              <w:bottom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(PIK 13.00%)</w:t>
            </w:r>
          </w:p>
        </w:tc>
        <w:tc>
          <w:tcPr>
            <w:tcW w:w="9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600" w:type="dxa"/>
            <w:vAlign w:val="bottom"/>
            <w:tcBorders>
              <w:bottom w:val="single" w:sz="8" w:color="auto"/>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960" w:type="dxa"/>
            <w:vAlign w:val="bottom"/>
          </w:tcPr>
          <w:p>
            <w:pPr>
              <w:ind w:left="20"/>
              <w:spacing w:after="0" w:line="114" w:lineRule="exact"/>
              <w:rPr>
                <w:sz w:val="20"/>
                <w:szCs w:val="20"/>
                <w:color w:val="auto"/>
              </w:rPr>
            </w:pPr>
            <w:r>
              <w:rPr>
                <w:rFonts w:ascii="Arial" w:cs="Arial" w:eastAsia="Arial" w:hAnsi="Arial"/>
                <w:sz w:val="11"/>
                <w:szCs w:val="11"/>
                <w:b w:val="1"/>
                <w:bCs w:val="1"/>
                <w:color w:val="auto"/>
              </w:rPr>
              <w:t>Total Subordinated Debt/Corporate Notes</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56,315,308</w:t>
            </w: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57,014,995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960" w:type="dxa"/>
            <w:vAlign w:val="bottom"/>
          </w:tcPr>
          <w:p>
            <w:pPr>
              <w:ind w:left="20"/>
              <w:spacing w:after="0" w:line="105" w:lineRule="exact"/>
              <w:rPr>
                <w:sz w:val="20"/>
                <w:szCs w:val="20"/>
                <w:color w:val="auto"/>
              </w:rPr>
            </w:pPr>
            <w:r>
              <w:rPr>
                <w:rFonts w:ascii="Arial" w:cs="Arial" w:eastAsia="Arial" w:hAnsi="Arial"/>
                <w:sz w:val="9"/>
                <w:szCs w:val="9"/>
                <w:b w:val="1"/>
                <w:bCs w:val="1"/>
                <w:color w:val="auto"/>
              </w:rPr>
              <w:t xml:space="preserve">Preferred Equity/Partnership Interests—3.9% </w:t>
            </w:r>
            <w:r>
              <w:rPr>
                <w:rFonts w:ascii="Arial" w:cs="Arial" w:eastAsia="Arial" w:hAnsi="Arial"/>
                <w:sz w:val="12"/>
                <w:szCs w:val="12"/>
                <w:b w:val="1"/>
                <w:bCs w:val="1"/>
                <w:color w:val="auto"/>
                <w:vertAlign w:val="superscript"/>
              </w:rPr>
              <w:t>(6)</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960" w:type="dxa"/>
            <w:vAlign w:val="bottom"/>
          </w:tcPr>
          <w:p>
            <w:pPr>
              <w:ind w:left="20"/>
              <w:spacing w:after="0"/>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14"/>
                <w:szCs w:val="14"/>
                <w:color w:val="auto"/>
                <w:vertAlign w:val="superscript"/>
              </w:rPr>
              <w:t>(9)</w:t>
            </w:r>
          </w:p>
        </w:tc>
        <w:tc>
          <w:tcPr>
            <w:tcW w:w="12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2,400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240,000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AH Newco Equityholdings, LLC</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100" w:type="dxa"/>
            <w:vAlign w:val="bottom"/>
            <w:gridSpan w:val="3"/>
            <w:shd w:val="clear" w:color="auto" w:fill="CCECFF"/>
          </w:tcPr>
          <w:p>
            <w:pPr>
              <w:jc w:val="right"/>
              <w:ind w:right="160"/>
              <w:spacing w:after="0"/>
              <w:rPr>
                <w:sz w:val="20"/>
                <w:szCs w:val="20"/>
                <w:color w:val="auto"/>
              </w:rPr>
            </w:pPr>
            <w:r>
              <w:rPr>
                <w:rFonts w:ascii="Arial" w:cs="Arial" w:eastAsia="Arial" w:hAnsi="Arial"/>
                <w:sz w:val="11"/>
                <w:szCs w:val="11"/>
                <w:color w:val="auto"/>
              </w:rPr>
              <w:t>6.00 %</w:t>
            </w:r>
          </w:p>
        </w:tc>
        <w:tc>
          <w:tcPr>
            <w:tcW w:w="920" w:type="dxa"/>
            <w:vAlign w:val="bottom"/>
            <w:shd w:val="clear" w:color="auto" w:fill="CCECFF"/>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211</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944,468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Cascade Environmental LLC</w:t>
            </w:r>
          </w:p>
        </w:tc>
        <w:tc>
          <w:tcPr>
            <w:tcW w:w="120" w:type="dxa"/>
            <w:vAlign w:val="bottom"/>
          </w:tcPr>
          <w:p>
            <w:pPr>
              <w:spacing w:after="0"/>
              <w:rPr>
                <w:sz w:val="10"/>
                <w:szCs w:val="10"/>
                <w:color w:val="auto"/>
              </w:rPr>
            </w:pPr>
          </w:p>
        </w:tc>
        <w:tc>
          <w:tcPr>
            <w:tcW w:w="640" w:type="dxa"/>
            <w:vAlign w:val="bottom"/>
          </w:tcPr>
          <w:p>
            <w:pPr>
              <w:ind w:left="520"/>
              <w:spacing w:after="0" w:line="12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0"/>
                <w:szCs w:val="10"/>
                <w:color w:val="auto"/>
              </w:rPr>
            </w:pPr>
          </w:p>
        </w:tc>
        <w:tc>
          <w:tcPr>
            <w:tcW w:w="2580" w:type="dxa"/>
            <w:vAlign w:val="bottom"/>
          </w:tcPr>
          <w:p>
            <w:pPr>
              <w:jc w:val="center"/>
              <w:spacing w:after="0" w:line="125" w:lineRule="exact"/>
              <w:rPr>
                <w:sz w:val="20"/>
                <w:szCs w:val="20"/>
                <w:color w:val="auto"/>
              </w:rPr>
            </w:pPr>
            <w:r>
              <w:rPr>
                <w:rFonts w:ascii="Arial" w:cs="Arial" w:eastAsia="Arial" w:hAnsi="Arial"/>
                <w:sz w:val="11"/>
                <w:szCs w:val="11"/>
                <w:color w:val="auto"/>
                <w:w w:val="88"/>
              </w:rPr>
              <w:t>Environmental Services</w:t>
            </w:r>
          </w:p>
        </w:tc>
        <w:tc>
          <w:tcPr>
            <w:tcW w:w="1100" w:type="dxa"/>
            <w:vAlign w:val="bottom"/>
            <w:gridSpan w:val="3"/>
          </w:tcPr>
          <w:p>
            <w:pPr>
              <w:jc w:val="right"/>
              <w:ind w:right="160"/>
              <w:spacing w:after="0" w:line="125" w:lineRule="exact"/>
              <w:rPr>
                <w:sz w:val="20"/>
                <w:szCs w:val="20"/>
                <w:color w:val="auto"/>
              </w:rPr>
            </w:pPr>
            <w:r>
              <w:rPr>
                <w:rFonts w:ascii="Arial" w:cs="Arial" w:eastAsia="Arial" w:hAnsi="Arial"/>
                <w:sz w:val="11"/>
                <w:szCs w:val="11"/>
                <w:color w:val="auto"/>
              </w:rPr>
              <w:t>16.00 %</w:t>
            </w:r>
          </w:p>
        </w:tc>
        <w:tc>
          <w:tcPr>
            <w:tcW w:w="920" w:type="dxa"/>
            <w:vAlign w:val="bottom"/>
          </w:tcPr>
          <w:p>
            <w:pPr>
              <w:ind w:left="800"/>
              <w:spacing w:after="0" w:line="12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178,304</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17,607,478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21,133,488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Mars Intermediate Holdings II, Inc</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58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9"/>
                <w:szCs w:val="9"/>
                <w:color w:val="auto"/>
              </w:rPr>
            </w:pPr>
          </w:p>
        </w:tc>
        <w:tc>
          <w:tcPr>
            <w:tcW w:w="960" w:type="dxa"/>
            <w:vAlign w:val="bottom"/>
            <w:gridSpan w:val="2"/>
          </w:tcPr>
          <w:p>
            <w:pPr>
              <w:jc w:val="right"/>
              <w:ind w:right="28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414</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414,000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432,109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960" w:type="dxa"/>
            <w:vAlign w:val="bottom"/>
          </w:tcPr>
          <w:p>
            <w:pPr>
              <w:ind w:left="20"/>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14"/>
                <w:szCs w:val="14"/>
                <w:color w:val="auto"/>
                <w:vertAlign w:val="superscript"/>
              </w:rPr>
              <w:t>(9)</w:t>
            </w:r>
          </w:p>
        </w:tc>
        <w:tc>
          <w:tcPr>
            <w:tcW w:w="12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540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540,000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692,857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NXOF Holdings, Inc. (Tyto Athene, LLC)</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CFF"/>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160</w:t>
            </w: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159,808</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202,082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ORL Holdco, Inc.</w:t>
            </w:r>
          </w:p>
        </w:tc>
        <w:tc>
          <w:tcPr>
            <w:tcW w:w="120" w:type="dxa"/>
            <w:vAlign w:val="bottom"/>
          </w:tcPr>
          <w:p>
            <w:pPr>
              <w:spacing w:after="0"/>
              <w:rPr>
                <w:sz w:val="10"/>
                <w:szCs w:val="10"/>
                <w:color w:val="auto"/>
              </w:rPr>
            </w:pPr>
          </w:p>
        </w:tc>
        <w:tc>
          <w:tcPr>
            <w:tcW w:w="640" w:type="dxa"/>
            <w:vAlign w:val="bottom"/>
          </w:tcPr>
          <w:p>
            <w:pPr>
              <w:ind w:left="520"/>
              <w:spacing w:after="0" w:line="12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0"/>
                <w:szCs w:val="10"/>
                <w:color w:val="auto"/>
              </w:rPr>
            </w:pPr>
          </w:p>
        </w:tc>
        <w:tc>
          <w:tcPr>
            <w:tcW w:w="258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0"/>
                <w:szCs w:val="10"/>
                <w:color w:val="auto"/>
              </w:rPr>
            </w:pPr>
          </w:p>
        </w:tc>
        <w:tc>
          <w:tcPr>
            <w:tcW w:w="960" w:type="dxa"/>
            <w:vAlign w:val="bottom"/>
            <w:gridSpan w:val="2"/>
          </w:tcPr>
          <w:p>
            <w:pPr>
              <w:jc w:val="right"/>
              <w:ind w:right="280"/>
              <w:spacing w:after="0" w:line="12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2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575</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57,461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57,461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Signature CR Intermediate Holdco, Inc.</w:t>
            </w:r>
          </w:p>
        </w:tc>
        <w:tc>
          <w:tcPr>
            <w:tcW w:w="12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580" w:type="dxa"/>
            <w:vAlign w:val="bottom"/>
          </w:tcPr>
          <w:p>
            <w:pPr>
              <w:jc w:val="center"/>
              <w:spacing w:after="0" w:line="115" w:lineRule="exact"/>
              <w:rPr>
                <w:sz w:val="20"/>
                <w:szCs w:val="20"/>
                <w:color w:val="auto"/>
              </w:rPr>
            </w:pPr>
            <w:r>
              <w:rPr>
                <w:rFonts w:ascii="Arial" w:cs="Arial" w:eastAsia="Arial" w:hAnsi="Arial"/>
                <w:sz w:val="11"/>
                <w:szCs w:val="11"/>
                <w:color w:val="auto"/>
                <w:w w:val="88"/>
              </w:rPr>
              <w:t>Chemicals, Plastics and Rubber</w:t>
            </w:r>
          </w:p>
        </w:tc>
        <w:tc>
          <w:tcPr>
            <w:tcW w:w="1100" w:type="dxa"/>
            <w:vAlign w:val="bottom"/>
            <w:gridSpan w:val="3"/>
          </w:tcPr>
          <w:p>
            <w:pPr>
              <w:jc w:val="right"/>
              <w:ind w:right="160"/>
              <w:spacing w:after="0" w:line="115" w:lineRule="exact"/>
              <w:rPr>
                <w:sz w:val="20"/>
                <w:szCs w:val="20"/>
                <w:color w:val="auto"/>
              </w:rPr>
            </w:pPr>
            <w:r>
              <w:rPr>
                <w:rFonts w:ascii="Arial" w:cs="Arial" w:eastAsia="Arial" w:hAnsi="Arial"/>
                <w:sz w:val="11"/>
                <w:szCs w:val="11"/>
                <w:color w:val="auto"/>
              </w:rPr>
              <w:t>12.00 %</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1,527</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1,527,026</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1,878,601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960" w:type="dxa"/>
            <w:vAlign w:val="bottom"/>
          </w:tcPr>
          <w:p>
            <w:pPr>
              <w:ind w:left="20"/>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(8),(11)</w:t>
            </w:r>
          </w:p>
        </w:tc>
        <w:tc>
          <w:tcPr>
            <w:tcW w:w="12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7"/>
              </w:rPr>
              <w:t>Food</w:t>
            </w: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219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219,012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262,278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TWD Parent Holdings, LLC (The Vertex Companies, LLC)</w:t>
            </w:r>
          </w:p>
        </w:tc>
        <w:tc>
          <w:tcPr>
            <w:tcW w:w="12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Borders>
              <w:bottom w:val="single" w:sz="8" w:color="CCECFF"/>
            </w:tcBorders>
            <w:shd w:val="clear" w:color="auto" w:fill="CCECFF"/>
          </w:tcPr>
          <w:p>
            <w:pPr>
              <w:spacing w:after="0"/>
              <w:rPr>
                <w:sz w:val="11"/>
                <w:szCs w:val="11"/>
                <w:color w:val="auto"/>
              </w:rPr>
            </w:pPr>
          </w:p>
        </w:tc>
        <w:tc>
          <w:tcPr>
            <w:tcW w:w="258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Borders>
              <w:bottom w:val="single" w:sz="8" w:color="CCECFF"/>
            </w:tcBorders>
            <w:shd w:val="clear" w:color="auto" w:fill="CCECFF"/>
          </w:tcPr>
          <w:p>
            <w:pPr>
              <w:spacing w:after="0"/>
              <w:rPr>
                <w:sz w:val="11"/>
                <w:szCs w:val="11"/>
                <w:color w:val="auto"/>
              </w:rPr>
            </w:pPr>
          </w:p>
        </w:tc>
        <w:tc>
          <w:tcPr>
            <w:tcW w:w="960" w:type="dxa"/>
            <w:vAlign w:val="bottom"/>
            <w:tcBorders>
              <w:bottom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CFF"/>
            </w:tcBorders>
            <w:shd w:val="clear" w:color="auto" w:fill="CCECFF"/>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30</w:t>
            </w:r>
          </w:p>
        </w:tc>
        <w:tc>
          <w:tcPr>
            <w:tcW w:w="1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29,804</w:t>
            </w:r>
          </w:p>
        </w:tc>
        <w:tc>
          <w:tcPr>
            <w:tcW w:w="14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29,804</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960" w:type="dxa"/>
            <w:vAlign w:val="bottom"/>
          </w:tcPr>
          <w:p>
            <w:pPr>
              <w:ind w:left="20"/>
              <w:spacing w:after="0" w:line="110" w:lineRule="exact"/>
              <w:rPr>
                <w:sz w:val="20"/>
                <w:szCs w:val="20"/>
                <w:color w:val="auto"/>
              </w:rPr>
            </w:pPr>
            <w:r>
              <w:rPr>
                <w:rFonts w:ascii="Arial" w:cs="Arial" w:eastAsia="Arial" w:hAnsi="Arial"/>
                <w:sz w:val="11"/>
                <w:szCs w:val="11"/>
                <w:b w:val="1"/>
                <w:bCs w:val="1"/>
                <w:color w:val="auto"/>
              </w:rPr>
              <w:t>Total Preferred Equity/Partnership Interests</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21,294,589</w:t>
            </w: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25,873,148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5"/>
              </w:rPr>
              <w:t xml:space="preserve">Common Equity/Partnership Interests/Warrants—18.0% </w:t>
            </w:r>
            <w:r>
              <w:rPr>
                <w:rFonts w:ascii="Arial" w:cs="Arial" w:eastAsia="Arial" w:hAnsi="Arial"/>
                <w:sz w:val="14"/>
                <w:szCs w:val="14"/>
                <w:b w:val="1"/>
                <w:bCs w:val="1"/>
                <w:color w:val="auto"/>
                <w:w w:val="95"/>
                <w:vertAlign w:val="superscript"/>
              </w:rPr>
              <w:t>(6)</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Ad.net Holdings, Inc. (9)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2,667</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26,667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49,105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Affinion Group Holdings, Inc. (Warrants)</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04/10/2024</w:t>
            </w:r>
          </w:p>
        </w:tc>
        <w:tc>
          <w:tcPr>
            <w:tcW w:w="180" w:type="dxa"/>
            <w:vAlign w:val="bottom"/>
          </w:tcPr>
          <w:p>
            <w:pPr>
              <w:spacing w:after="0"/>
              <w:rPr>
                <w:sz w:val="9"/>
                <w:szCs w:val="9"/>
                <w:color w:val="auto"/>
              </w:rPr>
            </w:pPr>
          </w:p>
        </w:tc>
        <w:tc>
          <w:tcPr>
            <w:tcW w:w="2580" w:type="dxa"/>
            <w:vAlign w:val="bottom"/>
          </w:tcPr>
          <w:p>
            <w:pPr>
              <w:jc w:val="center"/>
              <w:spacing w:after="0" w:line="115" w:lineRule="exact"/>
              <w:rPr>
                <w:sz w:val="20"/>
                <w:szCs w:val="20"/>
                <w:color w:val="auto"/>
              </w:rPr>
            </w:pPr>
            <w:r>
              <w:rPr>
                <w:rFonts w:ascii="Arial" w:cs="Arial" w:eastAsia="Arial" w:hAnsi="Arial"/>
                <w:sz w:val="11"/>
                <w:szCs w:val="11"/>
                <w:color w:val="auto"/>
                <w:w w:val="88"/>
              </w:rPr>
              <w:t>Consumer Products</w:t>
            </w:r>
          </w:p>
        </w:tc>
        <w:tc>
          <w:tcPr>
            <w:tcW w:w="140" w:type="dxa"/>
            <w:vAlign w:val="bottom"/>
          </w:tcPr>
          <w:p>
            <w:pPr>
              <w:spacing w:after="0"/>
              <w:rPr>
                <w:sz w:val="9"/>
                <w:szCs w:val="9"/>
                <w:color w:val="auto"/>
              </w:rPr>
            </w:pPr>
          </w:p>
        </w:tc>
        <w:tc>
          <w:tcPr>
            <w:tcW w:w="960" w:type="dxa"/>
            <w:vAlign w:val="bottom"/>
            <w:gridSpan w:val="2"/>
          </w:tcPr>
          <w:p>
            <w:pPr>
              <w:jc w:val="right"/>
              <w:ind w:right="28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77,190</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2,126,399</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60"/>
              <w:spacing w:after="0" w:line="11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805,164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805,164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1,192,367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(7), (9)</w:t>
            </w:r>
          </w:p>
        </w:tc>
        <w:tc>
          <w:tcPr>
            <w:tcW w:w="12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194,836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Altamira Intermediate Company II, Inc.</w:t>
            </w:r>
          </w:p>
        </w:tc>
        <w:tc>
          <w:tcPr>
            <w:tcW w:w="12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580" w:type="dxa"/>
            <w:vAlign w:val="bottom"/>
          </w:tcPr>
          <w:p>
            <w:pPr>
              <w:jc w:val="center"/>
              <w:spacing w:after="0" w:line="115" w:lineRule="exact"/>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9"/>
                <w:szCs w:val="9"/>
                <w:color w:val="auto"/>
              </w:rPr>
            </w:pPr>
          </w:p>
        </w:tc>
        <w:tc>
          <w:tcPr>
            <w:tcW w:w="960" w:type="dxa"/>
            <w:vAlign w:val="bottom"/>
            <w:gridSpan w:val="2"/>
          </w:tcPr>
          <w:p>
            <w:pPr>
              <w:jc w:val="right"/>
              <w:ind w:right="28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125,000</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125,000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32,859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Atlas Investment Aggregator, LLC </w:t>
            </w:r>
            <w:r>
              <w:rPr>
                <w:rFonts w:ascii="Arial" w:cs="Arial" w:eastAsia="Arial" w:hAnsi="Arial"/>
                <w:sz w:val="14"/>
                <w:szCs w:val="14"/>
                <w:color w:val="auto"/>
                <w:vertAlign w:val="superscript"/>
              </w:rPr>
              <w:t>(9)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9"/>
              </w:rPr>
              <w:t>Telecomunications</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1,700,000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1,700,000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1,710,022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Cascade Environmental Holdings, LLC </w:t>
            </w:r>
            <w:r>
              <w:rPr>
                <w:rFonts w:ascii="Arial" w:cs="Arial" w:eastAsia="Arial" w:hAnsi="Arial"/>
                <w:sz w:val="14"/>
                <w:szCs w:val="14"/>
                <w:color w:val="auto"/>
                <w:vertAlign w:val="superscript"/>
              </w:rPr>
              <w:t>(9)</w:t>
            </w:r>
          </w:p>
        </w:tc>
        <w:tc>
          <w:tcPr>
            <w:tcW w:w="12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8"/>
              </w:rPr>
              <w:t>Environmental Services</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33,901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2,852,080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478,175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960" w:type="dxa"/>
            <w:vAlign w:val="bottom"/>
            <w:shd w:val="clear" w:color="auto" w:fill="CCECFF"/>
          </w:tcPr>
          <w:p>
            <w:pPr>
              <w:ind w:left="20"/>
              <w:spacing w:after="0" w:line="115" w:lineRule="exact"/>
              <w:rPr>
                <w:sz w:val="20"/>
                <w:szCs w:val="20"/>
                <w:color w:val="auto"/>
              </w:rPr>
            </w:pPr>
            <w:r>
              <w:rPr>
                <w:rFonts w:ascii="Arial" w:cs="Arial" w:eastAsia="Arial" w:hAnsi="Arial"/>
                <w:sz w:val="11"/>
                <w:szCs w:val="11"/>
                <w:color w:val="auto"/>
              </w:rPr>
              <w:t>CI (Allied) Investment Holdings, LLC</w:t>
            </w:r>
          </w:p>
        </w:tc>
        <w:tc>
          <w:tcPr>
            <w:tcW w:w="12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58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9"/>
                <w:szCs w:val="9"/>
                <w:color w:val="auto"/>
              </w:rPr>
            </w:pPr>
          </w:p>
        </w:tc>
        <w:tc>
          <w:tcPr>
            <w:tcW w:w="960" w:type="dxa"/>
            <w:vAlign w:val="bottom"/>
            <w:gridSpan w:val="2"/>
          </w:tcPr>
          <w:p>
            <w:pPr>
              <w:jc w:val="right"/>
              <w:ind w:right="28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120,962</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1,243,217</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475,439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960" w:type="dxa"/>
            <w:vAlign w:val="bottom"/>
            <w:vMerge w:val="restart"/>
            <w:shd w:val="clear" w:color="auto" w:fill="CCECFF"/>
          </w:tcPr>
          <w:p>
            <w:pPr>
              <w:ind w:left="100"/>
              <w:spacing w:after="0"/>
              <w:rPr>
                <w:sz w:val="20"/>
                <w:szCs w:val="20"/>
                <w:color w:val="auto"/>
              </w:rPr>
            </w:pPr>
            <w:r>
              <w:rPr>
                <w:rFonts w:ascii="Arial" w:cs="Arial" w:eastAsia="Arial" w:hAnsi="Arial"/>
                <w:sz w:val="11"/>
                <w:szCs w:val="11"/>
                <w:color w:val="auto"/>
              </w:rPr>
              <w:t xml:space="preserve">(PRA Events, Inc.) </w:t>
            </w:r>
            <w:r>
              <w:rPr>
                <w:rFonts w:ascii="Arial" w:cs="Arial" w:eastAsia="Arial" w:hAnsi="Arial"/>
                <w:sz w:val="14"/>
                <w:szCs w:val="14"/>
                <w:color w:val="auto"/>
                <w:vertAlign w:val="superscript"/>
              </w:rPr>
              <w:t>(9)</w:t>
            </w: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960" w:type="dxa"/>
            <w:vAlign w:val="bottom"/>
            <w:vMerge w:val="continue"/>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Connatix Parent, LLC</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57,416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631,576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635,147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96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Cowboy Parent LLC</w:t>
            </w:r>
          </w:p>
        </w:tc>
        <w:tc>
          <w:tcPr>
            <w:tcW w:w="120" w:type="dxa"/>
            <w:vAlign w:val="bottom"/>
            <w:shd w:val="clear" w:color="auto" w:fill="CCECFF"/>
          </w:tcPr>
          <w:p>
            <w:pPr>
              <w:spacing w:after="0"/>
              <w:rPr>
                <w:sz w:val="10"/>
                <w:szCs w:val="10"/>
                <w:color w:val="auto"/>
              </w:rPr>
            </w:pPr>
          </w:p>
        </w:tc>
        <w:tc>
          <w:tcPr>
            <w:tcW w:w="640" w:type="dxa"/>
            <w:vAlign w:val="bottom"/>
            <w:shd w:val="clear" w:color="auto" w:fill="CCECFF"/>
          </w:tcPr>
          <w:p>
            <w:pPr>
              <w:ind w:left="520"/>
              <w:spacing w:after="0" w:line="125" w:lineRule="exact"/>
              <w:rPr>
                <w:sz w:val="20"/>
                <w:szCs w:val="20"/>
                <w:color w:val="auto"/>
              </w:rPr>
            </w:pPr>
            <w:r>
              <w:rPr>
                <w:rFonts w:ascii="Arial" w:cs="Arial" w:eastAsia="Arial" w:hAnsi="Arial"/>
                <w:sz w:val="11"/>
                <w:szCs w:val="11"/>
                <w:color w:val="auto"/>
                <w:w w:val="90"/>
              </w:rPr>
              <w:t>—</w:t>
            </w:r>
          </w:p>
        </w:tc>
        <w:tc>
          <w:tcPr>
            <w:tcW w:w="180" w:type="dxa"/>
            <w:vAlign w:val="bottom"/>
            <w:shd w:val="clear" w:color="auto" w:fill="CCECFF"/>
          </w:tcPr>
          <w:p>
            <w:pPr>
              <w:spacing w:after="0"/>
              <w:rPr>
                <w:sz w:val="10"/>
                <w:szCs w:val="10"/>
                <w:color w:val="auto"/>
              </w:rPr>
            </w:pPr>
          </w:p>
        </w:tc>
        <w:tc>
          <w:tcPr>
            <w:tcW w:w="258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94"/>
              </w:rPr>
              <w:t>Distribution</w:t>
            </w:r>
          </w:p>
        </w:tc>
        <w:tc>
          <w:tcPr>
            <w:tcW w:w="140" w:type="dxa"/>
            <w:vAlign w:val="bottom"/>
            <w:shd w:val="clear" w:color="auto" w:fill="CCECFF"/>
          </w:tcPr>
          <w:p>
            <w:pPr>
              <w:spacing w:after="0"/>
              <w:rPr>
                <w:sz w:val="10"/>
                <w:szCs w:val="10"/>
                <w:color w:val="auto"/>
              </w:rPr>
            </w:pPr>
          </w:p>
        </w:tc>
        <w:tc>
          <w:tcPr>
            <w:tcW w:w="960" w:type="dxa"/>
            <w:vAlign w:val="bottom"/>
            <w:gridSpan w:val="2"/>
            <w:shd w:val="clear" w:color="auto" w:fill="CCECFF"/>
          </w:tcPr>
          <w:p>
            <w:pPr>
              <w:jc w:val="right"/>
              <w:ind w:right="280"/>
              <w:spacing w:after="0" w:line="125" w:lineRule="exact"/>
              <w:rPr>
                <w:sz w:val="20"/>
                <w:szCs w:val="20"/>
                <w:color w:val="auto"/>
              </w:rPr>
            </w:pPr>
            <w:r>
              <w:rPr>
                <w:rFonts w:ascii="Arial" w:cs="Arial" w:eastAsia="Arial" w:hAnsi="Arial"/>
                <w:sz w:val="11"/>
                <w:szCs w:val="11"/>
                <w:color w:val="auto"/>
              </w:rPr>
              <w:t>—</w:t>
            </w:r>
          </w:p>
        </w:tc>
        <w:tc>
          <w:tcPr>
            <w:tcW w:w="920" w:type="dxa"/>
            <w:vAlign w:val="bottom"/>
            <w:shd w:val="clear" w:color="auto" w:fill="CCECFF"/>
          </w:tcPr>
          <w:p>
            <w:pPr>
              <w:ind w:left="800"/>
              <w:spacing w:after="0" w:line="125" w:lineRule="exact"/>
              <w:rPr>
                <w:sz w:val="20"/>
                <w:szCs w:val="20"/>
                <w:color w:val="auto"/>
              </w:rPr>
            </w:pPr>
            <w:r>
              <w:rPr>
                <w:rFonts w:ascii="Arial" w:cs="Arial" w:eastAsia="Arial" w:hAnsi="Arial"/>
                <w:sz w:val="11"/>
                <w:szCs w:val="11"/>
                <w:color w:val="auto"/>
                <w:w w:val="90"/>
              </w:rPr>
              <w:t>—</w:t>
            </w:r>
          </w:p>
        </w:tc>
        <w:tc>
          <w:tcPr>
            <w:tcW w:w="88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22,500</w:t>
            </w:r>
          </w:p>
        </w:tc>
        <w:tc>
          <w:tcPr>
            <w:tcW w:w="1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2,250,000</w:t>
            </w:r>
          </w:p>
        </w:tc>
        <w:tc>
          <w:tcPr>
            <w:tcW w:w="1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1,902,358</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960" w:type="dxa"/>
            <w:vAlign w:val="bottom"/>
            <w:shd w:val="clear" w:color="auto" w:fill="CCECFF"/>
          </w:tcPr>
          <w:p>
            <w:pPr>
              <w:ind w:left="100"/>
              <w:spacing w:after="0"/>
              <w:rPr>
                <w:sz w:val="20"/>
                <w:szCs w:val="20"/>
                <w:color w:val="auto"/>
              </w:rPr>
            </w:pPr>
            <w:r>
              <w:rPr>
                <w:rFonts w:ascii="Arial" w:cs="Arial" w:eastAsia="Arial" w:hAnsi="Arial"/>
                <w:sz w:val="11"/>
                <w:szCs w:val="11"/>
                <w:color w:val="auto"/>
              </w:rPr>
              <w:t>(Blackhawk Industrial Distribution, Inc.)</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960" w:type="dxa"/>
            <w:vAlign w:val="bottom"/>
          </w:tcPr>
          <w:p>
            <w:pPr>
              <w:ind w:left="20"/>
              <w:spacing w:after="0" w:line="105" w:lineRule="exact"/>
              <w:rPr>
                <w:sz w:val="20"/>
                <w:szCs w:val="20"/>
                <w:color w:val="auto"/>
              </w:rPr>
            </w:pPr>
            <w:r>
              <w:rPr>
                <w:rFonts w:ascii="Arial" w:cs="Arial" w:eastAsia="Arial" w:hAnsi="Arial"/>
                <w:sz w:val="11"/>
                <w:szCs w:val="11"/>
                <w:color w:val="auto"/>
              </w:rPr>
              <w:t>Crane 1 Acquisition Parent Holdings, L.P.</w:t>
            </w:r>
          </w:p>
        </w:tc>
        <w:tc>
          <w:tcPr>
            <w:tcW w:w="120" w:type="dxa"/>
            <w:vAlign w:val="bottom"/>
          </w:tcPr>
          <w:p>
            <w:pPr>
              <w:spacing w:after="0"/>
              <w:rPr>
                <w:sz w:val="9"/>
                <w:szCs w:val="9"/>
                <w:color w:val="auto"/>
              </w:rPr>
            </w:pPr>
          </w:p>
        </w:tc>
        <w:tc>
          <w:tcPr>
            <w:tcW w:w="640" w:type="dxa"/>
            <w:vAlign w:val="bottom"/>
          </w:tcPr>
          <w:p>
            <w:pPr>
              <w:ind w:left="520"/>
              <w:spacing w:after="0" w:line="10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580" w:type="dxa"/>
            <w:vAlign w:val="bottom"/>
          </w:tcPr>
          <w:p>
            <w:pPr>
              <w:jc w:val="center"/>
              <w:spacing w:after="0" w:line="105" w:lineRule="exact"/>
              <w:rPr>
                <w:sz w:val="20"/>
                <w:szCs w:val="20"/>
                <w:color w:val="auto"/>
              </w:rPr>
            </w:pPr>
            <w:r>
              <w:rPr>
                <w:rFonts w:ascii="Arial" w:cs="Arial" w:eastAsia="Arial" w:hAnsi="Arial"/>
                <w:sz w:val="11"/>
                <w:szCs w:val="11"/>
                <w:color w:val="auto"/>
                <w:w w:val="86"/>
              </w:rPr>
              <w:t>Personal, Food and Miscellaneous Services</w:t>
            </w:r>
          </w:p>
        </w:tc>
        <w:tc>
          <w:tcPr>
            <w:tcW w:w="140" w:type="dxa"/>
            <w:vAlign w:val="bottom"/>
          </w:tcPr>
          <w:p>
            <w:pPr>
              <w:spacing w:after="0"/>
              <w:rPr>
                <w:sz w:val="9"/>
                <w:szCs w:val="9"/>
                <w:color w:val="auto"/>
              </w:rPr>
            </w:pPr>
          </w:p>
        </w:tc>
        <w:tc>
          <w:tcPr>
            <w:tcW w:w="960" w:type="dxa"/>
            <w:vAlign w:val="bottom"/>
            <w:gridSpan w:val="2"/>
          </w:tcPr>
          <w:p>
            <w:pPr>
              <w:jc w:val="right"/>
              <w:ind w:right="280"/>
              <w:spacing w:after="0" w:line="10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0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113</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104,000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104,001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Crash Champion Holdings, LLC </w:t>
            </w:r>
            <w:r>
              <w:rPr>
                <w:rFonts w:ascii="Arial" w:cs="Arial" w:eastAsia="Arial" w:hAnsi="Arial"/>
                <w:sz w:val="14"/>
                <w:szCs w:val="14"/>
                <w:color w:val="auto"/>
                <w:vertAlign w:val="superscript"/>
              </w:rPr>
              <w:t>(9)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90"/>
              </w:rPr>
              <w:t>Auto Sector</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327,778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369,273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14"/>
                <w:szCs w:val="14"/>
                <w:color w:val="auto"/>
                <w:vertAlign w:val="superscript"/>
              </w:rPr>
              <w:t>(9)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570,522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570,522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488,103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14"/>
                <w:szCs w:val="14"/>
                <w:color w:val="auto"/>
                <w:vertAlign w:val="superscript"/>
              </w:rPr>
              <w:t>(7), (9)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570,522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(82,419 )</w:t>
            </w: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14"/>
                <w:szCs w:val="14"/>
                <w:color w:val="auto"/>
                <w:vertAlign w:val="superscript"/>
              </w:rPr>
              <w:t>(9)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92"/>
              </w:rPr>
              <w:t>Electronics</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167,537</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40,735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564,506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14"/>
                <w:szCs w:val="14"/>
                <w:color w:val="auto"/>
                <w:vertAlign w:val="superscript"/>
              </w:rPr>
              <w:t>(11)</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7"/>
              </w:rPr>
              <w:t>Financial Services</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80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1,004,625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1,152,560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3,331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333,128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338,986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(7),(9)</w:t>
            </w:r>
          </w:p>
        </w:tc>
        <w:tc>
          <w:tcPr>
            <w:tcW w:w="12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4,072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Arial" w:cs="Arial" w:eastAsia="Arial" w:hAnsi="Arial"/>
                <w:sz w:val="11"/>
                <w:szCs w:val="11"/>
                <w:color w:val="auto"/>
              </w:rPr>
              <w:t>Gauge Lash Coinvest LLC</w:t>
            </w:r>
          </w:p>
        </w:tc>
        <w:tc>
          <w:tcPr>
            <w:tcW w:w="120" w:type="dxa"/>
            <w:vAlign w:val="bottom"/>
          </w:tcPr>
          <w:p>
            <w:pPr>
              <w:spacing w:after="0"/>
              <w:rPr>
                <w:sz w:val="12"/>
                <w:szCs w:val="12"/>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2"/>
                <w:szCs w:val="12"/>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8"/>
              </w:rPr>
              <w:t>Consumer Products</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889,376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135,598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3,557,503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Gauge Schlesinger Coinvest, LLC</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CECFF"/>
          </w:tcPr>
          <w:p>
            <w:pPr>
              <w:spacing w:after="0"/>
              <w:rPr>
                <w:sz w:val="12"/>
                <w:szCs w:val="12"/>
                <w:color w:val="auto"/>
              </w:rPr>
            </w:pPr>
          </w:p>
        </w:tc>
        <w:tc>
          <w:tcPr>
            <w:tcW w:w="2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CFF"/>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w:t>
            </w:r>
          </w:p>
        </w:tc>
        <w:tc>
          <w:tcPr>
            <w:tcW w:w="1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8,896</w:t>
            </w: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8,944</w:t>
            </w: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Gauge TVC Coinvest, LLC</w:t>
            </w:r>
          </w:p>
        </w:tc>
        <w:tc>
          <w:tcPr>
            <w:tcW w:w="120" w:type="dxa"/>
            <w:vAlign w:val="bottom"/>
          </w:tcPr>
          <w:p>
            <w:pPr>
              <w:spacing w:after="0"/>
              <w:rPr>
                <w:sz w:val="10"/>
                <w:szCs w:val="10"/>
                <w:color w:val="auto"/>
              </w:rPr>
            </w:pPr>
          </w:p>
        </w:tc>
        <w:tc>
          <w:tcPr>
            <w:tcW w:w="640" w:type="dxa"/>
            <w:vAlign w:val="bottom"/>
          </w:tcPr>
          <w:p>
            <w:pPr>
              <w:ind w:left="520"/>
              <w:spacing w:after="0" w:line="12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0"/>
                <w:szCs w:val="10"/>
                <w:color w:val="auto"/>
              </w:rPr>
            </w:pPr>
          </w:p>
        </w:tc>
        <w:tc>
          <w:tcPr>
            <w:tcW w:w="2580" w:type="dxa"/>
            <w:vAlign w:val="bottom"/>
          </w:tcPr>
          <w:p>
            <w:pPr>
              <w:jc w:val="center"/>
              <w:spacing w:after="0" w:line="125" w:lineRule="exact"/>
              <w:rPr>
                <w:sz w:val="20"/>
                <w:szCs w:val="20"/>
                <w:color w:val="auto"/>
              </w:rPr>
            </w:pPr>
            <w:r>
              <w:rPr>
                <w:rFonts w:ascii="Arial" w:cs="Arial" w:eastAsia="Arial" w:hAnsi="Arial"/>
                <w:sz w:val="11"/>
                <w:szCs w:val="11"/>
                <w:color w:val="auto"/>
                <w:w w:val="87"/>
              </w:rPr>
              <w:t>Transportation</w:t>
            </w:r>
          </w:p>
        </w:tc>
        <w:tc>
          <w:tcPr>
            <w:tcW w:w="140" w:type="dxa"/>
            <w:vAlign w:val="bottom"/>
          </w:tcPr>
          <w:p>
            <w:pPr>
              <w:spacing w:after="0"/>
              <w:rPr>
                <w:sz w:val="10"/>
                <w:szCs w:val="10"/>
                <w:color w:val="auto"/>
              </w:rPr>
            </w:pPr>
          </w:p>
        </w:tc>
        <w:tc>
          <w:tcPr>
            <w:tcW w:w="960" w:type="dxa"/>
            <w:vAlign w:val="bottom"/>
            <w:gridSpan w:val="2"/>
          </w:tcPr>
          <w:p>
            <w:pPr>
              <w:jc w:val="right"/>
              <w:ind w:right="280"/>
              <w:spacing w:after="0" w:line="12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2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810,645</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2,662,736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60" w:type="dxa"/>
            <w:vAlign w:val="bottom"/>
          </w:tcPr>
          <w:p>
            <w:pPr>
              <w:ind w:left="100"/>
              <w:spacing w:after="0" w:line="115" w:lineRule="exact"/>
              <w:rPr>
                <w:sz w:val="20"/>
                <w:szCs w:val="20"/>
                <w:color w:val="auto"/>
              </w:rPr>
            </w:pPr>
            <w:r>
              <w:rPr>
                <w:rFonts w:ascii="Arial" w:cs="Arial" w:eastAsia="Arial" w:hAnsi="Arial"/>
                <w:sz w:val="11"/>
                <w:szCs w:val="11"/>
                <w:color w:val="auto"/>
              </w:rPr>
              <w:t>(TVC Enterprises, LLC)</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4"/>
                <w:szCs w:val="14"/>
                <w:color w:val="auto"/>
                <w:vertAlign w:val="superscript"/>
              </w:rPr>
              <w:t>(9)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1,855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809,488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351,789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4"/>
                <w:szCs w:val="14"/>
                <w:color w:val="auto"/>
                <w:vertAlign w:val="superscript"/>
              </w:rPr>
              <w:t>(7),(9)</w:t>
            </w:r>
          </w:p>
        </w:tc>
        <w:tc>
          <w:tcPr>
            <w:tcW w:w="12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965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960" w:type="dxa"/>
            <w:vAlign w:val="bottom"/>
            <w:shd w:val="clear" w:color="auto" w:fill="CCECFF"/>
          </w:tcPr>
          <w:p>
            <w:pPr>
              <w:ind w:left="20"/>
              <w:spacing w:after="0" w:line="115" w:lineRule="exact"/>
              <w:rPr>
                <w:sz w:val="20"/>
                <w:szCs w:val="20"/>
                <w:color w:val="auto"/>
              </w:rPr>
            </w:pPr>
            <w:r>
              <w:rPr>
                <w:rFonts w:ascii="Arial" w:cs="Arial" w:eastAsia="Arial" w:hAnsi="Arial"/>
                <w:sz w:val="11"/>
                <w:szCs w:val="11"/>
                <w:color w:val="auto"/>
              </w:rPr>
              <w:t>Go Dawgs Capital III, LP</w:t>
            </w:r>
          </w:p>
        </w:tc>
        <w:tc>
          <w:tcPr>
            <w:tcW w:w="12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580" w:type="dxa"/>
            <w:vAlign w:val="bottom"/>
          </w:tcPr>
          <w:p>
            <w:pPr>
              <w:jc w:val="center"/>
              <w:spacing w:after="0" w:line="115" w:lineRule="exact"/>
              <w:rPr>
                <w:sz w:val="20"/>
                <w:szCs w:val="20"/>
                <w:color w:val="auto"/>
              </w:rPr>
            </w:pPr>
            <w:r>
              <w:rPr>
                <w:rFonts w:ascii="Arial" w:cs="Arial" w:eastAsia="Arial" w:hAnsi="Arial"/>
                <w:sz w:val="11"/>
                <w:szCs w:val="11"/>
                <w:color w:val="auto"/>
                <w:w w:val="94"/>
              </w:rPr>
              <w:t>Building Materials</w:t>
            </w:r>
          </w:p>
        </w:tc>
        <w:tc>
          <w:tcPr>
            <w:tcW w:w="140" w:type="dxa"/>
            <w:vAlign w:val="bottom"/>
          </w:tcPr>
          <w:p>
            <w:pPr>
              <w:spacing w:after="0"/>
              <w:rPr>
                <w:sz w:val="9"/>
                <w:szCs w:val="9"/>
                <w:color w:val="auto"/>
              </w:rPr>
            </w:pPr>
          </w:p>
        </w:tc>
        <w:tc>
          <w:tcPr>
            <w:tcW w:w="960" w:type="dxa"/>
            <w:vAlign w:val="bottom"/>
            <w:gridSpan w:val="2"/>
          </w:tcPr>
          <w:p>
            <w:pPr>
              <w:jc w:val="right"/>
              <w:ind w:right="28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675,325</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675,325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844,156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960" w:type="dxa"/>
            <w:vAlign w:val="bottom"/>
            <w:vMerge w:val="restart"/>
            <w:shd w:val="clear" w:color="auto" w:fill="CCECFF"/>
          </w:tcPr>
          <w:p>
            <w:pPr>
              <w:ind w:left="10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14"/>
                <w:szCs w:val="14"/>
                <w:color w:val="auto"/>
                <w:vertAlign w:val="superscript"/>
              </w:rPr>
              <w:t>(9)</w:t>
            </w: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960" w:type="dxa"/>
            <w:vAlign w:val="bottom"/>
            <w:vMerge w:val="continue"/>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Green Veracity Holdings, LP - Class A</w:t>
            </w:r>
          </w:p>
        </w:tc>
        <w:tc>
          <w:tcPr>
            <w:tcW w:w="120" w:type="dxa"/>
            <w:vAlign w:val="bottom"/>
          </w:tcPr>
          <w:p>
            <w:pPr>
              <w:spacing w:after="0"/>
              <w:rPr>
                <w:sz w:val="10"/>
                <w:szCs w:val="10"/>
                <w:color w:val="auto"/>
              </w:rPr>
            </w:pPr>
          </w:p>
        </w:tc>
        <w:tc>
          <w:tcPr>
            <w:tcW w:w="640" w:type="dxa"/>
            <w:vAlign w:val="bottom"/>
          </w:tcPr>
          <w:p>
            <w:pPr>
              <w:ind w:left="520"/>
              <w:spacing w:after="0" w:line="12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0"/>
                <w:szCs w:val="10"/>
                <w:color w:val="auto"/>
              </w:rPr>
            </w:pPr>
          </w:p>
        </w:tc>
        <w:tc>
          <w:tcPr>
            <w:tcW w:w="258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0"/>
                <w:szCs w:val="10"/>
                <w:color w:val="auto"/>
              </w:rPr>
            </w:pPr>
          </w:p>
        </w:tc>
        <w:tc>
          <w:tcPr>
            <w:tcW w:w="960" w:type="dxa"/>
            <w:vAlign w:val="bottom"/>
            <w:gridSpan w:val="2"/>
          </w:tcPr>
          <w:p>
            <w:pPr>
              <w:jc w:val="right"/>
              <w:ind w:right="280"/>
              <w:spacing w:after="0" w:line="12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2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15,000</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1,500,000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5,319,880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60" w:type="dxa"/>
            <w:vAlign w:val="bottom"/>
          </w:tcPr>
          <w:p>
            <w:pPr>
              <w:ind w:left="100"/>
              <w:spacing w:after="0" w:line="115" w:lineRule="exact"/>
              <w:rPr>
                <w:sz w:val="20"/>
                <w:szCs w:val="20"/>
                <w:color w:val="auto"/>
              </w:rPr>
            </w:pPr>
            <w:r>
              <w:rPr>
                <w:rFonts w:ascii="Arial" w:cs="Arial" w:eastAsia="Arial" w:hAnsi="Arial"/>
                <w:sz w:val="11"/>
                <w:szCs w:val="11"/>
                <w:color w:val="auto"/>
              </w:rPr>
              <w:t>(VT Topco, Inc.)</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Hancock Claims Consultants Investors, LLC </w:t>
            </w:r>
            <w:r>
              <w:rPr>
                <w:rFonts w:ascii="Arial" w:cs="Arial" w:eastAsia="Arial" w:hAnsi="Arial"/>
                <w:sz w:val="14"/>
                <w:szCs w:val="14"/>
                <w:color w:val="auto"/>
                <w:vertAlign w:val="superscript"/>
              </w:rPr>
              <w:t>(9)</w:t>
            </w:r>
          </w:p>
        </w:tc>
        <w:tc>
          <w:tcPr>
            <w:tcW w:w="12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450,000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450,000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613,335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Infogroup Parent Holdings, Inc. (Data Axle, Inc.)</w:t>
            </w:r>
          </w:p>
        </w:tc>
        <w:tc>
          <w:tcPr>
            <w:tcW w:w="12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580" w:type="dxa"/>
            <w:vAlign w:val="bottom"/>
          </w:tcPr>
          <w:p>
            <w:pPr>
              <w:jc w:val="center"/>
              <w:spacing w:after="0" w:line="115" w:lineRule="exact"/>
              <w:rPr>
                <w:sz w:val="20"/>
                <w:szCs w:val="20"/>
                <w:color w:val="auto"/>
              </w:rPr>
            </w:pPr>
            <w:r>
              <w:rPr>
                <w:rFonts w:ascii="Arial" w:cs="Arial" w:eastAsia="Arial" w:hAnsi="Arial"/>
                <w:sz w:val="11"/>
                <w:szCs w:val="11"/>
                <w:color w:val="auto"/>
                <w:w w:val="89"/>
              </w:rPr>
              <w:t>Other Media</w:t>
            </w:r>
          </w:p>
        </w:tc>
        <w:tc>
          <w:tcPr>
            <w:tcW w:w="140" w:type="dxa"/>
            <w:vAlign w:val="bottom"/>
          </w:tcPr>
          <w:p>
            <w:pPr>
              <w:spacing w:after="0"/>
              <w:rPr>
                <w:sz w:val="9"/>
                <w:szCs w:val="9"/>
                <w:color w:val="auto"/>
              </w:rPr>
            </w:pPr>
          </w:p>
        </w:tc>
        <w:tc>
          <w:tcPr>
            <w:tcW w:w="960" w:type="dxa"/>
            <w:vAlign w:val="bottom"/>
            <w:gridSpan w:val="2"/>
          </w:tcPr>
          <w:p>
            <w:pPr>
              <w:jc w:val="right"/>
              <w:ind w:right="28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181,495</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2,040,000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3,220,546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Ironclad Holdco, LLC (Applied Technical Services, LLC) </w:t>
            </w:r>
            <w:r>
              <w:rPr>
                <w:rFonts w:ascii="Arial" w:cs="Arial" w:eastAsia="Arial" w:hAnsi="Arial"/>
                <w:sz w:val="14"/>
                <w:szCs w:val="14"/>
                <w:color w:val="auto"/>
                <w:vertAlign w:val="superscript"/>
              </w:rPr>
              <w:t>(9)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8"/>
              </w:rPr>
              <w:t>Environmental Services</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3,960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389,697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433,917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14"/>
                <w:szCs w:val="14"/>
                <w:color w:val="auto"/>
                <w:vertAlign w:val="superscript"/>
              </w:rPr>
              <w:t>(9)</w:t>
            </w:r>
          </w:p>
        </w:tc>
        <w:tc>
          <w:tcPr>
            <w:tcW w:w="12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375,675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60,807,873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JWC-WE Holdings, L.P.</w:t>
            </w:r>
          </w:p>
        </w:tc>
        <w:tc>
          <w:tcPr>
            <w:tcW w:w="12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580" w:type="dxa"/>
            <w:vAlign w:val="bottom"/>
          </w:tcPr>
          <w:p>
            <w:pPr>
              <w:jc w:val="center"/>
              <w:spacing w:after="0" w:line="115" w:lineRule="exact"/>
              <w:rPr>
                <w:sz w:val="20"/>
                <w:szCs w:val="20"/>
                <w:color w:val="auto"/>
              </w:rPr>
            </w:pPr>
            <w:r>
              <w:rPr>
                <w:rFonts w:ascii="Arial" w:cs="Arial" w:eastAsia="Arial" w:hAnsi="Arial"/>
                <w:sz w:val="11"/>
                <w:szCs w:val="11"/>
                <w:color w:val="auto"/>
                <w:w w:val="91"/>
              </w:rPr>
              <w:t>Home and Office Furnishings</w:t>
            </w:r>
          </w:p>
        </w:tc>
        <w:tc>
          <w:tcPr>
            <w:tcW w:w="140" w:type="dxa"/>
            <w:vAlign w:val="bottom"/>
          </w:tcPr>
          <w:p>
            <w:pPr>
              <w:spacing w:after="0"/>
              <w:rPr>
                <w:sz w:val="9"/>
                <w:szCs w:val="9"/>
                <w:color w:val="auto"/>
              </w:rPr>
            </w:pPr>
          </w:p>
        </w:tc>
        <w:tc>
          <w:tcPr>
            <w:tcW w:w="960" w:type="dxa"/>
            <w:vAlign w:val="bottom"/>
            <w:gridSpan w:val="2"/>
          </w:tcPr>
          <w:p>
            <w:pPr>
              <w:jc w:val="right"/>
              <w:ind w:right="28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1,906,433</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6,616,373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960" w:type="dxa"/>
            <w:vAlign w:val="bottom"/>
            <w:vMerge w:val="restart"/>
          </w:tcPr>
          <w:p>
            <w:pPr>
              <w:ind w:left="100"/>
              <w:spacing w:after="0" w:line="135" w:lineRule="exact"/>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14"/>
                <w:szCs w:val="14"/>
                <w:color w:val="auto"/>
                <w:vertAlign w:val="superscript"/>
              </w:rPr>
              <w:t>(9)</w:t>
            </w: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960" w:type="dxa"/>
            <w:vAlign w:val="bottom"/>
            <w:vMerge w:val="continue"/>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258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60" w:type="dxa"/>
            <w:vAlign w:val="bottom"/>
            <w:tcBorders>
              <w:bottom w:val="single" w:sz="8" w:color="CCECFF"/>
            </w:tcBorders>
            <w:shd w:val="clear" w:color="auto" w:fill="CCECFF"/>
          </w:tcPr>
          <w:p>
            <w:pPr>
              <w:spacing w:after="0"/>
              <w:rPr>
                <w:sz w:val="10"/>
                <w:szCs w:val="10"/>
                <w:color w:val="auto"/>
              </w:rPr>
            </w:pPr>
          </w:p>
        </w:tc>
        <w:tc>
          <w:tcPr>
            <w:tcW w:w="92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74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60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4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960" w:type="dxa"/>
            <w:vAlign w:val="bottom"/>
          </w:tcPr>
          <w:p>
            <w:pPr>
              <w:ind w:left="20"/>
              <w:spacing w:after="0" w:line="105" w:lineRule="exact"/>
              <w:rPr>
                <w:sz w:val="20"/>
                <w:szCs w:val="20"/>
                <w:color w:val="auto"/>
              </w:rPr>
            </w:pPr>
            <w:r>
              <w:rPr>
                <w:rFonts w:ascii="Arial" w:cs="Arial" w:eastAsia="Arial" w:hAnsi="Arial"/>
                <w:sz w:val="9"/>
                <w:szCs w:val="9"/>
                <w:color w:val="auto"/>
              </w:rPr>
              <w:t xml:space="preserve">Kadmon Holdings, Inc. </w:t>
            </w:r>
            <w:r>
              <w:rPr>
                <w:rFonts w:ascii="Arial" w:cs="Arial" w:eastAsia="Arial" w:hAnsi="Arial"/>
                <w:sz w:val="12"/>
                <w:szCs w:val="12"/>
                <w:color w:val="auto"/>
                <w:vertAlign w:val="superscript"/>
              </w:rPr>
              <w:t>(5)</w:t>
            </w:r>
          </w:p>
        </w:tc>
        <w:tc>
          <w:tcPr>
            <w:tcW w:w="120" w:type="dxa"/>
            <w:vAlign w:val="bottom"/>
          </w:tcPr>
          <w:p>
            <w:pPr>
              <w:spacing w:after="0"/>
              <w:rPr>
                <w:sz w:val="9"/>
                <w:szCs w:val="9"/>
                <w:color w:val="auto"/>
              </w:rPr>
            </w:pPr>
          </w:p>
        </w:tc>
        <w:tc>
          <w:tcPr>
            <w:tcW w:w="640" w:type="dxa"/>
            <w:vAlign w:val="bottom"/>
          </w:tcPr>
          <w:p>
            <w:pPr>
              <w:ind w:left="520"/>
              <w:spacing w:after="0" w:line="10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580" w:type="dxa"/>
            <w:vAlign w:val="bottom"/>
          </w:tcPr>
          <w:p>
            <w:pPr>
              <w:jc w:val="center"/>
              <w:spacing w:after="0" w:line="105" w:lineRule="exact"/>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9"/>
                <w:szCs w:val="9"/>
                <w:color w:val="auto"/>
              </w:rPr>
            </w:pPr>
          </w:p>
        </w:tc>
        <w:tc>
          <w:tcPr>
            <w:tcW w:w="960" w:type="dxa"/>
            <w:vAlign w:val="bottom"/>
            <w:gridSpan w:val="2"/>
          </w:tcPr>
          <w:p>
            <w:pPr>
              <w:jc w:val="right"/>
              <w:ind w:right="280"/>
              <w:spacing w:after="0" w:line="10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0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252,014</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2,265,639</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2,195,042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14"/>
                <w:szCs w:val="14"/>
                <w:color w:val="auto"/>
                <w:vertAlign w:val="superscript"/>
              </w:rPr>
              <w:t>(9)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8"/>
              </w:rPr>
              <w:t>Hotels, Motels, Inns and Gaming</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161,252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1,147,039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KL Stockton Co-Invest LP (Any Hour Services) </w:t>
            </w:r>
            <w:r>
              <w:rPr>
                <w:rFonts w:ascii="Arial" w:cs="Arial" w:eastAsia="Arial" w:hAnsi="Arial"/>
                <w:sz w:val="14"/>
                <w:szCs w:val="14"/>
                <w:color w:val="auto"/>
                <w:vertAlign w:val="superscript"/>
              </w:rPr>
              <w:t>(9)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6"/>
              </w:rPr>
              <w:t>Personal, Food and Miscellaneous Services</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382,353</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382,353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382,353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Lariat ecoserv Co-Invest Holdings, LLC </w:t>
            </w:r>
            <w:r>
              <w:rPr>
                <w:rFonts w:ascii="Arial" w:cs="Arial" w:eastAsia="Arial" w:hAnsi="Arial"/>
                <w:sz w:val="14"/>
                <w:szCs w:val="14"/>
                <w:color w:val="auto"/>
                <w:vertAlign w:val="superscript"/>
              </w:rPr>
              <w:t>(9)</w:t>
            </w:r>
          </w:p>
        </w:tc>
        <w:tc>
          <w:tcPr>
            <w:tcW w:w="12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8"/>
              </w:rPr>
              <w:t>Environmental Services</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363,656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363,656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1,043,693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Arial" w:cs="Arial" w:eastAsia="Arial" w:hAnsi="Arial"/>
                <w:sz w:val="11"/>
                <w:szCs w:val="11"/>
                <w:color w:val="auto"/>
              </w:rPr>
              <w:t>Lightspeed Investment Holdco LLC</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273,143</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273,143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314,579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Mars Intermidiate Holdings II, Inc.</w:t>
            </w:r>
          </w:p>
        </w:tc>
        <w:tc>
          <w:tcPr>
            <w:tcW w:w="12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58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9"/>
                <w:szCs w:val="9"/>
                <w:color w:val="auto"/>
              </w:rPr>
            </w:pPr>
          </w:p>
        </w:tc>
        <w:tc>
          <w:tcPr>
            <w:tcW w:w="960" w:type="dxa"/>
            <w:vAlign w:val="bottom"/>
            <w:gridSpan w:val="2"/>
          </w:tcPr>
          <w:p>
            <w:pPr>
              <w:jc w:val="right"/>
              <w:ind w:right="28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414</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169,217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14"/>
                <w:szCs w:val="14"/>
                <w:color w:val="auto"/>
                <w:vertAlign w:val="superscript"/>
              </w:rPr>
              <w:t>(9)</w:t>
            </w:r>
          </w:p>
        </w:tc>
        <w:tc>
          <w:tcPr>
            <w:tcW w:w="12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540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126,202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Municipal Emergency Services, Inc.</w:t>
            </w:r>
          </w:p>
        </w:tc>
        <w:tc>
          <w:tcPr>
            <w:tcW w:w="12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580" w:type="dxa"/>
            <w:vAlign w:val="bottom"/>
          </w:tcPr>
          <w:p>
            <w:pPr>
              <w:jc w:val="center"/>
              <w:spacing w:after="0" w:line="115" w:lineRule="exact"/>
              <w:rPr>
                <w:sz w:val="20"/>
                <w:szCs w:val="20"/>
                <w:color w:val="auto"/>
              </w:rPr>
            </w:pPr>
            <w:r>
              <w:rPr>
                <w:rFonts w:ascii="Arial" w:cs="Arial" w:eastAsia="Arial" w:hAnsi="Arial"/>
                <w:sz w:val="11"/>
                <w:szCs w:val="11"/>
                <w:color w:val="auto"/>
                <w:w w:val="94"/>
              </w:rPr>
              <w:t>Distribution</w:t>
            </w:r>
          </w:p>
        </w:tc>
        <w:tc>
          <w:tcPr>
            <w:tcW w:w="140" w:type="dxa"/>
            <w:vAlign w:val="bottom"/>
          </w:tcPr>
          <w:p>
            <w:pPr>
              <w:spacing w:after="0"/>
              <w:rPr>
                <w:sz w:val="9"/>
                <w:szCs w:val="9"/>
                <w:color w:val="auto"/>
              </w:rPr>
            </w:pPr>
          </w:p>
        </w:tc>
        <w:tc>
          <w:tcPr>
            <w:tcW w:w="960" w:type="dxa"/>
            <w:vAlign w:val="bottom"/>
            <w:gridSpan w:val="2"/>
          </w:tcPr>
          <w:p>
            <w:pPr>
              <w:jc w:val="right"/>
              <w:ind w:right="28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1,593,514</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1,593,514</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1,593,514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960" w:type="dxa"/>
            <w:vAlign w:val="bottom"/>
          </w:tcPr>
          <w:p>
            <w:pPr>
              <w:ind w:left="20"/>
              <w:spacing w:after="0"/>
              <w:rPr>
                <w:sz w:val="20"/>
                <w:szCs w:val="20"/>
                <w:color w:val="auto"/>
              </w:rPr>
            </w:pPr>
            <w:r>
              <w:rPr>
                <w:rFonts w:ascii="Arial" w:cs="Arial" w:eastAsia="Arial" w:hAnsi="Arial"/>
                <w:sz w:val="11"/>
                <w:szCs w:val="11"/>
                <w:color w:val="auto"/>
              </w:rPr>
              <w:t xml:space="preserve">NEPRT Parent Holdings, LLC (Recteq, LLC) </w:t>
            </w:r>
            <w:r>
              <w:rPr>
                <w:rFonts w:ascii="Arial" w:cs="Arial" w:eastAsia="Arial" w:hAnsi="Arial"/>
                <w:sz w:val="14"/>
                <w:szCs w:val="14"/>
                <w:color w:val="auto"/>
                <w:vertAlign w:val="superscript"/>
              </w:rPr>
              <w:t>(9)</w:t>
            </w:r>
          </w:p>
        </w:tc>
        <w:tc>
          <w:tcPr>
            <w:tcW w:w="12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8"/>
              </w:rPr>
              <w:t>Consumer Products</w:t>
            </w: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1,299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1,262,435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1,536,711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96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NXOF Holdings, Inc.</w:t>
            </w:r>
          </w:p>
        </w:tc>
        <w:tc>
          <w:tcPr>
            <w:tcW w:w="120" w:type="dxa"/>
            <w:vAlign w:val="bottom"/>
            <w:shd w:val="clear" w:color="auto" w:fill="CCECFF"/>
          </w:tcPr>
          <w:p>
            <w:pPr>
              <w:spacing w:after="0"/>
              <w:rPr>
                <w:sz w:val="10"/>
                <w:szCs w:val="10"/>
                <w:color w:val="auto"/>
              </w:rPr>
            </w:pPr>
          </w:p>
        </w:tc>
        <w:tc>
          <w:tcPr>
            <w:tcW w:w="640" w:type="dxa"/>
            <w:vAlign w:val="bottom"/>
            <w:shd w:val="clear" w:color="auto" w:fill="CCECFF"/>
          </w:tcPr>
          <w:p>
            <w:pPr>
              <w:ind w:left="520"/>
              <w:spacing w:after="0" w:line="125" w:lineRule="exact"/>
              <w:rPr>
                <w:sz w:val="20"/>
                <w:szCs w:val="20"/>
                <w:color w:val="auto"/>
              </w:rPr>
            </w:pPr>
            <w:r>
              <w:rPr>
                <w:rFonts w:ascii="Arial" w:cs="Arial" w:eastAsia="Arial" w:hAnsi="Arial"/>
                <w:sz w:val="11"/>
                <w:szCs w:val="11"/>
                <w:color w:val="auto"/>
                <w:w w:val="90"/>
              </w:rPr>
              <w:t>—</w:t>
            </w:r>
          </w:p>
        </w:tc>
        <w:tc>
          <w:tcPr>
            <w:tcW w:w="180" w:type="dxa"/>
            <w:vAlign w:val="bottom"/>
            <w:shd w:val="clear" w:color="auto" w:fill="CCECFF"/>
          </w:tcPr>
          <w:p>
            <w:pPr>
              <w:spacing w:after="0"/>
              <w:rPr>
                <w:sz w:val="10"/>
                <w:szCs w:val="10"/>
                <w:color w:val="auto"/>
              </w:rPr>
            </w:pPr>
          </w:p>
        </w:tc>
        <w:tc>
          <w:tcPr>
            <w:tcW w:w="258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86"/>
              </w:rPr>
              <w:t>Aerospace and Defense</w:t>
            </w:r>
          </w:p>
        </w:tc>
        <w:tc>
          <w:tcPr>
            <w:tcW w:w="140" w:type="dxa"/>
            <w:vAlign w:val="bottom"/>
            <w:shd w:val="clear" w:color="auto" w:fill="CCECFF"/>
          </w:tcPr>
          <w:p>
            <w:pPr>
              <w:spacing w:after="0"/>
              <w:rPr>
                <w:sz w:val="10"/>
                <w:szCs w:val="10"/>
                <w:color w:val="auto"/>
              </w:rPr>
            </w:pPr>
          </w:p>
        </w:tc>
        <w:tc>
          <w:tcPr>
            <w:tcW w:w="960" w:type="dxa"/>
            <w:vAlign w:val="bottom"/>
            <w:gridSpan w:val="2"/>
            <w:shd w:val="clear" w:color="auto" w:fill="CCECFF"/>
          </w:tcPr>
          <w:p>
            <w:pPr>
              <w:jc w:val="right"/>
              <w:ind w:right="280"/>
              <w:spacing w:after="0" w:line="125" w:lineRule="exact"/>
              <w:rPr>
                <w:sz w:val="20"/>
                <w:szCs w:val="20"/>
                <w:color w:val="auto"/>
              </w:rPr>
            </w:pPr>
            <w:r>
              <w:rPr>
                <w:rFonts w:ascii="Arial" w:cs="Arial" w:eastAsia="Arial" w:hAnsi="Arial"/>
                <w:sz w:val="11"/>
                <w:szCs w:val="11"/>
                <w:color w:val="auto"/>
              </w:rPr>
              <w:t>—</w:t>
            </w:r>
          </w:p>
        </w:tc>
        <w:tc>
          <w:tcPr>
            <w:tcW w:w="920" w:type="dxa"/>
            <w:vAlign w:val="bottom"/>
            <w:shd w:val="clear" w:color="auto" w:fill="CCECFF"/>
          </w:tcPr>
          <w:p>
            <w:pPr>
              <w:ind w:left="800"/>
              <w:spacing w:after="0" w:line="125" w:lineRule="exact"/>
              <w:rPr>
                <w:sz w:val="20"/>
                <w:szCs w:val="20"/>
                <w:color w:val="auto"/>
              </w:rPr>
            </w:pPr>
            <w:r>
              <w:rPr>
                <w:rFonts w:ascii="Arial" w:cs="Arial" w:eastAsia="Arial" w:hAnsi="Arial"/>
                <w:sz w:val="11"/>
                <w:szCs w:val="11"/>
                <w:color w:val="auto"/>
                <w:w w:val="90"/>
              </w:rPr>
              <w:t>—</w:t>
            </w:r>
          </w:p>
        </w:tc>
        <w:tc>
          <w:tcPr>
            <w:tcW w:w="88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3,261</w:t>
            </w:r>
          </w:p>
        </w:tc>
        <w:tc>
          <w:tcPr>
            <w:tcW w:w="1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3,261</w:t>
            </w:r>
          </w:p>
        </w:tc>
        <w:tc>
          <w:tcPr>
            <w:tcW w:w="1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186,421</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960" w:type="dxa"/>
            <w:vAlign w:val="bottom"/>
            <w:shd w:val="clear" w:color="auto" w:fill="CCECFF"/>
          </w:tcPr>
          <w:p>
            <w:pPr>
              <w:ind w:left="100"/>
              <w:spacing w:after="0"/>
              <w:rPr>
                <w:sz w:val="20"/>
                <w:szCs w:val="20"/>
                <w:color w:val="auto"/>
              </w:rPr>
            </w:pPr>
            <w:r>
              <w:rPr>
                <w:rFonts w:ascii="Arial" w:cs="Arial" w:eastAsia="Arial" w:hAnsi="Arial"/>
                <w:sz w:val="11"/>
                <w:szCs w:val="11"/>
                <w:color w:val="auto"/>
              </w:rPr>
              <w:t>(Tyto Athene, LLC)</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960" w:type="dxa"/>
            <w:vAlign w:val="bottom"/>
          </w:tcPr>
          <w:p>
            <w:pPr>
              <w:ind w:left="20"/>
              <w:spacing w:after="0" w:line="105" w:lineRule="exact"/>
              <w:rPr>
                <w:sz w:val="20"/>
                <w:szCs w:val="20"/>
                <w:color w:val="auto"/>
              </w:rPr>
            </w:pPr>
            <w:r>
              <w:rPr>
                <w:rFonts w:ascii="Arial" w:cs="Arial" w:eastAsia="Arial" w:hAnsi="Arial"/>
                <w:sz w:val="11"/>
                <w:szCs w:val="11"/>
                <w:color w:val="auto"/>
              </w:rPr>
              <w:t>OceanSound Discovery Equity, LP</w:t>
            </w:r>
          </w:p>
        </w:tc>
        <w:tc>
          <w:tcPr>
            <w:tcW w:w="120" w:type="dxa"/>
            <w:vAlign w:val="bottom"/>
          </w:tcPr>
          <w:p>
            <w:pPr>
              <w:spacing w:after="0"/>
              <w:rPr>
                <w:sz w:val="9"/>
                <w:szCs w:val="9"/>
                <w:color w:val="auto"/>
              </w:rPr>
            </w:pPr>
          </w:p>
        </w:tc>
        <w:tc>
          <w:tcPr>
            <w:tcW w:w="640" w:type="dxa"/>
            <w:vAlign w:val="bottom"/>
          </w:tcPr>
          <w:p>
            <w:pPr>
              <w:ind w:left="520"/>
              <w:spacing w:after="0" w:line="10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580" w:type="dxa"/>
            <w:vAlign w:val="bottom"/>
          </w:tcPr>
          <w:p>
            <w:pPr>
              <w:jc w:val="center"/>
              <w:spacing w:after="0" w:line="105" w:lineRule="exact"/>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9"/>
                <w:szCs w:val="9"/>
                <w:color w:val="auto"/>
              </w:rPr>
            </w:pPr>
          </w:p>
        </w:tc>
        <w:tc>
          <w:tcPr>
            <w:tcW w:w="960" w:type="dxa"/>
            <w:vAlign w:val="bottom"/>
            <w:gridSpan w:val="2"/>
          </w:tcPr>
          <w:p>
            <w:pPr>
              <w:jc w:val="right"/>
              <w:ind w:right="280"/>
              <w:spacing w:after="0" w:line="10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0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98,286</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978,695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1,624,567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100"/>
              <w:spacing w:after="0" w:line="135" w:lineRule="exact"/>
              <w:rPr>
                <w:sz w:val="20"/>
                <w:szCs w:val="20"/>
                <w:color w:val="auto"/>
              </w:rPr>
            </w:pPr>
            <w:r>
              <w:rPr>
                <w:rFonts w:ascii="Arial" w:cs="Arial" w:eastAsia="Arial" w:hAnsi="Arial"/>
                <w:sz w:val="11"/>
                <w:szCs w:val="11"/>
                <w:color w:val="auto"/>
              </w:rPr>
              <w:t xml:space="preserve">(Holdco Sands Intermediate, LLC) </w:t>
            </w:r>
            <w:r>
              <w:rPr>
                <w:rFonts w:ascii="Arial" w:cs="Arial" w:eastAsia="Arial" w:hAnsi="Arial"/>
                <w:sz w:val="14"/>
                <w:szCs w:val="14"/>
                <w:color w:val="auto"/>
                <w:vertAlign w:val="superscript"/>
              </w:rPr>
              <w:t>(9)</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Oral Surgery (ITC) Holdings, LLC </w:t>
            </w:r>
            <w:r>
              <w:rPr>
                <w:rFonts w:ascii="Arial" w:cs="Arial" w:eastAsia="Arial" w:hAnsi="Arial"/>
                <w:sz w:val="14"/>
                <w:szCs w:val="14"/>
                <w:color w:val="auto"/>
                <w:vertAlign w:val="superscript"/>
              </w:rPr>
              <w:t>(9)</w:t>
            </w:r>
          </w:p>
        </w:tc>
        <w:tc>
          <w:tcPr>
            <w:tcW w:w="12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2,904</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62,500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62,501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960" w:type="dxa"/>
            <w:vAlign w:val="bottom"/>
          </w:tcPr>
          <w:p>
            <w:pPr>
              <w:ind w:left="20"/>
              <w:spacing w:after="0" w:line="115" w:lineRule="exact"/>
              <w:rPr>
                <w:sz w:val="20"/>
                <w:szCs w:val="20"/>
                <w:color w:val="auto"/>
              </w:rPr>
            </w:pPr>
            <w:r>
              <w:rPr>
                <w:rFonts w:ascii="Arial" w:cs="Arial" w:eastAsia="Arial" w:hAnsi="Arial"/>
                <w:sz w:val="11"/>
                <w:szCs w:val="11"/>
                <w:color w:val="auto"/>
              </w:rPr>
              <w:t>ORL Holdco, Inc.</w:t>
            </w:r>
          </w:p>
        </w:tc>
        <w:tc>
          <w:tcPr>
            <w:tcW w:w="12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58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9"/>
                <w:szCs w:val="9"/>
                <w:color w:val="auto"/>
              </w:rPr>
            </w:pPr>
          </w:p>
        </w:tc>
        <w:tc>
          <w:tcPr>
            <w:tcW w:w="960" w:type="dxa"/>
            <w:vAlign w:val="bottom"/>
            <w:gridSpan w:val="2"/>
          </w:tcPr>
          <w:p>
            <w:pPr>
              <w:jc w:val="right"/>
              <w:ind w:right="280"/>
              <w:spacing w:after="0" w:line="115" w:lineRule="exact"/>
              <w:rPr>
                <w:sz w:val="20"/>
                <w:szCs w:val="20"/>
                <w:color w:val="auto"/>
              </w:rPr>
            </w:pPr>
            <w:r>
              <w:rPr>
                <w:rFonts w:ascii="Arial" w:cs="Arial" w:eastAsia="Arial" w:hAnsi="Arial"/>
                <w:sz w:val="11"/>
                <w:szCs w:val="11"/>
                <w:color w:val="auto"/>
              </w:rPr>
              <w:t>—</w:t>
            </w:r>
          </w:p>
        </w:tc>
        <w:tc>
          <w:tcPr>
            <w:tcW w:w="920" w:type="dxa"/>
            <w:vAlign w:val="bottom"/>
          </w:tcPr>
          <w:p>
            <w:pPr>
              <w:ind w:left="800"/>
              <w:spacing w:after="0" w:line="11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638</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6,385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6,385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65,957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365,036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(7),(9)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967</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2960" w:type="dxa"/>
            <w:vAlign w:val="bottom"/>
          </w:tcPr>
          <w:p>
            <w:pPr>
              <w:ind w:left="20"/>
              <w:spacing w:after="0"/>
              <w:rPr>
                <w:sz w:val="20"/>
                <w:szCs w:val="20"/>
                <w:color w:val="auto"/>
              </w:rPr>
            </w:pPr>
            <w:r>
              <w:rPr>
                <w:rFonts w:ascii="Arial" w:cs="Arial" w:eastAsia="Arial" w:hAnsi="Arial"/>
                <w:sz w:val="11"/>
                <w:szCs w:val="11"/>
                <w:color w:val="auto"/>
              </w:rPr>
              <w:t xml:space="preserve">QuantiTech InvestCo II LP </w:t>
            </w:r>
            <w:r>
              <w:rPr>
                <w:rFonts w:ascii="Arial" w:cs="Arial" w:eastAsia="Arial" w:hAnsi="Arial"/>
                <w:sz w:val="14"/>
                <w:szCs w:val="14"/>
                <w:color w:val="auto"/>
                <w:vertAlign w:val="superscript"/>
              </w:rPr>
              <w:t>(9)</w:t>
            </w:r>
          </w:p>
        </w:tc>
        <w:tc>
          <w:tcPr>
            <w:tcW w:w="12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Pr>
          <w:p>
            <w:pPr>
              <w:ind w:left="80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20,625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6537325</wp:posOffset>
            </wp:positionH>
            <wp:positionV relativeFrom="paragraph">
              <wp:posOffset>-5859780</wp:posOffset>
            </wp:positionV>
            <wp:extent cx="1714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-5859780</wp:posOffset>
            </wp:positionV>
            <wp:extent cx="2603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-5760085</wp:posOffset>
            </wp:positionV>
            <wp:extent cx="7132320" cy="857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-5417185</wp:posOffset>
            </wp:positionV>
            <wp:extent cx="7132320" cy="857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-5074285</wp:posOffset>
            </wp:positionV>
            <wp:extent cx="7132320" cy="857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-4813935</wp:posOffset>
            </wp:positionV>
            <wp:extent cx="1714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-4813935</wp:posOffset>
            </wp:positionV>
            <wp:extent cx="2603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-4714240</wp:posOffset>
            </wp:positionV>
            <wp:extent cx="7132320" cy="857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-4542790</wp:posOffset>
            </wp:positionV>
            <wp:extent cx="7132320" cy="857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-4371340</wp:posOffset>
            </wp:positionV>
            <wp:extent cx="7132320" cy="857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-4199890</wp:posOffset>
            </wp:positionV>
            <wp:extent cx="7132320" cy="857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-4028440</wp:posOffset>
            </wp:positionV>
            <wp:extent cx="7132320" cy="857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-3514090</wp:posOffset>
            </wp:positionV>
            <wp:extent cx="7132320" cy="857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-3342640</wp:posOffset>
            </wp:positionV>
            <wp:extent cx="7132320" cy="857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-3171190</wp:posOffset>
            </wp:positionV>
            <wp:extent cx="7132320" cy="857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-2999740</wp:posOffset>
            </wp:positionV>
            <wp:extent cx="7132320" cy="857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7132320" cy="857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-2399665</wp:posOffset>
            </wp:positionV>
            <wp:extent cx="7132320" cy="857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857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-1885315</wp:posOffset>
            </wp:positionV>
            <wp:extent cx="7132320" cy="857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1714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-1456690</wp:posOffset>
            </wp:positionV>
            <wp:extent cx="7132320" cy="857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857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857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857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57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57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57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Maturity /</w:t>
            </w:r>
          </w:p>
        </w:tc>
        <w:tc>
          <w:tcPr>
            <w:tcW w:w="1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1"/>
                <w:szCs w:val="11"/>
                <w:b w:val="1"/>
                <w:bCs w:val="1"/>
                <w:color w:val="auto"/>
              </w:rPr>
              <w:t>Current</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Par /</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5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Spread Above</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(3)</w:t>
            </w:r>
          </w:p>
        </w:tc>
        <w:tc>
          <w:tcPr>
            <w:tcW w:w="0" w:type="dxa"/>
            <w:vAlign w:val="bottom"/>
          </w:tcPr>
          <w:p>
            <w:pPr>
              <w:spacing w:after="0"/>
              <w:rPr>
                <w:sz w:val="1"/>
                <w:szCs w:val="1"/>
                <w:color w:val="auto"/>
              </w:rPr>
            </w:pPr>
          </w:p>
        </w:tc>
      </w:tr>
      <w:tr>
        <w:trPr>
          <w:trHeight w:val="148"/>
        </w:trPr>
        <w:tc>
          <w:tcPr>
            <w:tcW w:w="3080" w:type="dxa"/>
            <w:vAlign w:val="bottom"/>
            <w:gridSpan w:val="2"/>
            <w:vMerge w:val="continue"/>
          </w:tcPr>
          <w:p>
            <w:pPr>
              <w:spacing w:after="0"/>
              <w:rPr>
                <w:sz w:val="12"/>
                <w:szCs w:val="12"/>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180" w:type="dxa"/>
            <w:vAlign w:val="bottom"/>
          </w:tcPr>
          <w:p>
            <w:pPr>
              <w:spacing w:after="0"/>
              <w:rPr>
                <w:sz w:val="12"/>
                <w:szCs w:val="12"/>
                <w:color w:val="auto"/>
              </w:rPr>
            </w:pPr>
          </w:p>
        </w:tc>
        <w:tc>
          <w:tcPr>
            <w:tcW w:w="2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Coupon</w:t>
            </w:r>
          </w:p>
        </w:tc>
        <w:tc>
          <w:tcPr>
            <w:tcW w:w="94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66"/>
              <w:spacing w:after="0"/>
              <w:rPr>
                <w:sz w:val="20"/>
                <w:szCs w:val="20"/>
                <w:color w:val="auto"/>
              </w:rPr>
            </w:pPr>
            <w:r>
              <w:rPr>
                <w:rFonts w:ascii="Arial" w:cs="Arial" w:eastAsia="Arial" w:hAnsi="Arial"/>
                <w:sz w:val="11"/>
                <w:szCs w:val="11"/>
                <w:b w:val="1"/>
                <w:bCs w:val="1"/>
                <w:color w:val="auto"/>
                <w:w w:val="97"/>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96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1"/>
                <w:szCs w:val="11"/>
                <w:color w:val="auto"/>
              </w:rPr>
              <w:t>RFMG Parent, LP (Rancho Health MSO, Inc.)</w:t>
            </w:r>
          </w:p>
        </w:tc>
        <w:tc>
          <w:tcPr>
            <w:tcW w:w="120" w:type="dxa"/>
            <w:vAlign w:val="bottom"/>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CECFF"/>
          </w:tcPr>
          <w:p>
            <w:pPr>
              <w:spacing w:after="0"/>
              <w:rPr>
                <w:sz w:val="11"/>
                <w:szCs w:val="11"/>
                <w:color w:val="auto"/>
              </w:rPr>
            </w:pPr>
          </w:p>
        </w:tc>
        <w:tc>
          <w:tcPr>
            <w:tcW w:w="258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20" w:type="dxa"/>
            <w:vAlign w:val="bottom"/>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1,050,000</w:t>
            </w:r>
          </w:p>
        </w:tc>
        <w:tc>
          <w:tcPr>
            <w:tcW w:w="140" w:type="dxa"/>
            <w:vAlign w:val="bottom"/>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1,050,000</w:t>
            </w:r>
          </w:p>
        </w:tc>
        <w:tc>
          <w:tcPr>
            <w:tcW w:w="14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1,253,055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080" w:type="dxa"/>
            <w:vAlign w:val="bottom"/>
            <w:gridSpan w:val="2"/>
          </w:tcPr>
          <w:p>
            <w:pPr>
              <w:ind w:left="20"/>
              <w:spacing w:after="0" w:line="125" w:lineRule="exact"/>
              <w:rPr>
                <w:sz w:val="20"/>
                <w:szCs w:val="20"/>
                <w:color w:val="auto"/>
              </w:rPr>
            </w:pPr>
            <w:r>
              <w:rPr>
                <w:rFonts w:ascii="Arial" w:cs="Arial" w:eastAsia="Arial" w:hAnsi="Arial"/>
                <w:sz w:val="11"/>
                <w:szCs w:val="11"/>
                <w:color w:val="auto"/>
              </w:rPr>
              <w:t>SBI Holdings Investments LLC</w:t>
            </w:r>
          </w:p>
        </w:tc>
        <w:tc>
          <w:tcPr>
            <w:tcW w:w="640" w:type="dxa"/>
            <w:vAlign w:val="bottom"/>
          </w:tcPr>
          <w:p>
            <w:pPr>
              <w:ind w:left="520"/>
              <w:spacing w:after="0" w:line="12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0"/>
                <w:szCs w:val="10"/>
                <w:color w:val="auto"/>
              </w:rPr>
            </w:pPr>
          </w:p>
        </w:tc>
        <w:tc>
          <w:tcPr>
            <w:tcW w:w="258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0"/>
                <w:szCs w:val="10"/>
                <w:color w:val="auto"/>
              </w:rPr>
            </w:pPr>
          </w:p>
        </w:tc>
        <w:tc>
          <w:tcPr>
            <w:tcW w:w="960" w:type="dxa"/>
            <w:vAlign w:val="bottom"/>
            <w:gridSpan w:val="2"/>
          </w:tcPr>
          <w:p>
            <w:pPr>
              <w:jc w:val="right"/>
              <w:ind w:right="280"/>
              <w:spacing w:after="0" w:line="125" w:lineRule="exact"/>
              <w:rPr>
                <w:sz w:val="20"/>
                <w:szCs w:val="20"/>
                <w:color w:val="auto"/>
              </w:rPr>
            </w:pPr>
            <w:r>
              <w:rPr>
                <w:rFonts w:ascii="Arial" w:cs="Arial" w:eastAsia="Arial" w:hAnsi="Arial"/>
                <w:sz w:val="11"/>
                <w:szCs w:val="11"/>
                <w:color w:val="auto"/>
              </w:rPr>
              <w:t>—</w:t>
            </w:r>
          </w:p>
        </w:tc>
        <w:tc>
          <w:tcPr>
            <w:tcW w:w="9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36,585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1"/>
                <w:szCs w:val="11"/>
                <w:color w:val="auto"/>
              </w:rPr>
              <w:t>365,854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278,256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080" w:type="dxa"/>
            <w:vAlign w:val="bottom"/>
            <w:gridSpan w:val="2"/>
          </w:tcPr>
          <w:p>
            <w:pPr>
              <w:ind w:left="100"/>
              <w:spacing w:after="0"/>
              <w:rPr>
                <w:sz w:val="20"/>
                <w:szCs w:val="20"/>
                <w:color w:val="auto"/>
              </w:rPr>
            </w:pPr>
            <w:r>
              <w:rPr>
                <w:rFonts w:ascii="Arial" w:cs="Arial" w:eastAsia="Arial" w:hAnsi="Arial"/>
                <w:sz w:val="11"/>
                <w:szCs w:val="11"/>
                <w:color w:val="auto"/>
              </w:rPr>
              <w:t>(Sales Benchmark Index LLC)</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Signature CR Intermediate Holdco, Inc.</w:t>
            </w:r>
          </w:p>
        </w:tc>
        <w:tc>
          <w:tcPr>
            <w:tcW w:w="640" w:type="dxa"/>
            <w:vAlign w:val="bottom"/>
            <w:shd w:val="clear" w:color="auto" w:fill="CCECFF"/>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CECFF"/>
          </w:tcPr>
          <w:p>
            <w:pPr>
              <w:spacing w:after="0"/>
              <w:rPr>
                <w:sz w:val="12"/>
                <w:szCs w:val="12"/>
                <w:color w:val="auto"/>
              </w:rPr>
            </w:pPr>
          </w:p>
        </w:tc>
        <w:tc>
          <w:tcPr>
            <w:tcW w:w="2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w:t>
            </w:r>
          </w:p>
        </w:tc>
        <w:tc>
          <w:tcPr>
            <w:tcW w:w="1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80,370</w:t>
            </w: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3080" w:type="dxa"/>
            <w:vAlign w:val="bottom"/>
            <w:gridSpan w:val="2"/>
          </w:tcPr>
          <w:p>
            <w:pPr>
              <w:ind w:left="20"/>
              <w:spacing w:after="0" w:line="125" w:lineRule="exact"/>
              <w:rPr>
                <w:sz w:val="20"/>
                <w:szCs w:val="20"/>
                <w:color w:val="auto"/>
              </w:rPr>
            </w:pPr>
            <w:r>
              <w:rPr>
                <w:rFonts w:ascii="Arial" w:cs="Arial" w:eastAsia="Arial" w:hAnsi="Arial"/>
                <w:sz w:val="11"/>
                <w:szCs w:val="11"/>
                <w:color w:val="auto"/>
              </w:rPr>
              <w:t>SSC Dominion Holdings, LLC</w:t>
            </w:r>
          </w:p>
        </w:tc>
        <w:tc>
          <w:tcPr>
            <w:tcW w:w="640" w:type="dxa"/>
            <w:vAlign w:val="bottom"/>
          </w:tcPr>
          <w:p>
            <w:pPr>
              <w:ind w:left="520"/>
              <w:spacing w:after="0" w:line="12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0"/>
                <w:szCs w:val="10"/>
                <w:color w:val="auto"/>
              </w:rPr>
            </w:pPr>
          </w:p>
        </w:tc>
        <w:tc>
          <w:tcPr>
            <w:tcW w:w="2580" w:type="dxa"/>
            <w:vAlign w:val="bottom"/>
          </w:tcPr>
          <w:p>
            <w:pPr>
              <w:jc w:val="center"/>
              <w:spacing w:after="0" w:line="125" w:lineRule="exact"/>
              <w:rPr>
                <w:sz w:val="20"/>
                <w:szCs w:val="20"/>
                <w:color w:val="auto"/>
              </w:rPr>
            </w:pPr>
            <w:r>
              <w:rPr>
                <w:rFonts w:ascii="Arial" w:cs="Arial" w:eastAsia="Arial" w:hAnsi="Arial"/>
                <w:sz w:val="11"/>
                <w:szCs w:val="11"/>
                <w:color w:val="auto"/>
                <w:w w:val="89"/>
              </w:rPr>
              <w:t>Electronics</w:t>
            </w:r>
          </w:p>
        </w:tc>
        <w:tc>
          <w:tcPr>
            <w:tcW w:w="120" w:type="dxa"/>
            <w:vAlign w:val="bottom"/>
          </w:tcPr>
          <w:p>
            <w:pPr>
              <w:spacing w:after="0"/>
              <w:rPr>
                <w:sz w:val="10"/>
                <w:szCs w:val="10"/>
                <w:color w:val="auto"/>
              </w:rPr>
            </w:pPr>
          </w:p>
        </w:tc>
        <w:tc>
          <w:tcPr>
            <w:tcW w:w="960" w:type="dxa"/>
            <w:vAlign w:val="bottom"/>
            <w:gridSpan w:val="2"/>
          </w:tcPr>
          <w:p>
            <w:pPr>
              <w:jc w:val="right"/>
              <w:ind w:right="280"/>
              <w:spacing w:after="0" w:line="125" w:lineRule="exact"/>
              <w:rPr>
                <w:sz w:val="20"/>
                <w:szCs w:val="20"/>
                <w:color w:val="auto"/>
              </w:rPr>
            </w:pPr>
            <w:r>
              <w:rPr>
                <w:rFonts w:ascii="Arial" w:cs="Arial" w:eastAsia="Arial" w:hAnsi="Arial"/>
                <w:sz w:val="11"/>
                <w:szCs w:val="11"/>
                <w:color w:val="auto"/>
              </w:rPr>
              <w:t>—</w:t>
            </w:r>
          </w:p>
        </w:tc>
        <w:tc>
          <w:tcPr>
            <w:tcW w:w="9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1,500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1"/>
                <w:szCs w:val="11"/>
                <w:color w:val="auto"/>
              </w:rPr>
              <w:t>1,500,000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1,889,568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80" w:type="dxa"/>
            <w:vAlign w:val="bottom"/>
            <w:gridSpan w:val="2"/>
          </w:tcPr>
          <w:p>
            <w:pPr>
              <w:ind w:left="100"/>
              <w:spacing w:after="0"/>
              <w:rPr>
                <w:sz w:val="20"/>
                <w:szCs w:val="20"/>
                <w:color w:val="auto"/>
              </w:rPr>
            </w:pPr>
            <w:r>
              <w:rPr>
                <w:rFonts w:ascii="Arial" w:cs="Arial" w:eastAsia="Arial" w:hAnsi="Arial"/>
                <w:sz w:val="11"/>
                <w:szCs w:val="11"/>
                <w:color w:val="auto"/>
              </w:rPr>
              <w:t>Class A (US Dominion, Inc.)</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w:t>
            </w:r>
          </w:p>
        </w:tc>
        <w:tc>
          <w:tcPr>
            <w:tcW w:w="1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3,534,020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960" w:type="dxa"/>
            <w:vAlign w:val="bottom"/>
            <w:shd w:val="clear" w:color="auto" w:fill="CCECFF"/>
          </w:tcPr>
          <w:p>
            <w:pPr>
              <w:ind w:left="100"/>
              <w:spacing w:after="0"/>
              <w:rPr>
                <w:sz w:val="20"/>
                <w:szCs w:val="20"/>
                <w:color w:val="auto"/>
              </w:rPr>
            </w:pPr>
            <w:r>
              <w:rPr>
                <w:rFonts w:ascii="Arial" w:cs="Arial" w:eastAsia="Arial" w:hAnsi="Arial"/>
                <w:sz w:val="11"/>
                <w:szCs w:val="11"/>
                <w:color w:val="auto"/>
              </w:rPr>
              <w:t>Class B (US Dominion, Inc.)</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960" w:type="dxa"/>
            <w:vAlign w:val="bottom"/>
          </w:tcPr>
          <w:p>
            <w:pPr>
              <w:ind w:left="20"/>
              <w:spacing w:after="0" w:line="105" w:lineRule="exact"/>
              <w:rPr>
                <w:sz w:val="20"/>
                <w:szCs w:val="20"/>
                <w:color w:val="auto"/>
              </w:rPr>
            </w:pPr>
            <w:r>
              <w:rPr>
                <w:rFonts w:ascii="Arial" w:cs="Arial" w:eastAsia="Arial" w:hAnsi="Arial"/>
                <w:sz w:val="11"/>
                <w:szCs w:val="11"/>
                <w:color w:val="auto"/>
              </w:rPr>
              <w:t>StellPen Holdings, LLC (CF512, Inc.)</w:t>
            </w:r>
          </w:p>
        </w:tc>
        <w:tc>
          <w:tcPr>
            <w:tcW w:w="120" w:type="dxa"/>
            <w:vAlign w:val="bottom"/>
          </w:tcPr>
          <w:p>
            <w:pPr>
              <w:spacing w:after="0"/>
              <w:rPr>
                <w:sz w:val="9"/>
                <w:szCs w:val="9"/>
                <w:color w:val="auto"/>
              </w:rPr>
            </w:pPr>
          </w:p>
        </w:tc>
        <w:tc>
          <w:tcPr>
            <w:tcW w:w="640" w:type="dxa"/>
            <w:vAlign w:val="bottom"/>
          </w:tcPr>
          <w:p>
            <w:pPr>
              <w:ind w:left="520"/>
              <w:spacing w:after="0" w:line="10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58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9"/>
                <w:szCs w:val="9"/>
                <w:color w:val="auto"/>
              </w:rPr>
            </w:pPr>
          </w:p>
        </w:tc>
        <w:tc>
          <w:tcPr>
            <w:tcW w:w="960" w:type="dxa"/>
            <w:vAlign w:val="bottom"/>
            <w:gridSpan w:val="2"/>
          </w:tcPr>
          <w:p>
            <w:pPr>
              <w:jc w:val="right"/>
              <w:ind w:right="280"/>
              <w:spacing w:after="0" w:line="105" w:lineRule="exact"/>
              <w:rPr>
                <w:sz w:val="20"/>
                <w:szCs w:val="20"/>
                <w:color w:val="auto"/>
              </w:rPr>
            </w:pPr>
            <w:r>
              <w:rPr>
                <w:rFonts w:ascii="Arial" w:cs="Arial" w:eastAsia="Arial" w:hAnsi="Arial"/>
                <w:sz w:val="11"/>
                <w:szCs w:val="11"/>
                <w:color w:val="auto"/>
              </w:rPr>
              <w:t>—</w:t>
            </w:r>
          </w:p>
        </w:tc>
        <w:tc>
          <w:tcPr>
            <w:tcW w:w="94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5" w:lineRule="exact"/>
              <w:rPr>
                <w:sz w:val="20"/>
                <w:szCs w:val="20"/>
                <w:color w:val="auto"/>
              </w:rPr>
            </w:pPr>
            <w:r>
              <w:rPr>
                <w:rFonts w:ascii="Arial" w:cs="Arial" w:eastAsia="Arial" w:hAnsi="Arial"/>
                <w:sz w:val="11"/>
                <w:szCs w:val="11"/>
                <w:color w:val="auto"/>
              </w:rPr>
              <w:t>153,846</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spacing w:after="0" w:line="105" w:lineRule="exact"/>
              <w:rPr>
                <w:sz w:val="20"/>
                <w:szCs w:val="20"/>
                <w:color w:val="auto"/>
              </w:rPr>
            </w:pPr>
            <w:r>
              <w:rPr>
                <w:rFonts w:ascii="Arial" w:cs="Arial" w:eastAsia="Arial" w:hAnsi="Arial"/>
                <w:sz w:val="11"/>
                <w:szCs w:val="11"/>
                <w:color w:val="auto"/>
              </w:rPr>
              <w:t>153,846</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153,846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8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TAC LifePort Holdings, LLC </w:t>
            </w:r>
            <w:r>
              <w:rPr>
                <w:rFonts w:ascii="Arial" w:cs="Arial" w:eastAsia="Arial" w:hAnsi="Arial"/>
                <w:sz w:val="14"/>
                <w:szCs w:val="14"/>
                <w:color w:val="auto"/>
                <w:vertAlign w:val="superscript"/>
              </w:rPr>
              <w:t>(9)</w:t>
            </w: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232,558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232,554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259,757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80" w:type="dxa"/>
            <w:vAlign w:val="bottom"/>
            <w:gridSpan w:val="2"/>
          </w:tcPr>
          <w:p>
            <w:pPr>
              <w:ind w:left="20"/>
              <w:spacing w:after="0" w:line="155" w:lineRule="exact"/>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(8). (11)</w:t>
            </w: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7"/>
              </w:rPr>
              <w:t>Food</w:t>
            </w:r>
          </w:p>
        </w:tc>
        <w:tc>
          <w:tcPr>
            <w:tcW w:w="12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11,527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11,527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32,967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080" w:type="dxa"/>
            <w:vAlign w:val="bottom"/>
            <w:gridSpan w:val="2"/>
          </w:tcPr>
          <w:p>
            <w:pPr>
              <w:ind w:left="20"/>
              <w:spacing w:after="0" w:line="115" w:lineRule="exact"/>
              <w:rPr>
                <w:sz w:val="20"/>
                <w:szCs w:val="20"/>
                <w:color w:val="auto"/>
              </w:rPr>
            </w:pPr>
            <w:r>
              <w:rPr>
                <w:rFonts w:ascii="Arial" w:cs="Arial" w:eastAsia="Arial" w:hAnsi="Arial"/>
                <w:sz w:val="11"/>
                <w:szCs w:val="11"/>
                <w:color w:val="auto"/>
              </w:rPr>
              <w:t>TWD Parent Holdings, LLC (The Vertex Companies, LLC)</w:t>
            </w: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58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9"/>
                <w:szCs w:val="9"/>
                <w:color w:val="auto"/>
              </w:rPr>
            </w:pPr>
          </w:p>
        </w:tc>
        <w:tc>
          <w:tcPr>
            <w:tcW w:w="960" w:type="dxa"/>
            <w:vAlign w:val="bottom"/>
            <w:gridSpan w:val="2"/>
          </w:tcPr>
          <w:p>
            <w:pPr>
              <w:jc w:val="right"/>
              <w:ind w:right="280"/>
              <w:spacing w:after="0" w:line="115" w:lineRule="exact"/>
              <w:rPr>
                <w:sz w:val="20"/>
                <w:szCs w:val="20"/>
                <w:color w:val="auto"/>
              </w:rPr>
            </w:pPr>
            <w:r>
              <w:rPr>
                <w:rFonts w:ascii="Arial" w:cs="Arial" w:eastAsia="Arial" w:hAnsi="Arial"/>
                <w:sz w:val="11"/>
                <w:szCs w:val="11"/>
                <w:color w:val="auto"/>
              </w:rPr>
              <w:t>—</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608</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608</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608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080" w:type="dxa"/>
            <w:vAlign w:val="bottom"/>
            <w:gridSpan w:val="2"/>
          </w:tcPr>
          <w:p>
            <w:pPr>
              <w:ind w:left="20"/>
              <w:spacing w:after="0"/>
              <w:rPr>
                <w:sz w:val="20"/>
                <w:szCs w:val="20"/>
                <w:color w:val="auto"/>
              </w:rPr>
            </w:pPr>
            <w:r>
              <w:rPr>
                <w:rFonts w:ascii="Arial" w:cs="Arial" w:eastAsia="Arial" w:hAnsi="Arial"/>
                <w:sz w:val="11"/>
                <w:szCs w:val="11"/>
                <w:color w:val="auto"/>
              </w:rPr>
              <w:t xml:space="preserve">U.S. Well Services, Inc. - Class A </w:t>
            </w:r>
            <w:r>
              <w:rPr>
                <w:rFonts w:ascii="Arial" w:cs="Arial" w:eastAsia="Arial" w:hAnsi="Arial"/>
                <w:sz w:val="14"/>
                <w:szCs w:val="14"/>
                <w:color w:val="auto"/>
                <w:vertAlign w:val="superscript"/>
              </w:rPr>
              <w:t>(5), (11)</w:t>
            </w: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9"/>
              </w:rPr>
              <w:t>Oil and Gas</w:t>
            </w:r>
          </w:p>
        </w:tc>
        <w:tc>
          <w:tcPr>
            <w:tcW w:w="12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1,261,201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3,021,880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914,497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UniVista Insurance</w:t>
            </w:r>
          </w:p>
        </w:tc>
        <w:tc>
          <w:tcPr>
            <w:tcW w:w="640" w:type="dxa"/>
            <w:vAlign w:val="bottom"/>
            <w:shd w:val="clear" w:color="auto" w:fill="CCECFF"/>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400</w:t>
            </w:r>
          </w:p>
        </w:tc>
        <w:tc>
          <w:tcPr>
            <w:tcW w:w="1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400,000</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405,264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080" w:type="dxa"/>
            <w:vAlign w:val="bottom"/>
            <w:gridSpan w:val="2"/>
          </w:tcPr>
          <w:p>
            <w:pPr>
              <w:ind w:left="20"/>
              <w:spacing w:after="0" w:line="125" w:lineRule="exact"/>
              <w:rPr>
                <w:sz w:val="20"/>
                <w:szCs w:val="20"/>
                <w:color w:val="auto"/>
              </w:rPr>
            </w:pPr>
            <w:r>
              <w:rPr>
                <w:rFonts w:ascii="Arial" w:cs="Arial" w:eastAsia="Arial" w:hAnsi="Arial"/>
                <w:sz w:val="11"/>
                <w:szCs w:val="11"/>
                <w:color w:val="auto"/>
              </w:rPr>
              <w:t>Wildcat Parent, LP (Wildcat Buyerco, Inc.)</w:t>
            </w:r>
          </w:p>
        </w:tc>
        <w:tc>
          <w:tcPr>
            <w:tcW w:w="640" w:type="dxa"/>
            <w:vAlign w:val="bottom"/>
          </w:tcPr>
          <w:p>
            <w:pPr>
              <w:ind w:left="520"/>
              <w:spacing w:after="0" w:line="12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0"/>
                <w:szCs w:val="10"/>
                <w:color w:val="auto"/>
              </w:rPr>
            </w:pPr>
          </w:p>
        </w:tc>
        <w:tc>
          <w:tcPr>
            <w:tcW w:w="2580" w:type="dxa"/>
            <w:vAlign w:val="bottom"/>
          </w:tcPr>
          <w:p>
            <w:pPr>
              <w:jc w:val="center"/>
              <w:spacing w:after="0" w:line="125" w:lineRule="exact"/>
              <w:rPr>
                <w:sz w:val="20"/>
                <w:szCs w:val="20"/>
                <w:color w:val="auto"/>
              </w:rPr>
            </w:pPr>
            <w:r>
              <w:rPr>
                <w:rFonts w:ascii="Arial" w:cs="Arial" w:eastAsia="Arial" w:hAnsi="Arial"/>
                <w:sz w:val="11"/>
                <w:szCs w:val="11"/>
                <w:color w:val="auto"/>
                <w:w w:val="89"/>
              </w:rPr>
              <w:t>Electronics</w:t>
            </w:r>
          </w:p>
        </w:tc>
        <w:tc>
          <w:tcPr>
            <w:tcW w:w="120" w:type="dxa"/>
            <w:vAlign w:val="bottom"/>
          </w:tcPr>
          <w:p>
            <w:pPr>
              <w:spacing w:after="0"/>
              <w:rPr>
                <w:sz w:val="10"/>
                <w:szCs w:val="10"/>
                <w:color w:val="auto"/>
              </w:rPr>
            </w:pPr>
          </w:p>
        </w:tc>
        <w:tc>
          <w:tcPr>
            <w:tcW w:w="960" w:type="dxa"/>
            <w:vAlign w:val="bottom"/>
            <w:gridSpan w:val="2"/>
          </w:tcPr>
          <w:p>
            <w:pPr>
              <w:jc w:val="right"/>
              <w:ind w:right="280"/>
              <w:spacing w:after="0" w:line="125" w:lineRule="exact"/>
              <w:rPr>
                <w:sz w:val="20"/>
                <w:szCs w:val="20"/>
                <w:color w:val="auto"/>
              </w:rPr>
            </w:pPr>
            <w:r>
              <w:rPr>
                <w:rFonts w:ascii="Arial" w:cs="Arial" w:eastAsia="Arial" w:hAnsi="Arial"/>
                <w:sz w:val="11"/>
                <w:szCs w:val="11"/>
                <w:color w:val="auto"/>
              </w:rPr>
              <w:t>—</w:t>
            </w:r>
          </w:p>
        </w:tc>
        <w:tc>
          <w:tcPr>
            <w:tcW w:w="9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25" w:lineRule="exact"/>
              <w:rPr>
                <w:sz w:val="20"/>
                <w:szCs w:val="20"/>
                <w:color w:val="auto"/>
              </w:rPr>
            </w:pPr>
            <w:r>
              <w:rPr>
                <w:rFonts w:ascii="Arial" w:cs="Arial" w:eastAsia="Arial" w:hAnsi="Arial"/>
                <w:sz w:val="11"/>
                <w:szCs w:val="11"/>
                <w:color w:val="auto"/>
              </w:rPr>
              <w:t>2,314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1"/>
                <w:szCs w:val="11"/>
                <w:color w:val="auto"/>
              </w:rPr>
              <w:t>231,400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411,287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60" w:type="dxa"/>
            <w:vAlign w:val="bottom"/>
            <w:shd w:val="clear" w:color="auto" w:fill="CCECFF"/>
          </w:tcPr>
          <w:p>
            <w:pPr>
              <w:ind w:left="20"/>
              <w:spacing w:after="0" w:line="115" w:lineRule="exact"/>
              <w:rPr>
                <w:sz w:val="20"/>
                <w:szCs w:val="20"/>
                <w:color w:val="auto"/>
              </w:rPr>
            </w:pPr>
            <w:r>
              <w:rPr>
                <w:rFonts w:ascii="Arial" w:cs="Arial" w:eastAsia="Arial" w:hAnsi="Arial"/>
                <w:sz w:val="11"/>
                <w:szCs w:val="11"/>
                <w:color w:val="auto"/>
              </w:rPr>
              <w:t>ZS Juniper L.P.</w:t>
            </w:r>
          </w:p>
        </w:tc>
        <w:tc>
          <w:tcPr>
            <w:tcW w:w="120" w:type="dxa"/>
            <w:vAlign w:val="bottom"/>
          </w:tcPr>
          <w:p>
            <w:pPr>
              <w:spacing w:after="0"/>
              <w:rPr>
                <w:sz w:val="9"/>
                <w:szCs w:val="9"/>
                <w:color w:val="auto"/>
              </w:rPr>
            </w:pP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580" w:type="dxa"/>
            <w:vAlign w:val="bottom"/>
          </w:tcPr>
          <w:p>
            <w:pPr>
              <w:jc w:val="center"/>
              <w:spacing w:after="0" w:line="115" w:lineRule="exact"/>
              <w:rPr>
                <w:sz w:val="20"/>
                <w:szCs w:val="20"/>
                <w:color w:val="auto"/>
              </w:rPr>
            </w:pPr>
            <w:r>
              <w:rPr>
                <w:rFonts w:ascii="Arial" w:cs="Arial" w:eastAsia="Arial" w:hAnsi="Arial"/>
                <w:sz w:val="11"/>
                <w:szCs w:val="11"/>
                <w:color w:val="auto"/>
                <w:w w:val="87"/>
              </w:rPr>
              <w:t>Personal, Food and Miscellaneous Services</w:t>
            </w:r>
          </w:p>
        </w:tc>
        <w:tc>
          <w:tcPr>
            <w:tcW w:w="120" w:type="dxa"/>
            <w:vAlign w:val="bottom"/>
          </w:tcPr>
          <w:p>
            <w:pPr>
              <w:spacing w:after="0"/>
              <w:rPr>
                <w:sz w:val="9"/>
                <w:szCs w:val="9"/>
                <w:color w:val="auto"/>
              </w:rPr>
            </w:pPr>
          </w:p>
        </w:tc>
        <w:tc>
          <w:tcPr>
            <w:tcW w:w="960" w:type="dxa"/>
            <w:vAlign w:val="bottom"/>
            <w:gridSpan w:val="2"/>
          </w:tcPr>
          <w:p>
            <w:pPr>
              <w:jc w:val="right"/>
              <w:ind w:right="280"/>
              <w:spacing w:after="0" w:line="115" w:lineRule="exact"/>
              <w:rPr>
                <w:sz w:val="20"/>
                <w:szCs w:val="20"/>
                <w:color w:val="auto"/>
              </w:rPr>
            </w:pPr>
            <w:r>
              <w:rPr>
                <w:rFonts w:ascii="Arial" w:cs="Arial" w:eastAsia="Arial" w:hAnsi="Arial"/>
                <w:sz w:val="11"/>
                <w:szCs w:val="11"/>
                <w:color w:val="auto"/>
              </w:rPr>
              <w:t>—</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1,056</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1,056,250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5,226,979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960" w:type="dxa"/>
            <w:vAlign w:val="bottom"/>
            <w:vMerge w:val="restart"/>
            <w:shd w:val="clear" w:color="auto" w:fill="CCECFF"/>
          </w:tcPr>
          <w:p>
            <w:pPr>
              <w:ind w:left="100"/>
              <w:spacing w:after="0"/>
              <w:rPr>
                <w:sz w:val="20"/>
                <w:szCs w:val="20"/>
                <w:color w:val="auto"/>
              </w:rPr>
            </w:pPr>
            <w:r>
              <w:rPr>
                <w:rFonts w:ascii="Arial" w:cs="Arial" w:eastAsia="Arial" w:hAnsi="Arial"/>
                <w:sz w:val="11"/>
                <w:szCs w:val="11"/>
                <w:color w:val="auto"/>
              </w:rPr>
              <w:t xml:space="preserve">(Juniper Landscaping of Florida, LLC) </w:t>
            </w:r>
            <w:r>
              <w:rPr>
                <w:rFonts w:ascii="Arial" w:cs="Arial" w:eastAsia="Arial" w:hAnsi="Arial"/>
                <w:sz w:val="14"/>
                <w:szCs w:val="14"/>
                <w:color w:val="auto"/>
                <w:vertAlign w:val="superscript"/>
              </w:rPr>
              <w:t>(9)</w:t>
            </w: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960" w:type="dxa"/>
            <w:vAlign w:val="bottom"/>
            <w:tcBorders>
              <w:bottom w:val="single" w:sz="8" w:color="CCECFF"/>
            </w:tcBorders>
            <w:vMerge w:val="continue"/>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5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spacing w:after="0"/>
              <w:rPr>
                <w:sz w:val="11"/>
                <w:szCs w:val="11"/>
                <w:color w:val="auto"/>
              </w:rPr>
            </w:pP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Pr>
          <w:p>
            <w:pPr>
              <w:ind w:left="20"/>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35,535,722</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118,981,523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720" w:type="dxa"/>
            <w:vAlign w:val="bottom"/>
            <w:gridSpan w:val="3"/>
          </w:tcPr>
          <w:p>
            <w:pPr>
              <w:ind w:left="20"/>
              <w:spacing w:after="0" w:line="110" w:lineRule="exact"/>
              <w:rPr>
                <w:sz w:val="20"/>
                <w:szCs w:val="20"/>
                <w:color w:val="auto"/>
              </w:rPr>
            </w:pPr>
            <w:r>
              <w:rPr>
                <w:rFonts w:ascii="Arial" w:cs="Arial" w:eastAsia="Arial" w:hAnsi="Arial"/>
                <w:sz w:val="11"/>
                <w:szCs w:val="11"/>
                <w:b w:val="1"/>
                <w:bCs w:val="1"/>
                <w:color w:val="auto"/>
                <w:w w:val="97"/>
              </w:rPr>
              <w:t>Total Investments in Non-Controlled, Non-Affiliated Portfolio Companies</w:t>
            </w:r>
          </w:p>
        </w:tc>
        <w:tc>
          <w:tcPr>
            <w:tcW w:w="1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729,811,369</w:t>
            </w: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820,500,111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720" w:type="dxa"/>
            <w:vAlign w:val="bottom"/>
            <w:gridSpan w:val="3"/>
          </w:tcPr>
          <w:p>
            <w:pPr>
              <w:ind w:left="20"/>
              <w:spacing w:after="0" w:line="103" w:lineRule="exact"/>
              <w:rPr>
                <w:sz w:val="20"/>
                <w:szCs w:val="20"/>
                <w:color w:val="auto"/>
              </w:rPr>
            </w:pPr>
            <w:r>
              <w:rPr>
                <w:rFonts w:ascii="Arial" w:cs="Arial" w:eastAsia="Arial" w:hAnsi="Arial"/>
                <w:sz w:val="9"/>
                <w:szCs w:val="9"/>
                <w:b w:val="1"/>
                <w:bCs w:val="1"/>
                <w:color w:val="auto"/>
              </w:rPr>
              <w:t xml:space="preserve">Investments in Non-Controlled, Affiliated Portfolio Companies—7.6% </w:t>
            </w:r>
            <w:r>
              <w:rPr>
                <w:rFonts w:ascii="Arial" w:cs="Arial" w:eastAsia="Arial" w:hAnsi="Arial"/>
                <w:sz w:val="11"/>
                <w:szCs w:val="11"/>
                <w:b w:val="1"/>
                <w:bCs w:val="1"/>
                <w:color w:val="auto"/>
                <w:vertAlign w:val="superscript"/>
              </w:rPr>
              <w:t>(1), (2)</w:t>
            </w:r>
          </w:p>
        </w:tc>
        <w:tc>
          <w:tcPr>
            <w:tcW w:w="1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080" w:type="dxa"/>
            <w:vAlign w:val="bottom"/>
            <w:gridSpan w:val="2"/>
          </w:tcPr>
          <w:p>
            <w:pPr>
              <w:ind w:left="20"/>
              <w:spacing w:after="0" w:line="137" w:lineRule="exact"/>
              <w:rPr>
                <w:sz w:val="20"/>
                <w:szCs w:val="20"/>
                <w:color w:val="auto"/>
              </w:rPr>
            </w:pPr>
            <w:r>
              <w:rPr>
                <w:rFonts w:ascii="Arial" w:cs="Arial" w:eastAsia="Arial" w:hAnsi="Arial"/>
                <w:sz w:val="11"/>
                <w:szCs w:val="11"/>
                <w:b w:val="1"/>
                <w:bCs w:val="1"/>
                <w:color w:val="auto"/>
              </w:rPr>
              <w:t xml:space="preserve">Preferred Equity/Partnership Interests—6.2% </w:t>
            </w:r>
            <w:r>
              <w:rPr>
                <w:rFonts w:ascii="Arial" w:cs="Arial" w:eastAsia="Arial" w:hAnsi="Arial"/>
                <w:sz w:val="14"/>
                <w:szCs w:val="14"/>
                <w:b w:val="1"/>
                <w:bCs w:val="1"/>
                <w:color w:val="auto"/>
                <w:vertAlign w:val="superscript"/>
              </w:rPr>
              <w:t>(6)</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ETX Energy, LLC </w:t>
            </w:r>
            <w:r>
              <w:rPr>
                <w:rFonts w:ascii="Arial" w:cs="Arial" w:eastAsia="Arial" w:hAnsi="Arial"/>
                <w:sz w:val="14"/>
                <w:szCs w:val="14"/>
                <w:color w:val="auto"/>
                <w:vertAlign w:val="superscript"/>
              </w:rPr>
              <w:t>(9)</w:t>
            </w: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9"/>
              </w:rPr>
              <w:t>Oil and Gas</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61,732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6,173,200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3080" w:type="dxa"/>
            <w:vAlign w:val="bottom"/>
            <w:gridSpan w:val="2"/>
          </w:tcPr>
          <w:p>
            <w:pPr>
              <w:ind w:left="20"/>
              <w:spacing w:after="0" w:line="155" w:lineRule="exact"/>
              <w:rPr>
                <w:sz w:val="20"/>
                <w:szCs w:val="20"/>
                <w:color w:val="auto"/>
              </w:rPr>
            </w:pPr>
            <w:r>
              <w:rPr>
                <w:rFonts w:ascii="Arial" w:cs="Arial" w:eastAsia="Arial" w:hAnsi="Arial"/>
                <w:sz w:val="11"/>
                <w:szCs w:val="11"/>
                <w:color w:val="auto"/>
              </w:rPr>
              <w:t xml:space="preserve">ETX Energy, LLC - Series X </w:t>
            </w:r>
            <w:r>
              <w:rPr>
                <w:rFonts w:ascii="Arial" w:cs="Arial" w:eastAsia="Arial" w:hAnsi="Arial"/>
                <w:sz w:val="14"/>
                <w:szCs w:val="14"/>
                <w:color w:val="auto"/>
                <w:vertAlign w:val="superscript"/>
              </w:rPr>
              <w:t>(9)</w:t>
            </w: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9"/>
              </w:rPr>
              <w:t>Oil and Gas</w:t>
            </w:r>
          </w:p>
        </w:tc>
        <w:tc>
          <w:tcPr>
            <w:tcW w:w="12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10,944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1,094,400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3080" w:type="dxa"/>
            <w:vAlign w:val="bottom"/>
            <w:gridSpan w:val="2"/>
          </w:tcPr>
          <w:p>
            <w:pPr>
              <w:ind w:left="20"/>
              <w:spacing w:after="0"/>
              <w:rPr>
                <w:sz w:val="20"/>
                <w:szCs w:val="20"/>
                <w:color w:val="auto"/>
              </w:rPr>
            </w:pPr>
            <w:r>
              <w:rPr>
                <w:rFonts w:ascii="Arial" w:cs="Arial" w:eastAsia="Arial" w:hAnsi="Arial"/>
                <w:sz w:val="11"/>
                <w:szCs w:val="11"/>
                <w:color w:val="auto"/>
              </w:rPr>
              <w:t>MidOcean JF Holdings Corp.</w:t>
            </w: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2"/>
                <w:szCs w:val="12"/>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2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153,922</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15,392,189</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41,022,520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080" w:type="dxa"/>
            <w:vAlign w:val="bottom"/>
            <w:gridSpan w:val="2"/>
          </w:tcPr>
          <w:p>
            <w:pPr>
              <w:ind w:left="20"/>
              <w:spacing w:after="0" w:line="110" w:lineRule="exact"/>
              <w:rPr>
                <w:sz w:val="20"/>
                <w:szCs w:val="20"/>
                <w:color w:val="auto"/>
              </w:rPr>
            </w:pPr>
            <w:r>
              <w:rPr>
                <w:rFonts w:ascii="Arial" w:cs="Arial" w:eastAsia="Arial" w:hAnsi="Arial"/>
                <w:sz w:val="11"/>
                <w:szCs w:val="11"/>
                <w:b w:val="1"/>
                <w:bCs w:val="1"/>
                <w:color w:val="auto"/>
              </w:rPr>
              <w:t>Total Preferred Equity/Partnership Interests</w:t>
            </w: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22,659,789</w:t>
            </w: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41,022,520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080" w:type="dxa"/>
            <w:vAlign w:val="bottom"/>
            <w:gridSpan w:val="2"/>
          </w:tcPr>
          <w:p>
            <w:pPr>
              <w:ind w:left="20"/>
              <w:spacing w:after="0" w:line="105" w:lineRule="exact"/>
              <w:rPr>
                <w:sz w:val="20"/>
                <w:szCs w:val="20"/>
                <w:color w:val="auto"/>
              </w:rPr>
            </w:pPr>
            <w:r>
              <w:rPr>
                <w:rFonts w:ascii="Arial" w:cs="Arial" w:eastAsia="Arial" w:hAnsi="Arial"/>
                <w:sz w:val="9"/>
                <w:szCs w:val="9"/>
                <w:b w:val="1"/>
                <w:bCs w:val="1"/>
                <w:color w:val="auto"/>
              </w:rPr>
              <w:t xml:space="preserve">Common Equity/Partnership Interests/Warrants—1.4% </w:t>
            </w:r>
            <w:r>
              <w:rPr>
                <w:rFonts w:ascii="Arial" w:cs="Arial" w:eastAsia="Arial" w:hAnsi="Arial"/>
                <w:sz w:val="12"/>
                <w:szCs w:val="12"/>
                <w:b w:val="1"/>
                <w:bCs w:val="1"/>
                <w:color w:val="auto"/>
                <w:vertAlign w:val="superscript"/>
              </w:rPr>
              <w:t>(6)</w:t>
            </w: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80" w:type="dxa"/>
            <w:vAlign w:val="bottom"/>
            <w:gridSpan w:val="2"/>
          </w:tcPr>
          <w:p>
            <w:pPr>
              <w:ind w:left="20"/>
              <w:spacing w:after="0" w:line="155" w:lineRule="exact"/>
              <w:rPr>
                <w:sz w:val="20"/>
                <w:szCs w:val="20"/>
                <w:color w:val="auto"/>
              </w:rPr>
            </w:pPr>
            <w:r>
              <w:rPr>
                <w:rFonts w:ascii="Arial" w:cs="Arial" w:eastAsia="Arial" w:hAnsi="Arial"/>
                <w:sz w:val="11"/>
                <w:szCs w:val="11"/>
                <w:color w:val="auto"/>
              </w:rPr>
              <w:t xml:space="preserve">ETX Energy, LLC </w:t>
            </w:r>
            <w:r>
              <w:rPr>
                <w:rFonts w:ascii="Arial" w:cs="Arial" w:eastAsia="Arial" w:hAnsi="Arial"/>
                <w:sz w:val="14"/>
                <w:szCs w:val="14"/>
                <w:color w:val="auto"/>
                <w:vertAlign w:val="superscript"/>
              </w:rPr>
              <w:t>(9)</w:t>
            </w: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9"/>
              </w:rPr>
              <w:t>Oil and Gas</w:t>
            </w:r>
          </w:p>
        </w:tc>
        <w:tc>
          <w:tcPr>
            <w:tcW w:w="12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1,658,389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29,711,576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3080" w:type="dxa"/>
            <w:vAlign w:val="bottom"/>
            <w:gridSpan w:val="2"/>
          </w:tcPr>
          <w:p>
            <w:pPr>
              <w:ind w:left="20"/>
              <w:spacing w:after="0"/>
              <w:rPr>
                <w:sz w:val="20"/>
                <w:szCs w:val="20"/>
                <w:color w:val="auto"/>
              </w:rPr>
            </w:pPr>
            <w:r>
              <w:rPr>
                <w:rFonts w:ascii="Arial" w:cs="Arial" w:eastAsia="Arial" w:hAnsi="Arial"/>
                <w:sz w:val="11"/>
                <w:szCs w:val="11"/>
                <w:color w:val="auto"/>
              </w:rPr>
              <w:t>ETX Energy Management Company, LLC</w:t>
            </w: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2"/>
                <w:szCs w:val="12"/>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9"/>
              </w:rPr>
              <w:t>Oil and Gas</w:t>
            </w:r>
          </w:p>
        </w:tc>
        <w:tc>
          <w:tcPr>
            <w:tcW w:w="12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1,754,104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1,562,020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30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color w:val="auto"/>
              </w:rPr>
              <w:t>MidOcean JF Holdings Corp.</w:t>
            </w:r>
          </w:p>
        </w:tc>
        <w:tc>
          <w:tcPr>
            <w:tcW w:w="640" w:type="dxa"/>
            <w:vAlign w:val="bottom"/>
            <w:tcBorders>
              <w:bottom w:val="single" w:sz="8" w:color="CCECFF"/>
            </w:tcBorders>
            <w:shd w:val="clear" w:color="auto" w:fill="CCECFF"/>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Borders>
              <w:bottom w:val="single" w:sz="8" w:color="CCECFF"/>
            </w:tcBorders>
            <w:shd w:val="clear" w:color="auto" w:fill="CCECFF"/>
          </w:tcPr>
          <w:p>
            <w:pPr>
              <w:spacing w:after="0"/>
              <w:rPr>
                <w:sz w:val="12"/>
                <w:szCs w:val="12"/>
                <w:color w:val="auto"/>
              </w:rPr>
            </w:pPr>
          </w:p>
        </w:tc>
        <w:tc>
          <w:tcPr>
            <w:tcW w:w="258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94"/>
              </w:rPr>
              <w:t>Distribution</w:t>
            </w:r>
          </w:p>
        </w:tc>
        <w:tc>
          <w:tcPr>
            <w:tcW w:w="120" w:type="dxa"/>
            <w:vAlign w:val="bottom"/>
            <w:tcBorders>
              <w:bottom w:val="single" w:sz="8" w:color="CCECFF"/>
            </w:tcBorders>
            <w:shd w:val="clear" w:color="auto" w:fill="CCECFF"/>
          </w:tcPr>
          <w:p>
            <w:pPr>
              <w:spacing w:after="0"/>
              <w:rPr>
                <w:sz w:val="12"/>
                <w:szCs w:val="12"/>
                <w:color w:val="auto"/>
              </w:rPr>
            </w:pPr>
          </w:p>
        </w:tc>
        <w:tc>
          <w:tcPr>
            <w:tcW w:w="960" w:type="dxa"/>
            <w:vAlign w:val="bottom"/>
            <w:tcBorders>
              <w:bottom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65,933</w:t>
            </w:r>
          </w:p>
        </w:tc>
        <w:tc>
          <w:tcPr>
            <w:tcW w:w="14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24,789,935</w:t>
            </w: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9,138,871</w:t>
            </w:r>
          </w:p>
        </w:tc>
        <w:tc>
          <w:tcPr>
            <w:tcW w:w="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8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56,063,531</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9,138,871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720" w:type="dxa"/>
            <w:vAlign w:val="bottom"/>
            <w:gridSpan w:val="3"/>
          </w:tcPr>
          <w:p>
            <w:pPr>
              <w:ind w:left="20"/>
              <w:spacing w:after="0" w:line="110" w:lineRule="exact"/>
              <w:rPr>
                <w:sz w:val="20"/>
                <w:szCs w:val="20"/>
                <w:color w:val="auto"/>
              </w:rPr>
            </w:pPr>
            <w:r>
              <w:rPr>
                <w:rFonts w:ascii="Arial" w:cs="Arial" w:eastAsia="Arial" w:hAnsi="Arial"/>
                <w:sz w:val="11"/>
                <w:szCs w:val="11"/>
                <w:b w:val="1"/>
                <w:bCs w:val="1"/>
                <w:color w:val="auto"/>
              </w:rPr>
              <w:t>Total Investments in Non-Controlled, Affiliated Portfolio Companies</w:t>
            </w:r>
          </w:p>
        </w:tc>
        <w:tc>
          <w:tcPr>
            <w:tcW w:w="1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78,723,320</w:t>
            </w: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50,161,391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2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w w:val="98"/>
              </w:rPr>
              <w:t xml:space="preserve">Investments in Controlled, Affiliated Portfolio Companies—58.3% </w:t>
            </w:r>
            <w:r>
              <w:rPr>
                <w:rFonts w:ascii="Arial" w:cs="Arial" w:eastAsia="Arial" w:hAnsi="Arial"/>
                <w:sz w:val="14"/>
                <w:szCs w:val="14"/>
                <w:b w:val="1"/>
                <w:bCs w:val="1"/>
                <w:color w:val="auto"/>
                <w:w w:val="98"/>
                <w:vertAlign w:val="superscript"/>
              </w:rPr>
              <w:t>(1), (2)</w:t>
            </w:r>
          </w:p>
        </w:tc>
        <w:tc>
          <w:tcPr>
            <w:tcW w:w="1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0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First Lien Secured Debt—6.2%</w:t>
            </w: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080" w:type="dxa"/>
            <w:vAlign w:val="bottom"/>
            <w:gridSpan w:val="2"/>
          </w:tcPr>
          <w:p>
            <w:pPr>
              <w:ind w:left="20"/>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14"/>
                <w:szCs w:val="14"/>
                <w:color w:val="auto"/>
                <w:vertAlign w:val="superscript"/>
              </w:rPr>
              <w:t>(8), (10), (11)</w:t>
            </w:r>
          </w:p>
        </w:tc>
        <w:tc>
          <w:tcPr>
            <w:tcW w:w="640" w:type="dxa"/>
            <w:vAlign w:val="bottom"/>
          </w:tcPr>
          <w:p>
            <w:pPr>
              <w:ind w:left="80"/>
              <w:spacing w:after="0"/>
              <w:rPr>
                <w:sz w:val="20"/>
                <w:szCs w:val="20"/>
                <w:color w:val="auto"/>
              </w:rPr>
            </w:pPr>
            <w:r>
              <w:rPr>
                <w:rFonts w:ascii="Arial" w:cs="Arial" w:eastAsia="Arial" w:hAnsi="Arial"/>
                <w:sz w:val="11"/>
                <w:szCs w:val="11"/>
                <w:color w:val="auto"/>
                <w:w w:val="98"/>
              </w:rPr>
              <w:t>03/13/2024</w:t>
            </w:r>
          </w:p>
        </w:tc>
        <w:tc>
          <w:tcPr>
            <w:tcW w:w="18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080" w:type="dxa"/>
            <w:vAlign w:val="bottom"/>
            <w:gridSpan w:val="3"/>
          </w:tcPr>
          <w:p>
            <w:pPr>
              <w:jc w:val="right"/>
              <w:ind w:right="160"/>
              <w:spacing w:after="0"/>
              <w:rPr>
                <w:sz w:val="20"/>
                <w:szCs w:val="20"/>
                <w:color w:val="auto"/>
              </w:rPr>
            </w:pPr>
            <w:r>
              <w:rPr>
                <w:rFonts w:ascii="Arial" w:cs="Arial" w:eastAsia="Arial" w:hAnsi="Arial"/>
                <w:sz w:val="11"/>
                <w:szCs w:val="11"/>
                <w:color w:val="auto"/>
              </w:rPr>
              <w:t>7.50 %</w:t>
            </w:r>
          </w:p>
        </w:tc>
        <w:tc>
          <w:tcPr>
            <w:tcW w:w="940" w:type="dxa"/>
            <w:vAlign w:val="bottom"/>
          </w:tcPr>
          <w:p>
            <w:pPr>
              <w:jc w:val="right"/>
              <w:spacing w:after="0"/>
              <w:rPr>
                <w:sz w:val="20"/>
                <w:szCs w:val="20"/>
                <w:color w:val="auto"/>
              </w:rPr>
            </w:pPr>
            <w:r>
              <w:rPr>
                <w:rFonts w:ascii="Arial" w:cs="Arial" w:eastAsia="Arial" w:hAnsi="Arial"/>
                <w:sz w:val="11"/>
                <w:szCs w:val="11"/>
                <w:color w:val="auto"/>
              </w:rPr>
              <w:t>3M L+700</w:t>
            </w:r>
          </w:p>
        </w:tc>
        <w:tc>
          <w:tcPr>
            <w:tcW w:w="3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30,500,000</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42,389,025</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41,124,675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0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5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42,389,025</w:t>
            </w:r>
          </w:p>
        </w:tc>
        <w:tc>
          <w:tcPr>
            <w:tcW w:w="14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41,124,675</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Second Lien Secured Debt—10.6%</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96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Mailsouth Inc.</w:t>
            </w:r>
          </w:p>
        </w:tc>
        <w:tc>
          <w:tcPr>
            <w:tcW w:w="120" w:type="dxa"/>
            <w:vAlign w:val="bottom"/>
            <w:shd w:val="clear" w:color="auto" w:fill="CCECFF"/>
          </w:tcPr>
          <w:p>
            <w:pPr>
              <w:spacing w:after="0"/>
              <w:rPr>
                <w:sz w:val="10"/>
                <w:szCs w:val="10"/>
                <w:color w:val="auto"/>
              </w:rPr>
            </w:pPr>
          </w:p>
        </w:tc>
        <w:tc>
          <w:tcPr>
            <w:tcW w:w="640" w:type="dxa"/>
            <w:vAlign w:val="bottom"/>
            <w:shd w:val="clear" w:color="auto" w:fill="CCECFF"/>
          </w:tcPr>
          <w:p>
            <w:pPr>
              <w:ind w:left="80"/>
              <w:spacing w:after="0" w:line="125" w:lineRule="exact"/>
              <w:rPr>
                <w:sz w:val="20"/>
                <w:szCs w:val="20"/>
                <w:color w:val="auto"/>
              </w:rPr>
            </w:pPr>
            <w:r>
              <w:rPr>
                <w:rFonts w:ascii="Arial" w:cs="Arial" w:eastAsia="Arial" w:hAnsi="Arial"/>
                <w:sz w:val="11"/>
                <w:szCs w:val="11"/>
                <w:color w:val="auto"/>
                <w:w w:val="98"/>
              </w:rPr>
              <w:t>04/23/2025</w:t>
            </w:r>
          </w:p>
        </w:tc>
        <w:tc>
          <w:tcPr>
            <w:tcW w:w="180" w:type="dxa"/>
            <w:vAlign w:val="bottom"/>
            <w:shd w:val="clear" w:color="auto" w:fill="CCECFF"/>
          </w:tcPr>
          <w:p>
            <w:pPr>
              <w:spacing w:after="0"/>
              <w:rPr>
                <w:sz w:val="10"/>
                <w:szCs w:val="10"/>
                <w:color w:val="auto"/>
              </w:rPr>
            </w:pPr>
          </w:p>
        </w:tc>
        <w:tc>
          <w:tcPr>
            <w:tcW w:w="258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90"/>
              </w:rPr>
              <w:t>Printing and Publishing</w:t>
            </w:r>
          </w:p>
        </w:tc>
        <w:tc>
          <w:tcPr>
            <w:tcW w:w="1080" w:type="dxa"/>
            <w:vAlign w:val="bottom"/>
            <w:gridSpan w:val="3"/>
            <w:shd w:val="clear" w:color="auto" w:fill="CCECFF"/>
          </w:tcPr>
          <w:p>
            <w:pPr>
              <w:jc w:val="right"/>
              <w:ind w:right="160"/>
              <w:spacing w:after="0" w:line="125" w:lineRule="exact"/>
              <w:rPr>
                <w:sz w:val="20"/>
                <w:szCs w:val="20"/>
                <w:color w:val="auto"/>
              </w:rPr>
            </w:pPr>
            <w:r>
              <w:rPr>
                <w:rFonts w:ascii="Arial" w:cs="Arial" w:eastAsia="Arial" w:hAnsi="Arial"/>
                <w:sz w:val="11"/>
                <w:szCs w:val="11"/>
                <w:color w:val="auto"/>
              </w:rPr>
              <w:t>15.00 %</w:t>
            </w:r>
          </w:p>
        </w:tc>
        <w:tc>
          <w:tcPr>
            <w:tcW w:w="94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0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11,086,944</w:t>
            </w:r>
          </w:p>
        </w:tc>
        <w:tc>
          <w:tcPr>
            <w:tcW w:w="1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6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11,086,944</w:t>
            </w:r>
          </w:p>
        </w:tc>
        <w:tc>
          <w:tcPr>
            <w:tcW w:w="1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11,086,944</w:t>
            </w:r>
          </w:p>
        </w:tc>
        <w:tc>
          <w:tcPr>
            <w:tcW w:w="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9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(PIK 15.00%)</w:t>
            </w:r>
          </w:p>
        </w:tc>
        <w:tc>
          <w:tcPr>
            <w:tcW w:w="9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960" w:type="dxa"/>
            <w:vAlign w:val="bottom"/>
          </w:tcPr>
          <w:p>
            <w:pPr>
              <w:ind w:left="20"/>
              <w:spacing w:after="0"/>
              <w:rPr>
                <w:sz w:val="20"/>
                <w:szCs w:val="20"/>
                <w:color w:val="auto"/>
              </w:rPr>
            </w:pPr>
            <w:r>
              <w:rPr>
                <w:rFonts w:ascii="Arial" w:cs="Arial" w:eastAsia="Arial" w:hAnsi="Arial"/>
                <w:sz w:val="11"/>
                <w:szCs w:val="11"/>
                <w:color w:val="auto"/>
              </w:rPr>
              <w:t>PT Network Intermediate Holdings, LLC</w:t>
            </w:r>
          </w:p>
        </w:tc>
        <w:tc>
          <w:tcPr>
            <w:tcW w:w="12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color w:val="auto"/>
                <w:w w:val="98"/>
              </w:rPr>
              <w:t>11/30/2024</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080" w:type="dxa"/>
            <w:vAlign w:val="bottom"/>
            <w:gridSpan w:val="3"/>
          </w:tcPr>
          <w:p>
            <w:pPr>
              <w:jc w:val="right"/>
              <w:ind w:right="160"/>
              <w:spacing w:after="0"/>
              <w:rPr>
                <w:sz w:val="20"/>
                <w:szCs w:val="20"/>
                <w:color w:val="auto"/>
              </w:rPr>
            </w:pPr>
            <w:r>
              <w:rPr>
                <w:rFonts w:ascii="Arial" w:cs="Arial" w:eastAsia="Arial" w:hAnsi="Arial"/>
                <w:sz w:val="11"/>
                <w:szCs w:val="11"/>
                <w:color w:val="auto"/>
              </w:rPr>
              <w:t>11.00 %</w:t>
            </w:r>
          </w:p>
        </w:tc>
        <w:tc>
          <w:tcPr>
            <w:tcW w:w="940" w:type="dxa"/>
            <w:vAlign w:val="bottom"/>
          </w:tcPr>
          <w:p>
            <w:pPr>
              <w:jc w:val="right"/>
              <w:spacing w:after="0"/>
              <w:rPr>
                <w:sz w:val="20"/>
                <w:szCs w:val="20"/>
                <w:color w:val="auto"/>
              </w:rPr>
            </w:pPr>
            <w:r>
              <w:rPr>
                <w:rFonts w:ascii="Arial" w:cs="Arial" w:eastAsia="Arial" w:hAnsi="Arial"/>
                <w:sz w:val="11"/>
                <w:szCs w:val="11"/>
                <w:color w:val="auto"/>
              </w:rPr>
              <w:t>3M L+1,000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58,581,522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58,276,260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58,581,522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(PIK 11.00%)</w:t>
            </w: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5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69,363,204</w:t>
            </w:r>
          </w:p>
        </w:tc>
        <w:tc>
          <w:tcPr>
            <w:tcW w:w="14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69,668,466</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080" w:type="dxa"/>
            <w:vAlign w:val="bottom"/>
            <w:gridSpan w:val="2"/>
          </w:tcPr>
          <w:p>
            <w:pPr>
              <w:ind w:left="20"/>
              <w:spacing w:after="0" w:line="99" w:lineRule="exact"/>
              <w:rPr>
                <w:sz w:val="20"/>
                <w:szCs w:val="20"/>
                <w:color w:val="auto"/>
              </w:rPr>
            </w:pPr>
            <w:r>
              <w:rPr>
                <w:rFonts w:ascii="Arial" w:cs="Arial" w:eastAsia="Arial" w:hAnsi="Arial"/>
                <w:sz w:val="11"/>
                <w:szCs w:val="11"/>
                <w:b w:val="1"/>
                <w:bCs w:val="1"/>
                <w:color w:val="auto"/>
              </w:rPr>
              <w:t>Subordinated Debt—9.7%</w:t>
            </w: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3080" w:type="dxa"/>
            <w:vAlign w:val="bottom"/>
            <w:gridSpan w:val="2"/>
          </w:tcPr>
          <w:p>
            <w:pPr>
              <w:ind w:left="20"/>
              <w:spacing w:after="0"/>
              <w:rPr>
                <w:sz w:val="20"/>
                <w:szCs w:val="20"/>
                <w:color w:val="auto"/>
              </w:rPr>
            </w:pPr>
            <w:r>
              <w:rPr>
                <w:rFonts w:ascii="Arial" w:cs="Arial" w:eastAsia="Arial" w:hAnsi="Arial"/>
                <w:sz w:val="11"/>
                <w:szCs w:val="11"/>
                <w:color w:val="auto"/>
              </w:rPr>
              <w:t xml:space="preserve">PennantPark Senior Loan Fund, LLC </w:t>
            </w:r>
            <w:r>
              <w:rPr>
                <w:rFonts w:ascii="Arial" w:cs="Arial" w:eastAsia="Arial" w:hAnsi="Arial"/>
                <w:sz w:val="14"/>
                <w:szCs w:val="14"/>
                <w:color w:val="auto"/>
                <w:vertAlign w:val="superscript"/>
              </w:rPr>
              <w:t>(11)</w:t>
            </w:r>
          </w:p>
        </w:tc>
        <w:tc>
          <w:tcPr>
            <w:tcW w:w="640" w:type="dxa"/>
            <w:vAlign w:val="bottom"/>
          </w:tcPr>
          <w:p>
            <w:pPr>
              <w:ind w:left="80"/>
              <w:spacing w:after="0"/>
              <w:rPr>
                <w:sz w:val="20"/>
                <w:szCs w:val="20"/>
                <w:color w:val="auto"/>
              </w:rPr>
            </w:pPr>
            <w:r>
              <w:rPr>
                <w:rFonts w:ascii="Arial" w:cs="Arial" w:eastAsia="Arial" w:hAnsi="Arial"/>
                <w:sz w:val="11"/>
                <w:szCs w:val="11"/>
                <w:color w:val="auto"/>
                <w:w w:val="98"/>
              </w:rPr>
              <w:t>07/31/2027</w:t>
            </w:r>
          </w:p>
        </w:tc>
        <w:tc>
          <w:tcPr>
            <w:tcW w:w="18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080" w:type="dxa"/>
            <w:vAlign w:val="bottom"/>
            <w:gridSpan w:val="3"/>
          </w:tcPr>
          <w:p>
            <w:pPr>
              <w:jc w:val="right"/>
              <w:ind w:right="160"/>
              <w:spacing w:after="0"/>
              <w:rPr>
                <w:sz w:val="20"/>
                <w:szCs w:val="20"/>
                <w:color w:val="auto"/>
              </w:rPr>
            </w:pPr>
            <w:r>
              <w:rPr>
                <w:rFonts w:ascii="Arial" w:cs="Arial" w:eastAsia="Arial" w:hAnsi="Arial"/>
                <w:sz w:val="11"/>
                <w:szCs w:val="11"/>
                <w:color w:val="auto"/>
              </w:rPr>
              <w:t>9.00 %</w:t>
            </w:r>
          </w:p>
        </w:tc>
        <w:tc>
          <w:tcPr>
            <w:tcW w:w="940" w:type="dxa"/>
            <w:vAlign w:val="bottom"/>
          </w:tcPr>
          <w:p>
            <w:pPr>
              <w:jc w:val="right"/>
              <w:spacing w:after="0"/>
              <w:rPr>
                <w:sz w:val="20"/>
                <w:szCs w:val="20"/>
                <w:color w:val="auto"/>
              </w:rPr>
            </w:pPr>
            <w:r>
              <w:rPr>
                <w:rFonts w:ascii="Arial" w:cs="Arial" w:eastAsia="Arial" w:hAnsi="Arial"/>
                <w:sz w:val="11"/>
                <w:szCs w:val="11"/>
                <w:color w:val="auto"/>
              </w:rPr>
              <w:t>3M L+800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64,154,570</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64,154,570</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64,154,570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80" w:type="dxa"/>
            <w:vAlign w:val="bottom"/>
            <w:gridSpan w:val="2"/>
          </w:tcPr>
          <w:p>
            <w:pPr>
              <w:ind w:left="20"/>
              <w:spacing w:after="0" w:line="110" w:lineRule="exact"/>
              <w:rPr>
                <w:sz w:val="20"/>
                <w:szCs w:val="20"/>
                <w:color w:val="auto"/>
              </w:rPr>
            </w:pPr>
            <w:r>
              <w:rPr>
                <w:rFonts w:ascii="Arial" w:cs="Arial" w:eastAsia="Arial" w:hAnsi="Arial"/>
                <w:sz w:val="11"/>
                <w:szCs w:val="11"/>
                <w:b w:val="1"/>
                <w:bCs w:val="1"/>
                <w:color w:val="auto"/>
              </w:rPr>
              <w:t>Total Subordinated Debt</w:t>
            </w: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64,154,570</w:t>
            </w: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64,154,570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0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 xml:space="preserve">Preferred Equity—2.0% </w:t>
            </w:r>
            <w:r>
              <w:rPr>
                <w:rFonts w:ascii="Arial" w:cs="Arial" w:eastAsia="Arial" w:hAnsi="Arial"/>
                <w:sz w:val="14"/>
                <w:szCs w:val="14"/>
                <w:b w:val="1"/>
                <w:bCs w:val="1"/>
                <w:color w:val="auto"/>
                <w:vertAlign w:val="superscript"/>
              </w:rPr>
              <w:t>(6)</w:t>
            </w: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080" w:type="dxa"/>
            <w:vAlign w:val="bottom"/>
            <w:gridSpan w:val="2"/>
          </w:tcPr>
          <w:p>
            <w:pPr>
              <w:ind w:left="20"/>
              <w:spacing w:after="0"/>
              <w:rPr>
                <w:sz w:val="20"/>
                <w:szCs w:val="20"/>
                <w:color w:val="auto"/>
              </w:rPr>
            </w:pPr>
            <w:r>
              <w:rPr>
                <w:rFonts w:ascii="Arial" w:cs="Arial" w:eastAsia="Arial" w:hAnsi="Arial"/>
                <w:sz w:val="11"/>
                <w:szCs w:val="11"/>
                <w:color w:val="auto"/>
              </w:rPr>
              <w:t>CI (PTN) Investment Holdings II, LLC</w:t>
            </w: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36,450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546,750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9"/>
        </w:trPr>
        <w:tc>
          <w:tcPr>
            <w:tcW w:w="3080" w:type="dxa"/>
            <w:vAlign w:val="bottom"/>
            <w:gridSpan w:val="2"/>
          </w:tcPr>
          <w:p>
            <w:pPr>
              <w:ind w:left="10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14"/>
                <w:szCs w:val="14"/>
                <w:color w:val="auto"/>
                <w:vertAlign w:val="superscript"/>
              </w:rPr>
              <w:t>(9)</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3080" w:type="dxa"/>
            <w:vAlign w:val="bottom"/>
            <w:gridSpan w:val="2"/>
          </w:tcPr>
          <w:p>
            <w:pPr>
              <w:ind w:left="20"/>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14"/>
                <w:szCs w:val="14"/>
                <w:color w:val="auto"/>
                <w:vertAlign w:val="superscript"/>
              </w:rPr>
              <w:t>(9)</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080" w:type="dxa"/>
            <w:vAlign w:val="bottom"/>
            <w:gridSpan w:val="3"/>
          </w:tcPr>
          <w:p>
            <w:pPr>
              <w:jc w:val="right"/>
              <w:ind w:right="160"/>
              <w:spacing w:after="0"/>
              <w:rPr>
                <w:sz w:val="20"/>
                <w:szCs w:val="20"/>
                <w:color w:val="auto"/>
              </w:rPr>
            </w:pPr>
            <w:r>
              <w:rPr>
                <w:rFonts w:ascii="Arial" w:cs="Arial" w:eastAsia="Arial" w:hAnsi="Arial"/>
                <w:sz w:val="11"/>
                <w:szCs w:val="11"/>
                <w:color w:val="auto"/>
              </w:rPr>
              <w:t>11.00 %</w:t>
            </w:r>
          </w:p>
        </w:tc>
        <w:tc>
          <w:tcPr>
            <w:tcW w:w="940" w:type="dxa"/>
            <w:vAlign w:val="bottom"/>
          </w:tcPr>
          <w:p>
            <w:pPr>
              <w:jc w:val="right"/>
              <w:spacing w:after="0"/>
              <w:rPr>
                <w:sz w:val="20"/>
                <w:szCs w:val="20"/>
                <w:color w:val="auto"/>
              </w:rPr>
            </w:pPr>
            <w:r>
              <w:rPr>
                <w:rFonts w:ascii="Arial" w:cs="Arial" w:eastAsia="Arial" w:hAnsi="Arial"/>
                <w:sz w:val="11"/>
                <w:szCs w:val="11"/>
                <w:color w:val="auto"/>
              </w:rPr>
              <w:t>3M L+1,000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833</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10,725,000</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13,412,023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80" w:type="dxa"/>
            <w:vAlign w:val="bottom"/>
            <w:gridSpan w:val="2"/>
          </w:tcPr>
          <w:p>
            <w:pPr>
              <w:ind w:left="20"/>
              <w:spacing w:after="0" w:line="110" w:lineRule="exact"/>
              <w:rPr>
                <w:sz w:val="20"/>
                <w:szCs w:val="20"/>
                <w:color w:val="auto"/>
              </w:rPr>
            </w:pPr>
            <w:r>
              <w:rPr>
                <w:rFonts w:ascii="Arial" w:cs="Arial" w:eastAsia="Arial" w:hAnsi="Arial"/>
                <w:sz w:val="11"/>
                <w:szCs w:val="11"/>
                <w:b w:val="1"/>
                <w:bCs w:val="1"/>
                <w:color w:val="auto"/>
              </w:rPr>
              <w:t>Total Preferred Equity</w:t>
            </w: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11,271,750</w:t>
            </w: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13,412,023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080" w:type="dxa"/>
            <w:vAlign w:val="bottom"/>
            <w:gridSpan w:val="2"/>
          </w:tcPr>
          <w:p>
            <w:pPr>
              <w:ind w:left="20"/>
              <w:spacing w:after="0" w:line="105" w:lineRule="exact"/>
              <w:rPr>
                <w:sz w:val="20"/>
                <w:szCs w:val="20"/>
                <w:color w:val="auto"/>
              </w:rPr>
            </w:pPr>
            <w:r>
              <w:rPr>
                <w:rFonts w:ascii="Arial" w:cs="Arial" w:eastAsia="Arial" w:hAnsi="Arial"/>
                <w:sz w:val="9"/>
                <w:szCs w:val="9"/>
                <w:b w:val="1"/>
                <w:bCs w:val="1"/>
                <w:color w:val="auto"/>
              </w:rPr>
              <w:t xml:space="preserve">Common Equity—29.7% </w:t>
            </w:r>
            <w:r>
              <w:rPr>
                <w:rFonts w:ascii="Arial" w:cs="Arial" w:eastAsia="Arial" w:hAnsi="Arial"/>
                <w:sz w:val="12"/>
                <w:szCs w:val="12"/>
                <w:b w:val="1"/>
                <w:bCs w:val="1"/>
                <w:color w:val="auto"/>
                <w:vertAlign w:val="superscript"/>
              </w:rPr>
              <w:t>(6)</w:t>
            </w: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080" w:type="dxa"/>
            <w:vAlign w:val="bottom"/>
            <w:gridSpan w:val="2"/>
          </w:tcPr>
          <w:p>
            <w:pPr>
              <w:ind w:left="20"/>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14"/>
                <w:szCs w:val="14"/>
                <w:color w:val="auto"/>
                <w:vertAlign w:val="superscript"/>
              </w:rPr>
              <w:t>(8), (10), (11)</w:t>
            </w: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2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950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132,497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254,276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CI (PTN) Investment Holdings II, LLC</w:t>
            </w:r>
          </w:p>
        </w:tc>
        <w:tc>
          <w:tcPr>
            <w:tcW w:w="640" w:type="dxa"/>
            <w:vAlign w:val="bottom"/>
            <w:shd w:val="clear" w:color="auto" w:fill="CCECFF"/>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333,333</w:t>
            </w:r>
          </w:p>
        </w:tc>
        <w:tc>
          <w:tcPr>
            <w:tcW w:w="1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0"/>
        </w:trPr>
        <w:tc>
          <w:tcPr>
            <w:tcW w:w="3080" w:type="dxa"/>
            <w:vAlign w:val="bottom"/>
            <w:gridSpan w:val="2"/>
          </w:tcPr>
          <w:p>
            <w:pPr>
              <w:ind w:left="10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14"/>
                <w:szCs w:val="14"/>
                <w:color w:val="auto"/>
                <w:vertAlign w:val="superscript"/>
              </w:rPr>
              <w:t>(9)</w:t>
            </w: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3080" w:type="dxa"/>
            <w:vAlign w:val="bottom"/>
            <w:gridSpan w:val="2"/>
          </w:tcPr>
          <w:p>
            <w:pPr>
              <w:ind w:left="20"/>
              <w:spacing w:after="0" w:line="115" w:lineRule="exact"/>
              <w:rPr>
                <w:sz w:val="20"/>
                <w:szCs w:val="20"/>
                <w:color w:val="auto"/>
              </w:rPr>
            </w:pPr>
            <w:r>
              <w:rPr>
                <w:rFonts w:ascii="Arial" w:cs="Arial" w:eastAsia="Arial" w:hAnsi="Arial"/>
                <w:sz w:val="11"/>
                <w:szCs w:val="11"/>
                <w:color w:val="auto"/>
              </w:rPr>
              <w:t>MSpark, LLC</w:t>
            </w:r>
          </w:p>
        </w:tc>
        <w:tc>
          <w:tcPr>
            <w:tcW w:w="640" w:type="dxa"/>
            <w:vAlign w:val="bottom"/>
          </w:tcPr>
          <w:p>
            <w:pPr>
              <w:ind w:left="520"/>
              <w:spacing w:after="0" w:line="115" w:lineRule="exact"/>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9"/>
                <w:szCs w:val="9"/>
                <w:color w:val="auto"/>
              </w:rPr>
            </w:pPr>
          </w:p>
        </w:tc>
        <w:tc>
          <w:tcPr>
            <w:tcW w:w="2580" w:type="dxa"/>
            <w:vAlign w:val="bottom"/>
          </w:tcPr>
          <w:p>
            <w:pPr>
              <w:jc w:val="center"/>
              <w:spacing w:after="0" w:line="115" w:lineRule="exact"/>
              <w:rPr>
                <w:sz w:val="20"/>
                <w:szCs w:val="20"/>
                <w:color w:val="auto"/>
              </w:rPr>
            </w:pPr>
            <w:r>
              <w:rPr>
                <w:rFonts w:ascii="Arial" w:cs="Arial" w:eastAsia="Arial" w:hAnsi="Arial"/>
                <w:sz w:val="11"/>
                <w:szCs w:val="11"/>
                <w:color w:val="auto"/>
                <w:w w:val="90"/>
              </w:rPr>
              <w:t>Printing and Publishing</w:t>
            </w:r>
          </w:p>
        </w:tc>
        <w:tc>
          <w:tcPr>
            <w:tcW w:w="120" w:type="dxa"/>
            <w:vAlign w:val="bottom"/>
          </w:tcPr>
          <w:p>
            <w:pPr>
              <w:spacing w:after="0"/>
              <w:rPr>
                <w:sz w:val="9"/>
                <w:szCs w:val="9"/>
                <w:color w:val="auto"/>
              </w:rPr>
            </w:pPr>
          </w:p>
        </w:tc>
        <w:tc>
          <w:tcPr>
            <w:tcW w:w="960" w:type="dxa"/>
            <w:vAlign w:val="bottom"/>
            <w:gridSpan w:val="2"/>
          </w:tcPr>
          <w:p>
            <w:pPr>
              <w:jc w:val="right"/>
              <w:ind w:right="280"/>
              <w:spacing w:after="0" w:line="115" w:lineRule="exact"/>
              <w:rPr>
                <w:sz w:val="20"/>
                <w:szCs w:val="20"/>
                <w:color w:val="auto"/>
              </w:rPr>
            </w:pPr>
            <w:r>
              <w:rPr>
                <w:rFonts w:ascii="Arial" w:cs="Arial" w:eastAsia="Arial" w:hAnsi="Arial"/>
                <w:sz w:val="11"/>
                <w:szCs w:val="11"/>
                <w:color w:val="auto"/>
              </w:rPr>
              <w:t>—</w:t>
            </w:r>
          </w:p>
        </w:tc>
        <w:tc>
          <w:tcPr>
            <w:tcW w:w="94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51,151</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16,515,842</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11,013,353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8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PennantPark Senior Loan Fund, LLC </w:t>
            </w:r>
            <w:r>
              <w:rPr>
                <w:rFonts w:ascii="Arial" w:cs="Arial" w:eastAsia="Arial" w:hAnsi="Arial"/>
                <w:sz w:val="14"/>
                <w:szCs w:val="14"/>
                <w:color w:val="auto"/>
                <w:vertAlign w:val="superscript"/>
              </w:rPr>
              <w:t>(11)</w:t>
            </w:r>
          </w:p>
        </w:tc>
        <w:tc>
          <w:tcPr>
            <w:tcW w:w="640" w:type="dxa"/>
            <w:vAlign w:val="bottom"/>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33,830,005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33,892,823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41,159,625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80" w:type="dxa"/>
            <w:vAlign w:val="bottom"/>
            <w:gridSpan w:val="2"/>
          </w:tcPr>
          <w:p>
            <w:pPr>
              <w:ind w:left="20"/>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14"/>
                <w:szCs w:val="14"/>
                <w:color w:val="auto"/>
                <w:vertAlign w:val="superscript"/>
              </w:rPr>
              <w:t>(9)</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2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7,158,977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62,131,082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color w:val="auto"/>
              </w:rPr>
              <w:t>RAM Energy Holdings LLC</w:t>
            </w:r>
          </w:p>
        </w:tc>
        <w:tc>
          <w:tcPr>
            <w:tcW w:w="640" w:type="dxa"/>
            <w:vAlign w:val="bottom"/>
            <w:tcBorders>
              <w:bottom w:val="single" w:sz="8" w:color="CCECFF"/>
            </w:tcBorders>
            <w:shd w:val="clear" w:color="auto" w:fill="CCECFF"/>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Borders>
              <w:bottom w:val="single" w:sz="8" w:color="CCECFF"/>
            </w:tcBorders>
            <w:shd w:val="clear" w:color="auto" w:fill="CCECFF"/>
          </w:tcPr>
          <w:p>
            <w:pPr>
              <w:spacing w:after="0"/>
              <w:rPr>
                <w:sz w:val="11"/>
                <w:szCs w:val="11"/>
                <w:color w:val="auto"/>
              </w:rPr>
            </w:pPr>
          </w:p>
        </w:tc>
        <w:tc>
          <w:tcPr>
            <w:tcW w:w="258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90"/>
              </w:rPr>
              <w:t>Energy and Utilities</w:t>
            </w:r>
          </w:p>
        </w:tc>
        <w:tc>
          <w:tcPr>
            <w:tcW w:w="120" w:type="dxa"/>
            <w:vAlign w:val="bottom"/>
            <w:tcBorders>
              <w:bottom w:val="single" w:sz="8" w:color="CCECFF"/>
            </w:tcBorders>
            <w:shd w:val="clear" w:color="auto" w:fill="CCECFF"/>
          </w:tcPr>
          <w:p>
            <w:pPr>
              <w:spacing w:after="0"/>
              <w:rPr>
                <w:sz w:val="11"/>
                <w:szCs w:val="11"/>
                <w:color w:val="auto"/>
              </w:rPr>
            </w:pPr>
          </w:p>
        </w:tc>
        <w:tc>
          <w:tcPr>
            <w:tcW w:w="960" w:type="dxa"/>
            <w:vAlign w:val="bottom"/>
            <w:tcBorders>
              <w:bottom w:val="single" w:sz="8" w:color="CCECFF"/>
            </w:tcBorders>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180,805</w:t>
            </w:r>
          </w:p>
        </w:tc>
        <w:tc>
          <w:tcPr>
            <w:tcW w:w="1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162,708,073</w:t>
            </w:r>
          </w:p>
        </w:tc>
        <w:tc>
          <w:tcPr>
            <w:tcW w:w="14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81,710,262</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Common Equity</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225,408,212</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196,268,598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w w:val="92"/>
              </w:rPr>
              <w:t>Total Investments in Controlled, Affiliated Portfolio Companies</w:t>
            </w: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5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412,586,761</w:t>
            </w:r>
          </w:p>
        </w:tc>
        <w:tc>
          <w:tcPr>
            <w:tcW w:w="14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384,628,332</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8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Investments—190.2%</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8"/>
              </w:rPr>
              <w:t>1,221,121,450</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0"/>
              </w:rPr>
              <w:t>1,255,289,834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Cash and Cash Equivalents—3.1%</w:t>
            </w:r>
          </w:p>
        </w:tc>
        <w:tc>
          <w:tcPr>
            <w:tcW w:w="6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gridSpan w:val="2"/>
          </w:tcPr>
          <w:p>
            <w:pPr>
              <w:ind w:left="20"/>
              <w:spacing w:after="0"/>
              <w:rPr>
                <w:sz w:val="20"/>
                <w:szCs w:val="20"/>
                <w:color w:val="auto"/>
              </w:rPr>
            </w:pPr>
            <w:r>
              <w:rPr>
                <w:rFonts w:ascii="Arial" w:cs="Arial" w:eastAsia="Arial" w:hAnsi="Arial"/>
                <w:sz w:val="11"/>
                <w:szCs w:val="11"/>
                <w:color w:val="auto"/>
              </w:rPr>
              <w:t>BlackRock Federal FD Institutional 30</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18,219,519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18,219,519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color w:val="auto"/>
              </w:rPr>
              <w:t>BNY Mellon Cash Reserve and Cash</w:t>
            </w:r>
          </w:p>
        </w:tc>
        <w:tc>
          <w:tcPr>
            <w:tcW w:w="6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5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2,163,440</w:t>
            </w:r>
          </w:p>
        </w:tc>
        <w:tc>
          <w:tcPr>
            <w:tcW w:w="14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2,137,497</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8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20,382,959</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20,357,016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0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 and Cash Equivalents—193.2%</w:t>
            </w:r>
          </w:p>
        </w:tc>
        <w:tc>
          <w:tcPr>
            <w:tcW w:w="640" w:type="dxa"/>
            <w:vAlign w:val="bottom"/>
            <w:tcBorders>
              <w:bottom w:val="single" w:sz="8" w:color="CCECFF"/>
            </w:tcBorders>
            <w:shd w:val="clear" w:color="auto" w:fill="CCECFF"/>
          </w:tcPr>
          <w:p>
            <w:pPr>
              <w:spacing w:after="0"/>
              <w:rPr>
                <w:sz w:val="14"/>
                <w:szCs w:val="14"/>
                <w:color w:val="auto"/>
              </w:rPr>
            </w:pPr>
          </w:p>
        </w:tc>
        <w:tc>
          <w:tcPr>
            <w:tcW w:w="180" w:type="dxa"/>
            <w:vAlign w:val="bottom"/>
            <w:tcBorders>
              <w:bottom w:val="single" w:sz="8" w:color="CCECFF"/>
            </w:tcBorders>
            <w:shd w:val="clear" w:color="auto" w:fill="CCECFF"/>
          </w:tcPr>
          <w:p>
            <w:pPr>
              <w:spacing w:after="0"/>
              <w:rPr>
                <w:sz w:val="14"/>
                <w:szCs w:val="14"/>
                <w:color w:val="auto"/>
              </w:rPr>
            </w:pPr>
          </w:p>
        </w:tc>
        <w:tc>
          <w:tcPr>
            <w:tcW w:w="258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70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CCECFF"/>
            </w:tcBorders>
            <w:shd w:val="clear" w:color="auto" w:fill="CCECFF"/>
          </w:tcPr>
          <w:p>
            <w:pPr>
              <w:spacing w:after="0"/>
              <w:rPr>
                <w:sz w:val="14"/>
                <w:szCs w:val="14"/>
                <w:color w:val="auto"/>
              </w:rPr>
            </w:pPr>
          </w:p>
        </w:tc>
        <w:tc>
          <w:tcPr>
            <w:tcW w:w="94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CCECFF"/>
            </w:tcBorders>
            <w:shd w:val="clear" w:color="auto" w:fill="CCECFF"/>
          </w:tcPr>
          <w:p>
            <w:pPr>
              <w:spacing w:after="0"/>
              <w:rPr>
                <w:sz w:val="14"/>
                <w:szCs w:val="14"/>
                <w:color w:val="auto"/>
              </w:rPr>
            </w:pPr>
          </w:p>
        </w:tc>
        <w:tc>
          <w:tcPr>
            <w:tcW w:w="60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CCECFF"/>
            </w:tcBorders>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88"/>
              </w:rPr>
              <w:t>1,241,504,409</w:t>
            </w:r>
          </w:p>
        </w:tc>
        <w:tc>
          <w:tcPr>
            <w:tcW w:w="140" w:type="dxa"/>
            <w:vAlign w:val="bottom"/>
            <w:tcBorders>
              <w:bottom w:val="single" w:sz="8" w:color="CCECFF"/>
            </w:tcBorders>
            <w:shd w:val="clear" w:color="auto" w:fill="CCECFF"/>
          </w:tcPr>
          <w:p>
            <w:pPr>
              <w:spacing w:after="0"/>
              <w:rPr>
                <w:sz w:val="14"/>
                <w:szCs w:val="14"/>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0"/>
              </w:rPr>
              <w:t>1,275,646,850</w:t>
            </w:r>
          </w:p>
        </w:tc>
        <w:tc>
          <w:tcPr>
            <w:tcW w:w="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080" w:type="dxa"/>
            <w:vAlign w:val="bottom"/>
            <w:gridSpan w:val="2"/>
          </w:tcPr>
          <w:p>
            <w:pPr>
              <w:ind w:left="20"/>
              <w:spacing w:after="0" w:line="116" w:lineRule="exact"/>
              <w:rPr>
                <w:sz w:val="20"/>
                <w:szCs w:val="20"/>
                <w:color w:val="auto"/>
              </w:rPr>
            </w:pPr>
            <w:r>
              <w:rPr>
                <w:rFonts w:ascii="Arial" w:cs="Arial" w:eastAsia="Arial" w:hAnsi="Arial"/>
                <w:sz w:val="11"/>
                <w:szCs w:val="11"/>
                <w:b w:val="1"/>
                <w:bCs w:val="1"/>
                <w:color w:val="auto"/>
              </w:rPr>
              <w:t>Liabilities in Excess of Other Assets—(93.2%)</w:t>
            </w: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spacing w:after="0" w:line="116" w:lineRule="exact"/>
              <w:rPr>
                <w:sz w:val="20"/>
                <w:szCs w:val="20"/>
                <w:color w:val="auto"/>
              </w:rPr>
            </w:pPr>
            <w:r>
              <w:rPr>
                <w:rFonts w:ascii="Arial" w:cs="Arial" w:eastAsia="Arial" w:hAnsi="Arial"/>
                <w:sz w:val="11"/>
                <w:szCs w:val="11"/>
                <w:color w:val="auto"/>
                <w:w w:val="97"/>
              </w:rPr>
              <w:t>(615,502,744 )</w:t>
            </w:r>
          </w:p>
        </w:tc>
        <w:tc>
          <w:tcPr>
            <w:tcW w:w="0" w:type="dxa"/>
            <w:vAlign w:val="bottom"/>
          </w:tcPr>
          <w:p>
            <w:pPr>
              <w:spacing w:after="0"/>
              <w:rPr>
                <w:sz w:val="1"/>
                <w:szCs w:val="1"/>
                <w:color w:val="auto"/>
              </w:rPr>
            </w:pPr>
          </w:p>
        </w:tc>
      </w:tr>
      <w:tr>
        <w:trPr>
          <w:trHeight w:val="175"/>
        </w:trPr>
        <w:tc>
          <w:tcPr>
            <w:tcW w:w="30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Net Assets—100.0%</w:t>
            </w:r>
          </w:p>
        </w:tc>
        <w:tc>
          <w:tcPr>
            <w:tcW w:w="64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258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70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9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60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CCECFF"/>
            </w:tcBorders>
            <w:shd w:val="clear" w:color="auto" w:fill="CCECFF"/>
          </w:tcPr>
          <w:p>
            <w:pPr>
              <w:spacing w:after="0"/>
              <w:rPr>
                <w:sz w:val="15"/>
                <w:szCs w:val="15"/>
                <w:color w:val="auto"/>
              </w:rPr>
            </w:pPr>
          </w:p>
        </w:tc>
        <w:tc>
          <w:tcPr>
            <w:tcW w:w="66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660,144,106</w:t>
            </w:r>
          </w:p>
        </w:tc>
        <w:tc>
          <w:tcPr>
            <w:tcW w:w="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-5382895</wp:posOffset>
            </wp:positionV>
            <wp:extent cx="7132320" cy="857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-5211445</wp:posOffset>
            </wp:positionV>
            <wp:extent cx="7132320" cy="857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-4868545</wp:posOffset>
            </wp:positionV>
            <wp:extent cx="7132320" cy="857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-4693920</wp:posOffset>
            </wp:positionV>
            <wp:extent cx="1714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-4693920</wp:posOffset>
            </wp:positionV>
            <wp:extent cx="2603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-4594225</wp:posOffset>
            </wp:positionV>
            <wp:extent cx="7132320" cy="946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-4413885</wp:posOffset>
            </wp:positionV>
            <wp:extent cx="7132320" cy="857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-4242435</wp:posOffset>
            </wp:positionV>
            <wp:extent cx="7132320" cy="857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-4062730</wp:posOffset>
            </wp:positionV>
            <wp:extent cx="7132320" cy="946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-3882390</wp:posOffset>
            </wp:positionV>
            <wp:extent cx="7132320" cy="857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-3622675</wp:posOffset>
            </wp:positionV>
            <wp:extent cx="17145"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-3622675</wp:posOffset>
            </wp:positionV>
            <wp:extent cx="26035"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-3522345</wp:posOffset>
            </wp:positionV>
            <wp:extent cx="7132320" cy="946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-3342640</wp:posOffset>
            </wp:positionV>
            <wp:extent cx="7132320" cy="857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-3074035</wp:posOffset>
            </wp:positionV>
            <wp:extent cx="1714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-3074035</wp:posOffset>
            </wp:positionV>
            <wp:extent cx="26035"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-2542540</wp:posOffset>
            </wp:positionV>
            <wp:extent cx="1714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-2542540</wp:posOffset>
            </wp:positionV>
            <wp:extent cx="26035"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-2451100</wp:posOffset>
            </wp:positionV>
            <wp:extent cx="7132320" cy="946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-2262505</wp:posOffset>
            </wp:positionV>
            <wp:extent cx="7132320" cy="857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-2091055</wp:posOffset>
            </wp:positionV>
            <wp:extent cx="7132320" cy="857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946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-1731010</wp:posOffset>
            </wp:positionV>
            <wp:extent cx="7132320" cy="857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857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857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-956310</wp:posOffset>
            </wp:positionV>
            <wp:extent cx="17145"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-956310</wp:posOffset>
            </wp:positionV>
            <wp:extent cx="26035"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-767715</wp:posOffset>
            </wp:positionV>
            <wp:extent cx="17145"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-767715</wp:posOffset>
            </wp:positionV>
            <wp:extent cx="26035"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-407670</wp:posOffset>
            </wp:positionV>
            <wp:extent cx="17145"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-407670</wp:posOffset>
            </wp:positionV>
            <wp:extent cx="2603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-222250</wp:posOffset>
            </wp:positionV>
            <wp:extent cx="1714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-205105</wp:posOffset>
            </wp:positionV>
            <wp:extent cx="1714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-222250</wp:posOffset>
            </wp:positionV>
            <wp:extent cx="260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-205105</wp:posOffset>
            </wp:positionV>
            <wp:extent cx="260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-24765</wp:posOffset>
            </wp:positionV>
            <wp:extent cx="260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-7620</wp:posOffset>
            </wp:positionV>
            <wp:extent cx="260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6" w:name="page17"/>
    <w:bookmarkEnd w:id="16"/>
    <w:p>
      <w:pPr>
        <w:ind w:left="340" w:hanging="339"/>
        <w:spacing w:after="0" w:line="181" w:lineRule="auto"/>
        <w:tabs>
          <w:tab w:leader="none" w:pos="340" w:val="left"/>
        </w:tabs>
        <w:numPr>
          <w:ilvl w:val="0"/>
          <w:numId w:val="4"/>
        </w:numPr>
        <w:rPr>
          <w:rFonts w:ascii="Arial" w:cs="Arial" w:eastAsia="Arial" w:hAnsi="Arial"/>
          <w:sz w:val="20"/>
          <w:szCs w:val="20"/>
          <w:color w:val="auto"/>
          <w:vertAlign w:val="superscript"/>
        </w:rPr>
      </w:pPr>
      <w:r>
        <w:rPr>
          <w:rFonts w:ascii="Arial" w:cs="Arial" w:eastAsia="Arial" w:hAnsi="Arial"/>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8" w:lineRule="exact"/>
        <w:rPr>
          <w:rFonts w:ascii="Arial" w:cs="Arial" w:eastAsia="Arial" w:hAnsi="Arial"/>
          <w:sz w:val="20"/>
          <w:szCs w:val="20"/>
          <w:color w:val="auto"/>
          <w:vertAlign w:val="superscript"/>
        </w:rPr>
      </w:pPr>
    </w:p>
    <w:p>
      <w:pPr>
        <w:ind w:left="340" w:hanging="339"/>
        <w:spacing w:after="0" w:line="181" w:lineRule="auto"/>
        <w:tabs>
          <w:tab w:leader="none" w:pos="340" w:val="left"/>
        </w:tabs>
        <w:numPr>
          <w:ilvl w:val="0"/>
          <w:numId w:val="4"/>
        </w:numPr>
        <w:rPr>
          <w:rFonts w:ascii="Arial" w:cs="Arial" w:eastAsia="Arial" w:hAnsi="Arial"/>
          <w:sz w:val="20"/>
          <w:szCs w:val="20"/>
          <w:color w:val="auto"/>
          <w:vertAlign w:val="superscript"/>
        </w:rPr>
      </w:pPr>
      <w:r>
        <w:rPr>
          <w:rFonts w:ascii="Arial" w:cs="Arial" w:eastAsia="Arial" w:hAnsi="Arial"/>
          <w:sz w:val="11"/>
          <w:szCs w:val="11"/>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40" w:hanging="339"/>
        <w:spacing w:after="0" w:line="183" w:lineRule="auto"/>
        <w:tabs>
          <w:tab w:leader="none" w:pos="340" w:val="left"/>
        </w:tabs>
        <w:numPr>
          <w:ilvl w:val="0"/>
          <w:numId w:val="4"/>
        </w:numPr>
        <w:rPr>
          <w:rFonts w:ascii="Arial" w:cs="Arial" w:eastAsia="Arial" w:hAnsi="Arial"/>
          <w:sz w:val="20"/>
          <w:szCs w:val="20"/>
          <w:color w:val="auto"/>
          <w:vertAlign w:val="superscript"/>
        </w:rPr>
      </w:pPr>
      <w:r>
        <w:rPr>
          <w:rFonts w:ascii="Arial" w:cs="Arial" w:eastAsia="Arial" w:hAnsi="Arial"/>
          <w:sz w:val="11"/>
          <w:szCs w:val="11"/>
          <w:color w:val="auto"/>
        </w:rPr>
        <w:t>Valued based on our accounting policy (See Note 2).</w:t>
      </w:r>
    </w:p>
    <w:p>
      <w:pPr>
        <w:spacing w:after="0" w:line="37" w:lineRule="exact"/>
        <w:rPr>
          <w:rFonts w:ascii="Arial" w:cs="Arial" w:eastAsia="Arial" w:hAnsi="Arial"/>
          <w:sz w:val="20"/>
          <w:szCs w:val="20"/>
          <w:color w:val="auto"/>
          <w:vertAlign w:val="superscript"/>
        </w:rPr>
      </w:pPr>
    </w:p>
    <w:p>
      <w:pPr>
        <w:ind w:left="340" w:right="120" w:hanging="339"/>
        <w:spacing w:after="0" w:line="190"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2" w:lineRule="exact"/>
        <w:rPr>
          <w:rFonts w:ascii="Arial" w:cs="Arial" w:eastAsia="Arial" w:hAnsi="Arial"/>
          <w:sz w:val="22"/>
          <w:szCs w:val="22"/>
          <w:color w:val="auto"/>
          <w:vertAlign w:val="superscript"/>
        </w:rPr>
      </w:pPr>
    </w:p>
    <w:p>
      <w:pPr>
        <w:ind w:left="340" w:hanging="339"/>
        <w:spacing w:after="0" w:line="183" w:lineRule="auto"/>
        <w:tabs>
          <w:tab w:leader="none" w:pos="340" w:val="left"/>
        </w:tabs>
        <w:numPr>
          <w:ilvl w:val="0"/>
          <w:numId w:val="4"/>
        </w:numPr>
        <w:rPr>
          <w:rFonts w:ascii="Arial" w:cs="Arial" w:eastAsia="Arial" w:hAnsi="Arial"/>
          <w:sz w:val="20"/>
          <w:szCs w:val="20"/>
          <w:color w:val="auto"/>
          <w:vertAlign w:val="superscript"/>
        </w:rPr>
      </w:pPr>
      <w:r>
        <w:rPr>
          <w:rFonts w:ascii="Arial" w:cs="Arial" w:eastAsia="Arial" w:hAnsi="Arial"/>
          <w:sz w:val="11"/>
          <w:szCs w:val="11"/>
          <w:color w:val="auto"/>
        </w:rPr>
        <w:t>The security was not valued using significant unobservable inputs. The value of all other securities was determined using significant unobservable inputs (See Note 5).</w:t>
      </w:r>
    </w:p>
    <w:p>
      <w:pPr>
        <w:spacing w:after="0" w:line="37" w:lineRule="exact"/>
        <w:rPr>
          <w:rFonts w:ascii="Arial" w:cs="Arial" w:eastAsia="Arial" w:hAnsi="Arial"/>
          <w:sz w:val="20"/>
          <w:szCs w:val="20"/>
          <w:color w:val="auto"/>
          <w:vertAlign w:val="superscript"/>
        </w:rPr>
      </w:pPr>
    </w:p>
    <w:p>
      <w:pPr>
        <w:ind w:left="340" w:hanging="339"/>
        <w:spacing w:after="0" w:line="180" w:lineRule="auto"/>
        <w:tabs>
          <w:tab w:leader="none" w:pos="340" w:val="left"/>
        </w:tabs>
        <w:numPr>
          <w:ilvl w:val="0"/>
          <w:numId w:val="4"/>
        </w:numPr>
        <w:rPr>
          <w:rFonts w:ascii="Arial" w:cs="Arial" w:eastAsia="Arial" w:hAnsi="Arial"/>
          <w:sz w:val="16"/>
          <w:szCs w:val="16"/>
          <w:color w:val="auto"/>
          <w:vertAlign w:val="superscript"/>
        </w:rPr>
      </w:pPr>
      <w:r>
        <w:rPr>
          <w:rFonts w:ascii="Arial" w:cs="Arial" w:eastAsia="Arial" w:hAnsi="Arial"/>
          <w:sz w:val="9"/>
          <w:szCs w:val="9"/>
          <w:color w:val="auto"/>
        </w:rPr>
        <w:t>Non-income producing securities.</w:t>
      </w:r>
    </w:p>
    <w:p>
      <w:pPr>
        <w:spacing w:after="0" w:line="37" w:lineRule="exact"/>
        <w:rPr>
          <w:rFonts w:ascii="Arial" w:cs="Arial" w:eastAsia="Arial" w:hAnsi="Arial"/>
          <w:sz w:val="16"/>
          <w:szCs w:val="16"/>
          <w:color w:val="auto"/>
          <w:vertAlign w:val="superscript"/>
        </w:rPr>
      </w:pPr>
    </w:p>
    <w:p>
      <w:pPr>
        <w:ind w:left="340" w:hanging="339"/>
        <w:spacing w:after="0" w:line="180" w:lineRule="auto"/>
        <w:tabs>
          <w:tab w:leader="none" w:pos="340" w:val="left"/>
        </w:tabs>
        <w:numPr>
          <w:ilvl w:val="0"/>
          <w:numId w:val="4"/>
        </w:numPr>
        <w:rPr>
          <w:rFonts w:ascii="Arial" w:cs="Arial" w:eastAsia="Arial" w:hAnsi="Arial"/>
          <w:sz w:val="16"/>
          <w:szCs w:val="16"/>
          <w:color w:val="auto"/>
          <w:vertAlign w:val="superscript"/>
        </w:rPr>
      </w:pPr>
      <w:r>
        <w:rPr>
          <w:rFonts w:ascii="Arial" w:cs="Arial" w:eastAsia="Arial" w:hAnsi="Arial"/>
          <w:sz w:val="9"/>
          <w:szCs w:val="9"/>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7" w:lineRule="exact"/>
        <w:rPr>
          <w:rFonts w:ascii="Arial" w:cs="Arial" w:eastAsia="Arial" w:hAnsi="Arial"/>
          <w:sz w:val="16"/>
          <w:szCs w:val="16"/>
          <w:color w:val="auto"/>
          <w:vertAlign w:val="superscript"/>
        </w:rPr>
      </w:pPr>
    </w:p>
    <w:p>
      <w:pPr>
        <w:ind w:left="340" w:hanging="339"/>
        <w:spacing w:after="0" w:line="180" w:lineRule="auto"/>
        <w:tabs>
          <w:tab w:leader="none" w:pos="340" w:val="left"/>
        </w:tabs>
        <w:numPr>
          <w:ilvl w:val="0"/>
          <w:numId w:val="4"/>
        </w:numPr>
        <w:rPr>
          <w:rFonts w:ascii="Arial" w:cs="Arial" w:eastAsia="Arial" w:hAnsi="Arial"/>
          <w:sz w:val="16"/>
          <w:szCs w:val="16"/>
          <w:color w:val="auto"/>
          <w:vertAlign w:val="superscript"/>
        </w:rPr>
      </w:pPr>
      <w:r>
        <w:rPr>
          <w:rFonts w:ascii="Arial" w:cs="Arial" w:eastAsia="Arial" w:hAnsi="Arial"/>
          <w:sz w:val="9"/>
          <w:szCs w:val="9"/>
          <w:color w:val="auto"/>
        </w:rPr>
        <w:t>Non-U.S. company or principal place of business outside the United States.</w:t>
      </w:r>
    </w:p>
    <w:p>
      <w:pPr>
        <w:spacing w:after="0" w:line="37" w:lineRule="exact"/>
        <w:rPr>
          <w:rFonts w:ascii="Arial" w:cs="Arial" w:eastAsia="Arial" w:hAnsi="Arial"/>
          <w:sz w:val="16"/>
          <w:szCs w:val="16"/>
          <w:color w:val="auto"/>
          <w:vertAlign w:val="superscript"/>
        </w:rPr>
      </w:pPr>
    </w:p>
    <w:p>
      <w:pPr>
        <w:ind w:left="340" w:hanging="339"/>
        <w:spacing w:after="0" w:line="180" w:lineRule="auto"/>
        <w:tabs>
          <w:tab w:leader="none" w:pos="340" w:val="left"/>
        </w:tabs>
        <w:numPr>
          <w:ilvl w:val="0"/>
          <w:numId w:val="4"/>
        </w:numPr>
        <w:rPr>
          <w:rFonts w:ascii="Arial" w:cs="Arial" w:eastAsia="Arial" w:hAnsi="Arial"/>
          <w:sz w:val="16"/>
          <w:szCs w:val="16"/>
          <w:color w:val="auto"/>
          <w:vertAlign w:val="superscript"/>
        </w:rPr>
      </w:pPr>
      <w:r>
        <w:rPr>
          <w:rFonts w:ascii="Arial" w:cs="Arial" w:eastAsia="Arial" w:hAnsi="Arial"/>
          <w:sz w:val="9"/>
          <w:szCs w:val="9"/>
          <w:color w:val="auto"/>
        </w:rPr>
        <w:t>Investment is held through our Taxable Subsidiary (See Note 1).</w:t>
      </w:r>
    </w:p>
    <w:p>
      <w:pPr>
        <w:spacing w:after="0" w:line="37" w:lineRule="exact"/>
        <w:rPr>
          <w:rFonts w:ascii="Arial" w:cs="Arial" w:eastAsia="Arial" w:hAnsi="Arial"/>
          <w:sz w:val="16"/>
          <w:szCs w:val="16"/>
          <w:color w:val="auto"/>
          <w:vertAlign w:val="superscript"/>
        </w:rPr>
      </w:pPr>
    </w:p>
    <w:p>
      <w:pPr>
        <w:ind w:left="340" w:hanging="339"/>
        <w:spacing w:after="0" w:line="180" w:lineRule="auto"/>
        <w:tabs>
          <w:tab w:leader="none" w:pos="340" w:val="left"/>
        </w:tabs>
        <w:numPr>
          <w:ilvl w:val="0"/>
          <w:numId w:val="4"/>
        </w:numPr>
        <w:rPr>
          <w:rFonts w:ascii="Arial" w:cs="Arial" w:eastAsia="Arial" w:hAnsi="Arial"/>
          <w:sz w:val="16"/>
          <w:szCs w:val="16"/>
          <w:color w:val="auto"/>
          <w:vertAlign w:val="superscript"/>
        </w:rPr>
      </w:pPr>
      <w:r>
        <w:rPr>
          <w:rFonts w:ascii="Arial" w:cs="Arial" w:eastAsia="Arial" w:hAnsi="Arial"/>
          <w:sz w:val="9"/>
          <w:szCs w:val="9"/>
          <w:color w:val="auto"/>
        </w:rPr>
        <w:t>Par / Shares amount is denominated in British Pounds (£) as denoted.</w:t>
      </w:r>
    </w:p>
    <w:p>
      <w:pPr>
        <w:spacing w:after="0" w:line="37" w:lineRule="exact"/>
        <w:rPr>
          <w:rFonts w:ascii="Arial" w:cs="Arial" w:eastAsia="Arial" w:hAnsi="Arial"/>
          <w:sz w:val="16"/>
          <w:szCs w:val="16"/>
          <w:color w:val="auto"/>
          <w:vertAlign w:val="superscript"/>
        </w:rPr>
      </w:pPr>
    </w:p>
    <w:p>
      <w:pPr>
        <w:ind w:left="340" w:right="20" w:hanging="339"/>
        <w:spacing w:after="0" w:line="186" w:lineRule="auto"/>
        <w:tabs>
          <w:tab w:leader="none" w:pos="340" w:val="left"/>
        </w:tabs>
        <w:numPr>
          <w:ilvl w:val="0"/>
          <w:numId w:val="4"/>
        </w:numPr>
        <w:rPr>
          <w:rFonts w:ascii="Arial" w:cs="Arial" w:eastAsia="Arial" w:hAnsi="Arial"/>
          <w:sz w:val="19"/>
          <w:szCs w:val="19"/>
          <w:color w:val="auto"/>
          <w:vertAlign w:val="superscript"/>
        </w:rPr>
      </w:pPr>
      <w:r>
        <w:rPr>
          <w:rFonts w:ascii="Arial" w:cs="Arial" w:eastAsia="Arial" w:hAnsi="Arial"/>
          <w:sz w:val="10"/>
          <w:szCs w:val="10"/>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2021, qualifying assets represent 87% of the Company’s total assets and non-qualifying assets represent 13% of the Company’s total assets.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3" w:right="359" w:bottom="1440" w:gutter="0" w:footer="0" w:header="0"/>
        </w:sectPr>
      </w:pPr>
    </w:p>
    <w:bookmarkStart w:id="17" w:name="page18"/>
    <w:bookmarkEnd w:id="17"/>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(Unaudited)</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67" w:lineRule="exact"/>
        <w:rPr>
          <w:sz w:val="20"/>
          <w:szCs w:val="20"/>
          <w:color w:val="auto"/>
        </w:rPr>
      </w:pPr>
    </w:p>
    <w:p>
      <w:pPr>
        <w:ind w:right="60" w:firstLine="449"/>
        <w:spacing w:after="0" w:line="255" w:lineRule="auto"/>
        <w:rPr>
          <w:sz w:val="20"/>
          <w:szCs w:val="20"/>
          <w:color w:val="auto"/>
        </w:rPr>
      </w:pPr>
      <w:r>
        <w:rPr>
          <w:rFonts w:ascii="Arial" w:cs="Arial" w:eastAsia="Arial" w:hAnsi="Arial"/>
          <w:sz w:val="13"/>
          <w:szCs w:val="13"/>
          <w:color w:val="auto"/>
        </w:rPr>
        <w:t>PennantPark Investment Corporation was organized as a Maryland corporation in January 2007. We are a closed-end, externally managed, non-diversified investment company that has elected to be treated as a BDC under the 1940 Act. Our investment objective is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On April 24, 2007, we closed our initial public offering and our common stock trades on the Nasdaq Global Select Market under the symbol “PNNT.”</w:t>
      </w:r>
    </w:p>
    <w:p>
      <w:pPr>
        <w:spacing w:after="0" w:line="107" w:lineRule="exact"/>
        <w:rPr>
          <w:sz w:val="20"/>
          <w:szCs w:val="20"/>
          <w:color w:val="auto"/>
        </w:rPr>
      </w:pPr>
    </w:p>
    <w:p>
      <w:pPr>
        <w:jc w:val="both"/>
        <w:ind w:right="140" w:firstLine="449"/>
        <w:spacing w:after="0" w:line="255" w:lineRule="auto"/>
        <w:rPr>
          <w:sz w:val="20"/>
          <w:szCs w:val="20"/>
          <w:color w:val="auto"/>
        </w:rPr>
      </w:pPr>
      <w:r>
        <w:rPr>
          <w:rFonts w:ascii="Arial" w:cs="Arial" w:eastAsia="Arial" w:hAnsi="Arial"/>
          <w:sz w:val="13"/>
          <w:szCs w:val="13"/>
          <w:color w:val="auto"/>
        </w:rPr>
        <w:t>We have entered into an investment management agreement, or the Investment Management Agreement, with the Investment Adviser, an external adviser that manages our day-to-day operations. PennantPark Investment, through the Investment Adviser, manages the day-to-day operations of, and provides investment advisory services to, SBIC II under a separate investment management agreement. We have also entered into an administration agreement, or the Administration Agreement, with the Administrator, which provides the administrative services necessary for us to operate. PennantPark Investment, through the Administrator, also provides similar services to SBIC II under a separate administration agreement. See Note 3.</w:t>
      </w:r>
    </w:p>
    <w:p>
      <w:pPr>
        <w:spacing w:after="0" w:line="107" w:lineRule="exact"/>
        <w:rPr>
          <w:sz w:val="20"/>
          <w:szCs w:val="20"/>
          <w:color w:val="auto"/>
        </w:rPr>
      </w:pPr>
    </w:p>
    <w:p>
      <w:pPr>
        <w:ind w:firstLine="449"/>
        <w:spacing w:after="0" w:line="238" w:lineRule="auto"/>
        <w:rPr>
          <w:sz w:val="20"/>
          <w:szCs w:val="20"/>
          <w:color w:val="auto"/>
        </w:rPr>
      </w:pPr>
      <w:r>
        <w:rPr>
          <w:rFonts w:ascii="Arial" w:cs="Arial" w:eastAsia="Arial" w:hAnsi="Arial"/>
          <w:sz w:val="14"/>
          <w:szCs w:val="14"/>
          <w:color w:val="auto"/>
        </w:rPr>
        <w:t>SBIC II, our wholly-owned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115" w:lineRule="exact"/>
        <w:rPr>
          <w:sz w:val="20"/>
          <w:szCs w:val="20"/>
          <w:color w:val="auto"/>
        </w:rPr>
      </w:pPr>
    </w:p>
    <w:p>
      <w:pPr>
        <w:ind w:right="220" w:firstLine="449"/>
        <w:spacing w:after="0" w:line="255" w:lineRule="auto"/>
        <w:rPr>
          <w:sz w:val="20"/>
          <w:szCs w:val="20"/>
          <w:color w:val="auto"/>
        </w:rPr>
      </w:pPr>
      <w:r>
        <w:rPr>
          <w:rFonts w:ascii="Arial" w:cs="Arial" w:eastAsia="Arial" w:hAnsi="Arial"/>
          <w:sz w:val="13"/>
          <w:szCs w:val="13"/>
          <w:color w:val="auto"/>
        </w:rPr>
        <w:t>On July 31, 2020, we and certain entities and managed accounts of the private credit investment manager of Pantheon Ventures (UK) LLP, or Pantheon, entered into a limited liability company agreement to co-manage PSLF, a newly-formed unconsolidated joint venture. In connection with this transaction, we contributed in-kind our formerly wholly-owned subsidiary, Funding I. As a result of this transaction, Funding I became a wholly-owned subsidiary of PSLF and has been deconsolidated from our financial statements. PSLF invests primarily in middle-market and other corporate debt securities consistent with our strategy. PSLF was formed as a Delaware limited liability company. See Note 4.</w:t>
      </w:r>
    </w:p>
    <w:p>
      <w:pPr>
        <w:spacing w:after="0" w:line="121" w:lineRule="exact"/>
        <w:rPr>
          <w:sz w:val="20"/>
          <w:szCs w:val="20"/>
          <w:color w:val="auto"/>
        </w:rPr>
      </w:pPr>
    </w:p>
    <w:p>
      <w:pPr>
        <w:ind w:right="20" w:firstLine="449"/>
        <w:spacing w:after="0" w:line="229" w:lineRule="auto"/>
        <w:rPr>
          <w:sz w:val="20"/>
          <w:szCs w:val="20"/>
          <w:color w:val="auto"/>
        </w:rPr>
      </w:pPr>
      <w:r>
        <w:rPr>
          <w:rFonts w:ascii="Arial" w:cs="Arial" w:eastAsia="Arial" w:hAnsi="Arial"/>
          <w:sz w:val="14"/>
          <w:szCs w:val="14"/>
          <w:color w:val="auto"/>
        </w:rPr>
        <w:t>In April 2021, we issued $150.0 million in aggregate principal amount of our 2026 Notes at a public offering price per note of 99.4%. Interest on the 2026 Notes is paid semi-annually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18" w:lineRule="exact"/>
        <w:rPr>
          <w:sz w:val="20"/>
          <w:szCs w:val="20"/>
          <w:color w:val="auto"/>
        </w:rPr>
      </w:pPr>
    </w:p>
    <w:p>
      <w:pPr>
        <w:ind w:firstLine="449"/>
        <w:spacing w:after="0" w:line="248" w:lineRule="auto"/>
        <w:rPr>
          <w:sz w:val="20"/>
          <w:szCs w:val="20"/>
          <w:color w:val="auto"/>
        </w:rPr>
      </w:pPr>
      <w:r>
        <w:rPr>
          <w:rFonts w:ascii="Arial" w:cs="Arial" w:eastAsia="Arial" w:hAnsi="Arial"/>
          <w:sz w:val="13"/>
          <w:szCs w:val="13"/>
          <w:color w:val="auto"/>
        </w:rPr>
        <w:t>In October 2021, we issued $165.0 million in aggregate principal amount of our 2026 Notes-2 at a public offering price per note of 99.436%. Interest on the 2026 Notes is paid semi-annually on May 1 and November 1 of each year, at a rate of 4.00% per year, commencing May 1, 2022. The 2026 Notes-2 mature on November 1, 2026 and may be redeemed in whole or in part at our option subject to a make-whole premium if redeemed more than three months prior to maturity. The 2026 Notes-2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26" w:lineRule="exact"/>
        <w:rPr>
          <w:sz w:val="20"/>
          <w:szCs w:val="20"/>
          <w:color w:val="auto"/>
        </w:rPr>
      </w:pPr>
    </w:p>
    <w:p>
      <w:pPr>
        <w:ind w:right="20" w:firstLine="449"/>
        <w:spacing w:after="0" w:line="312"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federal income tax purposes while facilitating our ability to qualify as a RIC under the Code.</w:t>
      </w:r>
    </w:p>
    <w:p>
      <w:pPr>
        <w:spacing w:after="0" w:line="97" w:lineRule="exact"/>
        <w:rPr>
          <w:sz w:val="20"/>
          <w:szCs w:val="20"/>
          <w:color w:val="auto"/>
        </w:rPr>
      </w:pPr>
    </w:p>
    <w:p>
      <w:pPr>
        <w:ind w:right="180" w:firstLine="449"/>
        <w:spacing w:after="0" w:line="312" w:lineRule="auto"/>
        <w:rPr>
          <w:sz w:val="20"/>
          <w:szCs w:val="20"/>
          <w:color w:val="auto"/>
        </w:rPr>
      </w:pPr>
      <w:r>
        <w:rPr>
          <w:rFonts w:ascii="Arial" w:cs="Arial" w:eastAsia="Arial" w:hAnsi="Arial"/>
          <w:sz w:val="13"/>
          <w:szCs w:val="13"/>
          <w:color w:val="auto"/>
        </w:rPr>
        <w:t>We are operated by a person who has claimed an exclusion from the definition of the term “commodity pool operator” under the Commodity Exchange Act and the Investment Adviser intends to continue to affirm the exclusion on an annual basis, and therefore, is not subject to registration or regulation as a commodity pool operator under the Commodity Exchange Act.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67" w:lineRule="exact"/>
        <w:rPr>
          <w:sz w:val="20"/>
          <w:szCs w:val="20"/>
          <w:color w:val="auto"/>
        </w:rPr>
      </w:pPr>
    </w:p>
    <w:p>
      <w:pPr>
        <w:ind w:right="20" w:firstLine="449"/>
        <w:spacing w:after="0" w:line="245"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the global outbreak of the novel coronavirus (“COVID-19”) and any other parameters used in determining these estimates and assumptions could cause actual results to differ from such estimates and assumptions. We may reclassify certain prior period amounts to conform to the current period presentation. We have eliminated all intercompany balances and transactions in consolidation.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6" w:lineRule="exact"/>
        <w:rPr>
          <w:sz w:val="20"/>
          <w:szCs w:val="20"/>
          <w:color w:val="auto"/>
        </w:rPr>
      </w:pPr>
    </w:p>
    <w:p>
      <w:pPr>
        <w:ind w:right="260" w:firstLine="449"/>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640" w:hanging="377"/>
        <w:spacing w:after="0"/>
        <w:tabs>
          <w:tab w:leader="none" w:pos="640" w:val="left"/>
        </w:tabs>
        <w:numPr>
          <w:ilvl w:val="0"/>
          <w:numId w:val="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 Valuations</w:t>
      </w:r>
    </w:p>
    <w:p>
      <w:pPr>
        <w:spacing w:after="0" w:line="150" w:lineRule="exact"/>
        <w:rPr>
          <w:sz w:val="20"/>
          <w:szCs w:val="20"/>
          <w:color w:val="auto"/>
        </w:rPr>
      </w:pPr>
    </w:p>
    <w:p>
      <w:pPr>
        <w:ind w:right="220" w:firstLine="449"/>
        <w:spacing w:after="0" w:line="233" w:lineRule="auto"/>
        <w:rPr>
          <w:sz w:val="20"/>
          <w:szCs w:val="20"/>
          <w:color w:val="auto"/>
        </w:rPr>
      </w:pPr>
      <w:r>
        <w:rPr>
          <w:rFonts w:ascii="Arial" w:cs="Arial" w:eastAsia="Arial" w:hAnsi="Arial"/>
          <w:sz w:val="14"/>
          <w:szCs w:val="14"/>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18" w:name="page19"/>
    <w:bookmarkEnd w:id="18"/>
    <w:p>
      <w:pPr>
        <w:ind w:left="328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(Unaudited)</w:t>
      </w:r>
    </w:p>
    <w:p>
      <w:pPr>
        <w:spacing w:after="0" w:line="151" w:lineRule="exact"/>
        <w:rPr>
          <w:sz w:val="20"/>
          <w:szCs w:val="20"/>
          <w:color w:val="auto"/>
        </w:rPr>
      </w:pPr>
    </w:p>
    <w:p>
      <w:pPr>
        <w:ind w:right="420"/>
        <w:spacing w:after="0" w:line="233" w:lineRule="auto"/>
        <w:rPr>
          <w:sz w:val="20"/>
          <w:szCs w:val="20"/>
          <w:color w:val="auto"/>
        </w:rPr>
      </w:pPr>
      <w:r>
        <w:rPr>
          <w:rFonts w:ascii="Arial" w:cs="Arial" w:eastAsia="Arial" w:hAnsi="Arial"/>
          <w:sz w:val="14"/>
          <w:szCs w:val="14"/>
          <w:color w:val="auto"/>
        </w:rPr>
        <w:t>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7" w:lineRule="exact"/>
        <w:rPr>
          <w:sz w:val="20"/>
          <w:szCs w:val="20"/>
          <w:color w:val="auto"/>
        </w:rPr>
      </w:pPr>
    </w:p>
    <w:p>
      <w:pPr>
        <w:ind w:right="340" w:firstLine="449"/>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840" w:right="100" w:hanging="383"/>
        <w:spacing w:after="0" w:line="273" w:lineRule="auto"/>
        <w:tabs>
          <w:tab w:leader="none" w:pos="84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106" w:lineRule="exact"/>
        <w:rPr>
          <w:rFonts w:ascii="Arial" w:cs="Arial" w:eastAsia="Arial" w:hAnsi="Arial"/>
          <w:sz w:val="14"/>
          <w:szCs w:val="14"/>
          <w:color w:val="auto"/>
        </w:rPr>
      </w:pPr>
    </w:p>
    <w:p>
      <w:pPr>
        <w:ind w:left="840" w:hanging="383"/>
        <w:spacing w:after="0"/>
        <w:tabs>
          <w:tab w:leader="none" w:pos="8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36" w:lineRule="exact"/>
        <w:rPr>
          <w:rFonts w:ascii="Arial" w:cs="Arial" w:eastAsia="Arial" w:hAnsi="Arial"/>
          <w:sz w:val="14"/>
          <w:szCs w:val="14"/>
          <w:color w:val="auto"/>
        </w:rPr>
      </w:pPr>
    </w:p>
    <w:p>
      <w:pPr>
        <w:jc w:val="both"/>
        <w:ind w:left="840" w:right="140" w:hanging="383"/>
        <w:spacing w:after="0" w:line="286" w:lineRule="auto"/>
        <w:tabs>
          <w:tab w:leader="none" w:pos="84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40" w:right="20" w:hanging="383"/>
        <w:spacing w:after="0" w:line="257" w:lineRule="auto"/>
        <w:tabs>
          <w:tab w:leader="none" w:pos="8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7" w:lineRule="exact"/>
        <w:rPr>
          <w:rFonts w:ascii="Arial" w:cs="Arial" w:eastAsia="Arial" w:hAnsi="Arial"/>
          <w:sz w:val="14"/>
          <w:szCs w:val="14"/>
          <w:color w:val="auto"/>
        </w:rPr>
      </w:pPr>
    </w:p>
    <w:p>
      <w:pPr>
        <w:ind w:left="840" w:right="140" w:hanging="383"/>
        <w:spacing w:after="0" w:line="273" w:lineRule="auto"/>
        <w:tabs>
          <w:tab w:leader="none" w:pos="84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20" w:lineRule="exact"/>
        <w:rPr>
          <w:sz w:val="20"/>
          <w:szCs w:val="20"/>
          <w:color w:val="auto"/>
        </w:rPr>
      </w:pPr>
    </w:p>
    <w:p>
      <w:pPr>
        <w:ind w:right="20" w:firstLine="449"/>
        <w:spacing w:after="0" w:line="277"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0" w:lineRule="exact"/>
        <w:rPr>
          <w:sz w:val="20"/>
          <w:szCs w:val="20"/>
          <w:color w:val="auto"/>
        </w:rPr>
      </w:pPr>
    </w:p>
    <w:p>
      <w:pPr>
        <w:ind w:left="640" w:hanging="377"/>
        <w:spacing w:after="0"/>
        <w:tabs>
          <w:tab w:leader="none" w:pos="64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163" w:lineRule="exact"/>
        <w:rPr>
          <w:sz w:val="20"/>
          <w:szCs w:val="20"/>
          <w:color w:val="auto"/>
        </w:rPr>
      </w:pPr>
    </w:p>
    <w:p>
      <w:pPr>
        <w:ind w:right="40" w:firstLine="449"/>
        <w:spacing w:after="0" w:line="252"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and the Credit Facilities during the reporting period, including the reversal of previously recorded unrealized appreciation or depreciation, when gains or losses are realized.</w:t>
      </w:r>
    </w:p>
    <w:p>
      <w:pPr>
        <w:spacing w:after="0" w:line="134" w:lineRule="exact"/>
        <w:rPr>
          <w:sz w:val="20"/>
          <w:szCs w:val="20"/>
          <w:color w:val="auto"/>
        </w:rPr>
      </w:pPr>
    </w:p>
    <w:p>
      <w:pPr>
        <w:ind w:right="60" w:firstLine="449"/>
        <w:spacing w:after="0" w:line="268"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27" w:lineRule="exact"/>
        <w:rPr>
          <w:sz w:val="20"/>
          <w:szCs w:val="20"/>
          <w:color w:val="auto"/>
        </w:rPr>
      </w:pPr>
    </w:p>
    <w:p>
      <w:pPr>
        <w:ind w:right="300" w:firstLine="449"/>
        <w:spacing w:after="0" w:line="252"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December 31, 2021, and September 30, 2021, we had no portfolio companies on non-accrual.</w:t>
      </w:r>
    </w:p>
    <w:p>
      <w:pPr>
        <w:spacing w:after="0" w:line="134" w:lineRule="exact"/>
        <w:rPr>
          <w:sz w:val="20"/>
          <w:szCs w:val="20"/>
          <w:color w:val="auto"/>
        </w:rPr>
      </w:pPr>
    </w:p>
    <w:p>
      <w:pPr>
        <w:ind w:left="640" w:hanging="377"/>
        <w:spacing w:after="0"/>
        <w:tabs>
          <w:tab w:leader="none" w:pos="64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Income Taxes</w:t>
      </w:r>
    </w:p>
    <w:p>
      <w:pPr>
        <w:spacing w:after="0" w:line="163" w:lineRule="exact"/>
        <w:rPr>
          <w:sz w:val="20"/>
          <w:szCs w:val="20"/>
          <w:color w:val="auto"/>
        </w:rPr>
      </w:pPr>
    </w:p>
    <w:p>
      <w:pPr>
        <w:ind w:firstLine="449"/>
        <w:spacing w:after="0" w:line="270" w:lineRule="auto"/>
        <w:rPr>
          <w:sz w:val="20"/>
          <w:szCs w:val="20"/>
          <w:color w:val="auto"/>
        </w:rPr>
      </w:pPr>
      <w:r>
        <w:rPr>
          <w:rFonts w:ascii="Arial" w:cs="Arial" w:eastAsia="Arial" w:hAnsi="Arial"/>
          <w:sz w:val="13"/>
          <w:szCs w:val="13"/>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 we typically do not incur material federal income taxes. However, we may choose to retain a portion of our calendar year income, which may result in the imposition of an excise tax. Additionally, certain of the Company’s consolidated subsidiaries are subject to federal and state and local income taxes. For the three months ended December 31, 2021 and 2020, we recorded a provision for taxes of $0.2 million and $0.2 million respectively, all of which pertains to U.S. federal excise tax.</w:t>
      </w:r>
    </w:p>
    <w:p>
      <w:pPr>
        <w:spacing w:after="0" w:line="125" w:lineRule="exact"/>
        <w:rPr>
          <w:sz w:val="20"/>
          <w:szCs w:val="20"/>
          <w:color w:val="auto"/>
        </w:rPr>
      </w:pPr>
    </w:p>
    <w:p>
      <w:pPr>
        <w:jc w:val="both"/>
        <w:ind w:right="200" w:firstLine="449"/>
        <w:spacing w:after="0" w:line="270"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ind w:left="328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(Unaudited)</w:t>
      </w:r>
    </w:p>
    <w:p>
      <w:pPr>
        <w:spacing w:after="0" w:line="151" w:lineRule="exact"/>
        <w:rPr>
          <w:sz w:val="20"/>
          <w:szCs w:val="20"/>
          <w:color w:val="auto"/>
        </w:rPr>
      </w:pPr>
    </w:p>
    <w:p>
      <w:pPr>
        <w:ind w:right="60" w:firstLine="449"/>
        <w:spacing w:after="0" w:line="273" w:lineRule="auto"/>
        <w:rPr>
          <w:sz w:val="20"/>
          <w:szCs w:val="20"/>
          <w:color w:val="auto"/>
        </w:rPr>
      </w:pPr>
      <w:r>
        <w:rPr>
          <w:rFonts w:ascii="Arial" w:cs="Arial" w:eastAsia="Arial" w:hAnsi="Arial"/>
          <w:sz w:val="14"/>
          <w:szCs w:val="14"/>
          <w:color w:val="auto"/>
        </w:rPr>
        <w:t>PNNT Investment Holdings, LLC, a wholly-owned subsidiary of the Company, is subject to U.S. federal, state and local corporate income taxes. The income tax expense and related tax liabilities of the Taxable Subsidiary are reflected in the Company’s consolidated financial statements.</w:t>
      </w:r>
    </w:p>
    <w:p>
      <w:pPr>
        <w:spacing w:after="0" w:line="120" w:lineRule="exact"/>
        <w:rPr>
          <w:sz w:val="20"/>
          <w:szCs w:val="20"/>
          <w:color w:val="auto"/>
        </w:rPr>
      </w:pPr>
    </w:p>
    <w:p>
      <w:pPr>
        <w:ind w:firstLine="449"/>
        <w:spacing w:after="0" w:line="273" w:lineRule="auto"/>
        <w:rPr>
          <w:sz w:val="20"/>
          <w:szCs w:val="20"/>
          <w:color w:val="auto"/>
        </w:rPr>
      </w:pPr>
      <w:r>
        <w:rPr>
          <w:rFonts w:ascii="Arial" w:cs="Arial" w:eastAsia="Arial" w:hAnsi="Arial"/>
          <w:sz w:val="13"/>
          <w:szCs w:val="13"/>
          <w:color w:val="auto"/>
        </w:rPr>
        <w:t>For the three months ended December 31, 2021, the Company recognized a provision for taxes of $(5.0) million on unrealized appreciation on investments related to the Taxable Subsidiary. The provision for taxes on unrealized appreciation of investments is the result of netting (i) an expected tax liability on the gain from the sale of an investment which is likely to be realized during fiscal year ending September 30, 2022 and (ii) the expected tax benefit resulting from the use of loss carryforwards. For the three months ended December 31, 2020, the Company recognized a provision for taxes of zero on unrealized appreciation on investments related to the Taxable Subsidiary. As of December 31, 2021 and September 30, 2021, $5.0 million and zero, respectively, was included in deferred taxes liability on the Consolidated Statements of Assets and Liabilities relating to unrealized gains on investments.</w:t>
      </w:r>
    </w:p>
    <w:p>
      <w:pPr>
        <w:spacing w:after="0" w:line="108" w:lineRule="exact"/>
        <w:rPr>
          <w:sz w:val="20"/>
          <w:szCs w:val="20"/>
          <w:color w:val="auto"/>
        </w:rPr>
      </w:pPr>
    </w:p>
    <w:p>
      <w:pPr>
        <w:ind w:right="20" w:firstLine="449"/>
        <w:spacing w:after="0" w:line="286" w:lineRule="auto"/>
        <w:rPr>
          <w:sz w:val="20"/>
          <w:szCs w:val="20"/>
          <w:color w:val="auto"/>
        </w:rPr>
      </w:pPr>
      <w:r>
        <w:rPr>
          <w:rFonts w:ascii="Arial" w:cs="Arial" w:eastAsia="Arial" w:hAnsi="Arial"/>
          <w:sz w:val="13"/>
          <w:szCs w:val="13"/>
          <w:color w:val="auto"/>
        </w:rPr>
        <w:t>Because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14" w:lineRule="exact"/>
        <w:rPr>
          <w:sz w:val="20"/>
          <w:szCs w:val="20"/>
          <w:color w:val="auto"/>
        </w:rPr>
      </w:pPr>
    </w:p>
    <w:p>
      <w:pPr>
        <w:ind w:left="640" w:hanging="377"/>
        <w:spacing w:after="0"/>
        <w:tabs>
          <w:tab w:leader="none" w:pos="64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Distributions and Capital Transactions</w:t>
      </w:r>
    </w:p>
    <w:p>
      <w:pPr>
        <w:spacing w:after="0" w:line="163" w:lineRule="exact"/>
        <w:rPr>
          <w:sz w:val="20"/>
          <w:szCs w:val="20"/>
          <w:color w:val="auto"/>
        </w:rPr>
      </w:pPr>
    </w:p>
    <w:p>
      <w:pPr>
        <w:ind w:right="60" w:firstLine="449"/>
        <w:spacing w:after="0" w:line="257"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our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31" w:lineRule="exact"/>
        <w:rPr>
          <w:sz w:val="20"/>
          <w:szCs w:val="20"/>
          <w:color w:val="auto"/>
        </w:rPr>
      </w:pPr>
    </w:p>
    <w:p>
      <w:pPr>
        <w:ind w:right="40" w:firstLine="449"/>
        <w:spacing w:after="0" w:line="27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20" w:lineRule="exact"/>
        <w:rPr>
          <w:sz w:val="20"/>
          <w:szCs w:val="20"/>
          <w:color w:val="auto"/>
        </w:rPr>
      </w:pPr>
    </w:p>
    <w:p>
      <w:pPr>
        <w:ind w:left="640" w:hanging="377"/>
        <w:spacing w:after="0"/>
        <w:tabs>
          <w:tab w:leader="none" w:pos="64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63" w:lineRule="exact"/>
        <w:rPr>
          <w:sz w:val="20"/>
          <w:szCs w:val="20"/>
          <w:color w:val="auto"/>
        </w:rPr>
      </w:pPr>
    </w:p>
    <w:p>
      <w:pPr>
        <w:ind w:left="840" w:hanging="383"/>
        <w:spacing w:after="0"/>
        <w:tabs>
          <w:tab w:leader="none" w:pos="8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840" w:hanging="383"/>
        <w:spacing w:after="0"/>
        <w:tabs>
          <w:tab w:leader="none" w:pos="8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63"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31" w:lineRule="exact"/>
        <w:rPr>
          <w:sz w:val="20"/>
          <w:szCs w:val="20"/>
          <w:color w:val="auto"/>
        </w:rPr>
      </w:pPr>
    </w:p>
    <w:p>
      <w:pPr>
        <w:jc w:val="both"/>
        <w:ind w:right="120" w:firstLine="449"/>
        <w:spacing w:after="0" w:line="257"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31" w:lineRule="exact"/>
        <w:rPr>
          <w:sz w:val="20"/>
          <w:szCs w:val="20"/>
          <w:color w:val="auto"/>
        </w:rPr>
      </w:pPr>
    </w:p>
    <w:p>
      <w:pPr>
        <w:ind w:left="640" w:hanging="377"/>
        <w:spacing w:after="0"/>
        <w:tabs>
          <w:tab w:leader="none" w:pos="640"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Consolidation</w:t>
      </w:r>
    </w:p>
    <w:p>
      <w:pPr>
        <w:spacing w:after="0" w:line="150" w:lineRule="exact"/>
        <w:rPr>
          <w:sz w:val="20"/>
          <w:szCs w:val="20"/>
          <w:color w:val="auto"/>
        </w:rPr>
      </w:pPr>
    </w:p>
    <w:p>
      <w:pPr>
        <w:jc w:val="both"/>
        <w:ind w:right="60" w:firstLine="449"/>
        <w:spacing w:after="0" w:line="286" w:lineRule="auto"/>
        <w:rPr>
          <w:sz w:val="20"/>
          <w:szCs w:val="20"/>
          <w:color w:val="auto"/>
        </w:rPr>
      </w:pPr>
      <w:r>
        <w:rPr>
          <w:rFonts w:ascii="Arial" w:cs="Arial" w:eastAsia="Arial" w:hAnsi="Arial"/>
          <w:sz w:val="13"/>
          <w:szCs w:val="13"/>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Subsidiary in our Consolidated Financial Statements. We do not consolidate our non-controlling interest in PSLF. See further description of our investment in PSLF in Note 4.</w:t>
      </w:r>
    </w:p>
    <w:p>
      <w:pPr>
        <w:spacing w:after="0" w:line="114" w:lineRule="exact"/>
        <w:rPr>
          <w:sz w:val="20"/>
          <w:szCs w:val="20"/>
          <w:color w:val="auto"/>
        </w:rPr>
      </w:pPr>
    </w:p>
    <w:p>
      <w:pPr>
        <w:ind w:left="640" w:hanging="377"/>
        <w:spacing w:after="0"/>
        <w:tabs>
          <w:tab w:leader="none" w:pos="640" w:val="left"/>
        </w:tabs>
        <w:numPr>
          <w:ilvl w:val="0"/>
          <w:numId w:val="1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Asset Transfers and Servicing</w:t>
      </w:r>
    </w:p>
    <w:p>
      <w:pPr>
        <w:spacing w:after="0" w:line="163" w:lineRule="exact"/>
        <w:rPr>
          <w:sz w:val="20"/>
          <w:szCs w:val="20"/>
          <w:color w:val="auto"/>
        </w:rPr>
      </w:pPr>
    </w:p>
    <w:p>
      <w:pPr>
        <w:ind w:right="20" w:firstLine="449"/>
        <w:spacing w:after="0" w:line="273"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the Consolidated Schedules of Investments as investments.</w:t>
      </w:r>
    </w:p>
    <w:p>
      <w:pPr>
        <w:spacing w:after="0" w:line="120" w:lineRule="exact"/>
        <w:rPr>
          <w:sz w:val="20"/>
          <w:szCs w:val="20"/>
          <w:color w:val="auto"/>
        </w:rPr>
      </w:pPr>
    </w:p>
    <w:p>
      <w:pPr>
        <w:ind w:left="620" w:hanging="388"/>
        <w:spacing w:after="0"/>
        <w:tabs>
          <w:tab w:leader="none" w:pos="620" w:val="left"/>
        </w:tabs>
        <w:numPr>
          <w:ilvl w:val="0"/>
          <w:numId w:val="1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Recent Accounting Pronouncements</w:t>
      </w:r>
    </w:p>
    <w:p>
      <w:pPr>
        <w:spacing w:after="0" w:line="163" w:lineRule="exact"/>
        <w:rPr>
          <w:sz w:val="20"/>
          <w:szCs w:val="20"/>
          <w:color w:val="auto"/>
        </w:rPr>
      </w:pPr>
    </w:p>
    <w:p>
      <w:pPr>
        <w:ind w:right="140" w:firstLine="449"/>
        <w:spacing w:after="0" w:line="277" w:lineRule="auto"/>
        <w:rPr>
          <w:sz w:val="20"/>
          <w:szCs w:val="20"/>
          <w:color w:val="auto"/>
        </w:rPr>
      </w:pPr>
      <w:r>
        <w:rPr>
          <w:rFonts w:ascii="Arial" w:cs="Arial" w:eastAsia="Arial" w:hAnsi="Arial"/>
          <w:sz w:val="13"/>
          <w:szCs w:val="13"/>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is evaluating the potential impact that the adoption of this guidance will have on the Company’s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67" w:lineRule="exact"/>
        <w:rPr>
          <w:sz w:val="20"/>
          <w:szCs w:val="20"/>
          <w:color w:val="auto"/>
        </w:rPr>
      </w:pPr>
    </w:p>
    <w:p>
      <w:pPr>
        <w:ind w:left="1020" w:right="8540" w:hanging="787"/>
        <w:spacing w:after="0" w:line="563" w:lineRule="auto"/>
        <w:tabs>
          <w:tab w:leader="none" w:pos="502" w:val="left"/>
        </w:tabs>
        <w:numPr>
          <w:ilvl w:val="0"/>
          <w:numId w:val="1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Investment Management Agreement Base Management Fee</w:t>
      </w:r>
    </w:p>
    <w:p>
      <w:pPr>
        <w:spacing w:after="0" w:line="1" w:lineRule="exact"/>
        <w:rPr>
          <w:sz w:val="20"/>
          <w:szCs w:val="20"/>
          <w:color w:val="auto"/>
        </w:rPr>
      </w:pPr>
    </w:p>
    <w:p>
      <w:pPr>
        <w:ind w:right="40" w:firstLine="449"/>
        <w:spacing w:after="0" w:line="252"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2022. Under the Investment Management Agreement, the Investment Adviser, subject to the overall supervision of our board of directors, manages the day-to-day operations of and provides investment advisory services to, us. The Investment Adviser serves as the servicer to Funding I and has irrevocably directed that the management fee owed to it with respect to such services be paid to the Company so long as the Investment Adviser</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0" w:name="page21"/>
    <w:bookmarkEnd w:id="20"/>
    <w:p>
      <w:pPr>
        <w:ind w:left="328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(Unaudited)</w:t>
      </w:r>
    </w:p>
    <w:p>
      <w:pPr>
        <w:spacing w:after="0" w:line="151" w:lineRule="exact"/>
        <w:rPr>
          <w:sz w:val="20"/>
          <w:szCs w:val="20"/>
          <w:color w:val="auto"/>
        </w:rPr>
      </w:pPr>
    </w:p>
    <w:p>
      <w:pPr>
        <w:ind w:right="80"/>
        <w:spacing w:after="0" w:line="312" w:lineRule="auto"/>
        <w:rPr>
          <w:sz w:val="20"/>
          <w:szCs w:val="20"/>
          <w:color w:val="auto"/>
        </w:rPr>
      </w:pPr>
      <w:r>
        <w:rPr>
          <w:rFonts w:ascii="Arial" w:cs="Arial" w:eastAsia="Arial" w:hAnsi="Arial"/>
          <w:sz w:val="13"/>
          <w:szCs w:val="13"/>
          <w:color w:val="auto"/>
        </w:rPr>
        <w:t>remains the servicer. SBIC II’s investment management agreement does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97" w:lineRule="exact"/>
        <w:rPr>
          <w:sz w:val="20"/>
          <w:szCs w:val="20"/>
          <w:color w:val="auto"/>
        </w:rPr>
      </w:pPr>
    </w:p>
    <w:p>
      <w:pPr>
        <w:ind w:right="20" w:firstLine="449"/>
        <w:spacing w:after="0" w:line="265" w:lineRule="auto"/>
        <w:rPr>
          <w:sz w:val="20"/>
          <w:szCs w:val="20"/>
          <w:color w:val="auto"/>
        </w:rPr>
      </w:pPr>
      <w:r>
        <w:rPr>
          <w:rFonts w:ascii="Arial" w:cs="Arial" w:eastAsia="Arial" w:hAnsi="Arial"/>
          <w:sz w:val="13"/>
          <w:szCs w:val="13"/>
          <w:color w:val="auto"/>
        </w:rPr>
        <w:t>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also approved an amendment to the Investment Management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2021 and 2020, the Investment Adviser earned a base management fee of $5.1 million and $4.1 million, respectively, from us.</w:t>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14"/>
          <w:szCs w:val="14"/>
          <w:b w:val="1"/>
          <w:bCs w:val="1"/>
          <w:i w:val="1"/>
          <w:iCs w:val="1"/>
          <w:color w:val="auto"/>
        </w:rPr>
        <w:t>Incentive Fee</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50" w:lineRule="exact"/>
        <w:rPr>
          <w:sz w:val="20"/>
          <w:szCs w:val="20"/>
          <w:color w:val="auto"/>
        </w:rPr>
      </w:pPr>
    </w:p>
    <w:p>
      <w:pPr>
        <w:ind w:firstLine="449"/>
        <w:spacing w:after="0" w:line="264"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w:t>
      </w:r>
    </w:p>
    <w:p>
      <w:pPr>
        <w:spacing w:after="0" w:line="106" w:lineRule="exact"/>
        <w:rPr>
          <w:sz w:val="20"/>
          <w:szCs w:val="20"/>
          <w:color w:val="auto"/>
        </w:rPr>
      </w:pPr>
    </w:p>
    <w:p>
      <w:pPr>
        <w:ind w:right="180" w:firstLine="449"/>
        <w:spacing w:after="0" w:line="257" w:lineRule="auto"/>
        <w:rPr>
          <w:sz w:val="20"/>
          <w:szCs w:val="20"/>
          <w:color w:val="auto"/>
        </w:rPr>
      </w:pPr>
      <w:r>
        <w:rPr>
          <w:rFonts w:ascii="Arial" w:cs="Arial" w:eastAsia="Arial" w:hAnsi="Arial"/>
          <w:sz w:val="14"/>
          <w:szCs w:val="14"/>
          <w:color w:val="auto"/>
        </w:rPr>
        <w:t>Beginning April 1, 2020 and through June 30, 2021, the Investment Adviser has voluntarily agreed, in consultation with our board of directors, to irrevocably waive the performance-based incentive fees. For the three months ended December 31, 2021 and 2020, the Investment Adviser earned an incentive fee of $2.7 million and zero million, respectively, on net investment income from us.</w:t>
      </w:r>
    </w:p>
    <w:p>
      <w:pPr>
        <w:spacing w:after="0" w:line="117" w:lineRule="exact"/>
        <w:rPr>
          <w:sz w:val="20"/>
          <w:szCs w:val="20"/>
          <w:color w:val="auto"/>
        </w:rPr>
      </w:pPr>
    </w:p>
    <w:p>
      <w:pPr>
        <w:ind w:right="60" w:firstLine="449"/>
        <w:spacing w:after="0" w:line="249"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w:t>
      </w:r>
      <w:r>
        <w:rPr>
          <w:rFonts w:ascii="Arial" w:cs="Arial" w:eastAsia="Arial" w:hAnsi="Arial"/>
          <w:sz w:val="14"/>
          <w:szCs w:val="14"/>
          <w:color w:val="auto"/>
          <w:strike w:val="1"/>
        </w:rPr>
        <w:t>,</w:t>
      </w:r>
      <w:r>
        <w:rPr>
          <w:rFonts w:ascii="Arial" w:cs="Arial" w:eastAsia="Arial" w:hAnsi="Arial"/>
          <w:sz w:val="14"/>
          <w:szCs w:val="14"/>
          <w:color w:val="auto"/>
        </w:rPr>
        <w:t xml:space="preserve">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months ended December 31, 2021 and 2020, the Investment Adviser did not accrue an incentive fee on capital gains as calculated under the Investment Management Agreement (as described above).</w:t>
      </w:r>
    </w:p>
    <w:p>
      <w:pPr>
        <w:spacing w:after="0" w:line="123" w:lineRule="exact"/>
        <w:rPr>
          <w:sz w:val="20"/>
          <w:szCs w:val="20"/>
          <w:color w:val="auto"/>
        </w:rPr>
      </w:pPr>
    </w:p>
    <w:p>
      <w:pPr>
        <w:ind w:right="80" w:firstLine="449"/>
        <w:spacing w:after="0" w:line="268" w:lineRule="auto"/>
        <w:rPr>
          <w:sz w:val="20"/>
          <w:szCs w:val="20"/>
          <w:color w:val="auto"/>
        </w:rPr>
      </w:pPr>
      <w:r>
        <w:rPr>
          <w:rFonts w:ascii="Arial" w:cs="Arial" w:eastAsia="Arial" w:hAnsi="Arial"/>
          <w:sz w:val="13"/>
          <w:szCs w:val="13"/>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For each of the three months ended December 31, 2021 and 2020, the Investment Adviser did not accrue an incentive fee on capital gains as calculated under GAAP.</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(b) Administration Agreement</w:t>
      </w:r>
    </w:p>
    <w:p>
      <w:pPr>
        <w:spacing w:after="0" w:line="163" w:lineRule="exact"/>
        <w:rPr>
          <w:sz w:val="20"/>
          <w:szCs w:val="20"/>
          <w:color w:val="auto"/>
        </w:rPr>
      </w:pPr>
    </w:p>
    <w:p>
      <w:pPr>
        <w:ind w:right="60" w:firstLine="449"/>
        <w:spacing w:after="0" w:line="246"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our directors who are not interested persons of us, in February 2022. Under the Administration Agreement, the Administrator provides administrative services and office facilities to us. The Administrator provides similar services to SBIC II under its administration agreement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months ended December 31, 2021 and 2020 ,we reimbursed the Investment Adviser approximately $0.2 million and $0.2 million, respectively, including expenses the Investment Adviser incurred on behalf of the Administrator, for the services described above.</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 Other Related Party Transactions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There were no transactions subject to Rule 17a-7 under the 1940 Act during each of the three months ended December 31, 2021 and 2020.</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left="328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(Unaudited)</w:t>
      </w:r>
    </w:p>
    <w:p>
      <w:pPr>
        <w:spacing w:after="0" w:line="151" w:lineRule="exact"/>
        <w:rPr>
          <w:sz w:val="20"/>
          <w:szCs w:val="20"/>
          <w:color w:val="auto"/>
        </w:rPr>
      </w:pPr>
    </w:p>
    <w:p>
      <w:pPr>
        <w:ind w:right="40" w:firstLine="449"/>
        <w:spacing w:after="0" w:line="273" w:lineRule="auto"/>
        <w:rPr>
          <w:sz w:val="20"/>
          <w:szCs w:val="20"/>
          <w:color w:val="auto"/>
        </w:rPr>
      </w:pPr>
      <w:r>
        <w:rPr>
          <w:rFonts w:ascii="Arial" w:cs="Arial" w:eastAsia="Arial" w:hAnsi="Arial"/>
          <w:sz w:val="14"/>
          <w:szCs w:val="14"/>
          <w:color w:val="auto"/>
        </w:rPr>
        <w:t>For the three months ended December 31, 2021 and 2020,we sold $48.1million and $22.3 million in investments to PSLF at fair value, respectively, and recognized $$0.1million and $0.1 million of net realized gains,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67" w:lineRule="exact"/>
        <w:rPr>
          <w:sz w:val="20"/>
          <w:szCs w:val="20"/>
          <w:color w:val="auto"/>
        </w:rPr>
      </w:pPr>
    </w:p>
    <w:p>
      <w:pPr>
        <w:ind w:firstLine="449"/>
        <w:spacing w:after="0" w:line="273" w:lineRule="auto"/>
        <w:rPr>
          <w:sz w:val="20"/>
          <w:szCs w:val="20"/>
          <w:color w:val="auto"/>
        </w:rPr>
      </w:pPr>
      <w:r>
        <w:rPr>
          <w:rFonts w:ascii="Arial" w:cs="Arial" w:eastAsia="Arial" w:hAnsi="Arial"/>
          <w:sz w:val="14"/>
          <w:szCs w:val="14"/>
          <w:color w:val="auto"/>
        </w:rPr>
        <w:t>Purchases of investments, including PIK interest, for the three months ended December 31, 2021 and 2020 totaled $295.1 million and $71.7 million, respectively. Sales and repayments of investments for the three months ended December 31, 2021 and 2020 totaled $132.2 million and $102.6 million, respectively.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928"/>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r>
      <w:tr>
        <w:trPr>
          <w:trHeight w:val="169"/>
        </w:trPr>
        <w:tc>
          <w:tcPr>
            <w:tcW w:w="442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 Classification</w:t>
            </w:r>
          </w:p>
        </w:tc>
        <w:tc>
          <w:tcPr>
            <w:tcW w:w="340" w:type="dxa"/>
            <w:vAlign w:val="bottom"/>
          </w:tcPr>
          <w:p>
            <w:pPr>
              <w:spacing w:after="0"/>
              <w:rPr>
                <w:sz w:val="14"/>
                <w:szCs w:val="14"/>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169"/>
        </w:trPr>
        <w:tc>
          <w:tcPr>
            <w:tcW w:w="424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First lien</w:t>
            </w:r>
          </w:p>
        </w:tc>
        <w:tc>
          <w:tcPr>
            <w:tcW w:w="180" w:type="dxa"/>
            <w:vAlign w:val="bottom"/>
            <w:shd w:val="clear" w:color="auto" w:fill="CCECFF"/>
          </w:tcPr>
          <w:p>
            <w:pPr>
              <w:spacing w:after="0"/>
              <w:rPr>
                <w:sz w:val="14"/>
                <w:szCs w:val="14"/>
                <w:color w:val="auto"/>
              </w:rPr>
            </w:pPr>
          </w:p>
        </w:tc>
        <w:tc>
          <w:tcPr>
            <w:tcW w:w="340" w:type="dxa"/>
            <w:vAlign w:val="bottom"/>
            <w:tcBorders>
              <w:top w:val="single" w:sz="8" w:color="auto"/>
            </w:tcBorders>
            <w:shd w:val="clear" w:color="auto" w:fill="CCEC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674,642,039</w:t>
            </w:r>
          </w:p>
        </w:tc>
        <w:tc>
          <w:tcPr>
            <w:tcW w:w="30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672,721,135</w:t>
            </w:r>
          </w:p>
        </w:tc>
        <w:tc>
          <w:tcPr>
            <w:tcW w:w="260" w:type="dxa"/>
            <w:vAlign w:val="bottom"/>
            <w:shd w:val="clear" w:color="auto" w:fill="CCECFF"/>
          </w:tcPr>
          <w:p>
            <w:pPr>
              <w:spacing w:after="0"/>
              <w:rPr>
                <w:sz w:val="14"/>
                <w:szCs w:val="14"/>
                <w:color w:val="auto"/>
              </w:rPr>
            </w:pPr>
          </w:p>
        </w:tc>
        <w:tc>
          <w:tcPr>
            <w:tcW w:w="340" w:type="dxa"/>
            <w:vAlign w:val="bottom"/>
            <w:tcBorders>
              <w:top w:val="single" w:sz="8" w:color="auto"/>
            </w:tcBorders>
            <w:shd w:val="clear" w:color="auto" w:fill="CCEC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551,435,262</w:t>
            </w:r>
          </w:p>
        </w:tc>
        <w:tc>
          <w:tcPr>
            <w:tcW w:w="28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552,530,069</w:t>
            </w:r>
          </w:p>
        </w:tc>
        <w:tc>
          <w:tcPr>
            <w:tcW w:w="100" w:type="dxa"/>
            <w:vAlign w:val="bottom"/>
            <w:shd w:val="clear" w:color="auto" w:fill="CCECFF"/>
          </w:tcPr>
          <w:p>
            <w:pPr>
              <w:spacing w:after="0"/>
              <w:rPr>
                <w:sz w:val="14"/>
                <w:szCs w:val="14"/>
                <w:color w:val="auto"/>
              </w:rPr>
            </w:pPr>
          </w:p>
        </w:tc>
      </w:tr>
      <w:tr>
        <w:trPr>
          <w:trHeight w:val="175"/>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Second lien</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214,015,829</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213,883,480</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176,982,716</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176,893,514</w:t>
            </w:r>
          </w:p>
        </w:tc>
        <w:tc>
          <w:tcPr>
            <w:tcW w:w="100" w:type="dxa"/>
            <w:vAlign w:val="bottom"/>
          </w:tcPr>
          <w:p>
            <w:pPr>
              <w:spacing w:after="0"/>
              <w:rPr>
                <w:sz w:val="15"/>
                <w:szCs w:val="15"/>
                <w:color w:val="auto"/>
              </w:rPr>
            </w:pPr>
          </w:p>
        </w:tc>
      </w:tr>
      <w:tr>
        <w:trPr>
          <w:trHeight w:val="176"/>
        </w:trPr>
        <w:tc>
          <w:tcPr>
            <w:tcW w:w="442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Subordinated debt / corporate notes</w:t>
            </w:r>
          </w:p>
        </w:tc>
        <w:tc>
          <w:tcPr>
            <w:tcW w:w="34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57,808,201</w:t>
            </w:r>
          </w:p>
        </w:tc>
        <w:tc>
          <w:tcPr>
            <w:tcW w:w="3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54,552,925</w:t>
            </w:r>
          </w:p>
        </w:tc>
        <w:tc>
          <w:tcPr>
            <w:tcW w:w="2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56,315,308</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57,014,996</w:t>
            </w:r>
          </w:p>
        </w:tc>
        <w:tc>
          <w:tcPr>
            <w:tcW w:w="100" w:type="dxa"/>
            <w:vAlign w:val="bottom"/>
            <w:shd w:val="clear" w:color="auto" w:fill="CCECFF"/>
          </w:tcPr>
          <w:p>
            <w:pPr>
              <w:spacing w:after="0"/>
              <w:rPr>
                <w:sz w:val="15"/>
                <w:szCs w:val="15"/>
                <w:color w:val="auto"/>
              </w:rPr>
            </w:pPr>
          </w:p>
        </w:tc>
      </w:tr>
      <w:tr>
        <w:trPr>
          <w:trHeight w:val="175"/>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Subordinated notes in PSLF</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64,154,570</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64,154,570</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64,154,570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64,154,570</w:t>
            </w:r>
          </w:p>
        </w:tc>
        <w:tc>
          <w:tcPr>
            <w:tcW w:w="100" w:type="dxa"/>
            <w:vAlign w:val="bottom"/>
          </w:tcPr>
          <w:p>
            <w:pPr>
              <w:spacing w:after="0"/>
              <w:rPr>
                <w:sz w:val="15"/>
                <w:szCs w:val="15"/>
                <w:color w:val="auto"/>
              </w:rPr>
            </w:pPr>
          </w:p>
        </w:tc>
      </w:tr>
      <w:tr>
        <w:trPr>
          <w:trHeight w:val="176"/>
        </w:trPr>
        <w:tc>
          <w:tcPr>
            <w:tcW w:w="442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Equity</w:t>
            </w:r>
          </w:p>
        </w:tc>
        <w:tc>
          <w:tcPr>
            <w:tcW w:w="34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319,975,971</w:t>
            </w:r>
          </w:p>
        </w:tc>
        <w:tc>
          <w:tcPr>
            <w:tcW w:w="3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398,478,690</w:t>
            </w:r>
          </w:p>
        </w:tc>
        <w:tc>
          <w:tcPr>
            <w:tcW w:w="2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338,340,770</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363,537,060</w:t>
            </w:r>
          </w:p>
        </w:tc>
        <w:tc>
          <w:tcPr>
            <w:tcW w:w="100" w:type="dxa"/>
            <w:vAlign w:val="bottom"/>
            <w:shd w:val="clear" w:color="auto" w:fill="CCECFF"/>
          </w:tcPr>
          <w:p>
            <w:pPr>
              <w:spacing w:after="0"/>
              <w:rPr>
                <w:sz w:val="15"/>
                <w:szCs w:val="15"/>
                <w:color w:val="auto"/>
              </w:rPr>
            </w:pPr>
          </w:p>
        </w:tc>
      </w:tr>
      <w:tr>
        <w:trPr>
          <w:trHeight w:val="176"/>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Equity in PSLF</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33,892,823</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41,598,942</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33,892,823</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41,159,625</w:t>
            </w:r>
          </w:p>
        </w:tc>
        <w:tc>
          <w:tcPr>
            <w:tcW w:w="100" w:type="dxa"/>
            <w:vAlign w:val="bottom"/>
          </w:tcPr>
          <w:p>
            <w:pPr>
              <w:spacing w:after="0"/>
              <w:rPr>
                <w:sz w:val="15"/>
                <w:szCs w:val="15"/>
                <w:color w:val="auto"/>
              </w:rPr>
            </w:pPr>
          </w:p>
        </w:tc>
      </w:tr>
      <w:tr>
        <w:trPr>
          <w:trHeight w:val="169"/>
        </w:trPr>
        <w:tc>
          <w:tcPr>
            <w:tcW w:w="442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4"/>
                <w:szCs w:val="14"/>
                <w:color w:val="auto"/>
              </w:rPr>
              <w:t>Total investments</w:t>
            </w:r>
          </w:p>
        </w:tc>
        <w:tc>
          <w:tcPr>
            <w:tcW w:w="340" w:type="dxa"/>
            <w:vAlign w:val="bottom"/>
            <w:tcBorders>
              <w:bottom w:val="single" w:sz="8" w:color="auto"/>
            </w:tcBorders>
            <w:shd w:val="clear" w:color="auto" w:fill="CCECFF"/>
          </w:tcPr>
          <w:p>
            <w:pPr>
              <w:spacing w:after="0"/>
              <w:rPr>
                <w:sz w:val="14"/>
                <w:szCs w:val="14"/>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1,364,489,433</w:t>
            </w:r>
          </w:p>
        </w:tc>
        <w:tc>
          <w:tcPr>
            <w:tcW w:w="30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1,445,389,742</w:t>
            </w:r>
          </w:p>
        </w:tc>
        <w:tc>
          <w:tcPr>
            <w:tcW w:w="26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1,221,121,450</w:t>
            </w:r>
          </w:p>
        </w:tc>
        <w:tc>
          <w:tcPr>
            <w:tcW w:w="28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1,255,289,834</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39,570,438</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39,581,423</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20,382,959</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20,357,016</w:t>
            </w:r>
          </w:p>
        </w:tc>
        <w:tc>
          <w:tcPr>
            <w:tcW w:w="100" w:type="dxa"/>
            <w:vAlign w:val="bottom"/>
          </w:tcPr>
          <w:p>
            <w:pPr>
              <w:spacing w:after="0"/>
              <w:rPr>
                <w:sz w:val="14"/>
                <w:szCs w:val="14"/>
                <w:color w:val="auto"/>
              </w:rPr>
            </w:pPr>
          </w:p>
        </w:tc>
      </w:tr>
      <w:tr>
        <w:trPr>
          <w:trHeight w:val="209"/>
        </w:trPr>
        <w:tc>
          <w:tcPr>
            <w:tcW w:w="442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4"/>
                <w:szCs w:val="14"/>
                <w:color w:val="auto"/>
              </w:rPr>
              <w:t>Total investments and cash and cash equivalents</w:t>
            </w:r>
          </w:p>
        </w:tc>
        <w:tc>
          <w:tcPr>
            <w:tcW w:w="340" w:type="dxa"/>
            <w:vAlign w:val="bottom"/>
            <w:tcBorders>
              <w:bottom w:val="single" w:sz="8" w:color="auto"/>
            </w:tcBorders>
            <w:shd w:val="clear" w:color="auto" w:fill="CCEC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1,404,059,871</w:t>
            </w:r>
          </w:p>
        </w:tc>
        <w:tc>
          <w:tcPr>
            <w:tcW w:w="3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1,484,971,165</w:t>
            </w:r>
          </w:p>
        </w:tc>
        <w:tc>
          <w:tcPr>
            <w:tcW w:w="26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bottom w:val="single" w:sz="8" w:color="auto"/>
            </w:tcBorders>
            <w:shd w:val="clear" w:color="auto" w:fill="CCEC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1,241,504,409</w:t>
            </w:r>
          </w:p>
        </w:tc>
        <w:tc>
          <w:tcPr>
            <w:tcW w:w="28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1,275,646,851</w:t>
            </w:r>
          </w:p>
        </w:tc>
        <w:tc>
          <w:tcPr>
            <w:tcW w:w="100" w:type="dxa"/>
            <w:vAlign w:val="bottom"/>
            <w:tcBorders>
              <w:bottom w:val="single" w:sz="8" w:color="CCECFF"/>
            </w:tcBorders>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-262255</wp:posOffset>
            </wp:positionV>
            <wp:extent cx="76835"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-262255</wp:posOffset>
            </wp:positionV>
            <wp:extent cx="6858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-262255</wp:posOffset>
            </wp:positionV>
            <wp:extent cx="6858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wp:posOffset>
            </wp:positionV>
            <wp:extent cx="6858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-25400</wp:posOffset>
            </wp:positionV>
            <wp:extent cx="768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768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-25400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3" w:lineRule="exact"/>
        <w:rPr>
          <w:sz w:val="20"/>
          <w:szCs w:val="20"/>
          <w:color w:val="auto"/>
        </w:rPr>
      </w:pPr>
    </w:p>
    <w:p>
      <w:pPr>
        <w:ind w:right="200" w:firstLine="449"/>
        <w:spacing w:after="0" w:line="27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Industry Classification</w:t>
            </w:r>
          </w:p>
        </w:tc>
        <w:tc>
          <w:tcPr>
            <w:tcW w:w="220" w:type="dxa"/>
            <w:vAlign w:val="bottom"/>
          </w:tcPr>
          <w:p>
            <w:pPr>
              <w:spacing w:after="0"/>
              <w:rPr>
                <w:sz w:val="18"/>
                <w:szCs w:val="18"/>
                <w:color w:val="auto"/>
              </w:rPr>
            </w:pPr>
          </w:p>
        </w:tc>
        <w:tc>
          <w:tcPr>
            <w:tcW w:w="22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December 31, 2021</w:t>
            </w:r>
            <w:r>
              <w:rPr>
                <w:rFonts w:ascii="Arial" w:cs="Arial" w:eastAsia="Arial" w:hAnsi="Arial"/>
                <w:sz w:val="19"/>
                <w:szCs w:val="19"/>
                <w:b w:val="1"/>
                <w:bCs w:val="1"/>
                <w:color w:val="auto"/>
                <w:vertAlign w:val="superscript"/>
              </w:rPr>
              <w:t>(1)</w:t>
            </w:r>
          </w:p>
        </w:tc>
        <w:tc>
          <w:tcPr>
            <w:tcW w:w="480" w:type="dxa"/>
            <w:vAlign w:val="bottom"/>
          </w:tcPr>
          <w:p>
            <w:pPr>
              <w:spacing w:after="0"/>
              <w:rPr>
                <w:sz w:val="18"/>
                <w:szCs w:val="18"/>
                <w:color w:val="auto"/>
              </w:rPr>
            </w:pPr>
          </w:p>
        </w:tc>
        <w:tc>
          <w:tcPr>
            <w:tcW w:w="28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 xml:space="preserve">September 30, 2021 </w:t>
            </w:r>
            <w:r>
              <w:rPr>
                <w:rFonts w:ascii="Arial" w:cs="Arial" w:eastAsia="Arial" w:hAnsi="Arial"/>
                <w:sz w:val="19"/>
                <w:szCs w:val="19"/>
                <w:b w:val="1"/>
                <w:bCs w:val="1"/>
                <w:color w:val="auto"/>
                <w:vertAlign w:val="superscript"/>
              </w:rPr>
              <w:t>(1)</w:t>
            </w:r>
          </w:p>
        </w:tc>
        <w:tc>
          <w:tcPr>
            <w:tcW w:w="240" w:type="dxa"/>
            <w:vAlign w:val="bottom"/>
          </w:tcPr>
          <w:p>
            <w:pPr>
              <w:spacing w:after="0"/>
              <w:rPr>
                <w:sz w:val="18"/>
                <w:szCs w:val="18"/>
                <w:color w:val="auto"/>
              </w:rPr>
            </w:pPr>
          </w:p>
        </w:tc>
      </w:tr>
      <w:tr>
        <w:trPr>
          <w:trHeight w:val="169"/>
        </w:trPr>
        <w:tc>
          <w:tcPr>
            <w:tcW w:w="522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Healthcare, Education and Childcare</w:t>
            </w:r>
          </w:p>
        </w:tc>
        <w:tc>
          <w:tcPr>
            <w:tcW w:w="220" w:type="dxa"/>
            <w:vAlign w:val="bottom"/>
            <w:shd w:val="clear" w:color="auto" w:fill="CCECFF"/>
          </w:tcPr>
          <w:p>
            <w:pPr>
              <w:spacing w:after="0"/>
              <w:rPr>
                <w:sz w:val="14"/>
                <w:szCs w:val="14"/>
                <w:color w:val="auto"/>
              </w:rPr>
            </w:pPr>
          </w:p>
        </w:tc>
        <w:tc>
          <w:tcPr>
            <w:tcW w:w="2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w:t>
            </w:r>
          </w:p>
        </w:tc>
        <w:tc>
          <w:tcPr>
            <w:tcW w:w="480" w:type="dxa"/>
            <w:vAlign w:val="bottom"/>
            <w:shd w:val="clear" w:color="auto" w:fill="CCECFF"/>
          </w:tcPr>
          <w:p>
            <w:pPr>
              <w:jc w:val="right"/>
              <w:ind w:right="228"/>
              <w:spacing w:after="0"/>
              <w:rPr>
                <w:sz w:val="20"/>
                <w:szCs w:val="20"/>
                <w:color w:val="auto"/>
              </w:rPr>
            </w:pPr>
            <w:r>
              <w:rPr>
                <w:rFonts w:ascii="Arial" w:cs="Arial" w:eastAsia="Arial" w:hAnsi="Arial"/>
                <w:sz w:val="14"/>
                <w:szCs w:val="14"/>
                <w:color w:val="auto"/>
              </w:rPr>
              <w:t>%</w:t>
            </w:r>
          </w:p>
        </w:tc>
        <w:tc>
          <w:tcPr>
            <w:tcW w:w="2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w:t>
            </w:r>
          </w:p>
        </w:tc>
        <w:tc>
          <w:tcPr>
            <w:tcW w:w="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5220" w:type="dxa"/>
            <w:vAlign w:val="bottom"/>
            <w:gridSpan w:val="3"/>
          </w:tcPr>
          <w:p>
            <w:pPr>
              <w:ind w:left="20"/>
              <w:spacing w:after="0"/>
              <w:rPr>
                <w:sz w:val="20"/>
                <w:szCs w:val="20"/>
                <w:color w:val="auto"/>
              </w:rPr>
            </w:pPr>
            <w:r>
              <w:rPr>
                <w:rFonts w:ascii="Arial" w:cs="Arial" w:eastAsia="Arial" w:hAnsi="Arial"/>
                <w:sz w:val="14"/>
                <w:szCs w:val="14"/>
                <w:color w:val="auto"/>
              </w:rPr>
              <w:t>Consumer Products</w:t>
            </w:r>
          </w:p>
        </w:tc>
        <w:tc>
          <w:tcPr>
            <w:tcW w:w="250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5"/>
                <w:szCs w:val="15"/>
                <w:color w:val="auto"/>
              </w:rPr>
            </w:pPr>
          </w:p>
        </w:tc>
      </w:tr>
      <w:tr>
        <w:trPr>
          <w:trHeight w:val="176"/>
        </w:trPr>
        <w:tc>
          <w:tcPr>
            <w:tcW w:w="522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Business Services</w:t>
            </w:r>
          </w:p>
        </w:tc>
        <w:tc>
          <w:tcPr>
            <w:tcW w:w="25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480" w:type="dxa"/>
            <w:vAlign w:val="bottom"/>
            <w:shd w:val="clear" w:color="auto" w:fill="CCECFF"/>
          </w:tcPr>
          <w:p>
            <w:pPr>
              <w:spacing w:after="0"/>
              <w:rPr>
                <w:sz w:val="15"/>
                <w:szCs w:val="15"/>
                <w:color w:val="auto"/>
              </w:rPr>
            </w:pPr>
          </w:p>
        </w:tc>
        <w:tc>
          <w:tcPr>
            <w:tcW w:w="2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w:t>
            </w:r>
          </w:p>
        </w:tc>
        <w:tc>
          <w:tcPr>
            <w:tcW w:w="240" w:type="dxa"/>
            <w:vAlign w:val="bottom"/>
            <w:shd w:val="clear" w:color="auto" w:fill="CCECFF"/>
          </w:tcPr>
          <w:p>
            <w:pPr>
              <w:spacing w:after="0"/>
              <w:rPr>
                <w:sz w:val="15"/>
                <w:szCs w:val="15"/>
                <w:color w:val="auto"/>
              </w:rPr>
            </w:pPr>
          </w:p>
        </w:tc>
      </w:tr>
      <w:tr>
        <w:trPr>
          <w:trHeight w:val="175"/>
        </w:trPr>
        <w:tc>
          <w:tcPr>
            <w:tcW w:w="5220" w:type="dxa"/>
            <w:vAlign w:val="bottom"/>
            <w:gridSpan w:val="3"/>
          </w:tcPr>
          <w:p>
            <w:pPr>
              <w:ind w:left="20"/>
              <w:spacing w:after="0"/>
              <w:rPr>
                <w:sz w:val="20"/>
                <w:szCs w:val="20"/>
                <w:color w:val="auto"/>
              </w:rPr>
            </w:pPr>
            <w:r>
              <w:rPr>
                <w:rFonts w:ascii="Arial" w:cs="Arial" w:eastAsia="Arial" w:hAnsi="Arial"/>
                <w:sz w:val="14"/>
                <w:szCs w:val="14"/>
                <w:color w:val="auto"/>
              </w:rPr>
              <w:t>Aerospace and Defense</w:t>
            </w:r>
          </w:p>
        </w:tc>
        <w:tc>
          <w:tcPr>
            <w:tcW w:w="250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5"/>
                <w:szCs w:val="15"/>
                <w:color w:val="auto"/>
              </w:rPr>
            </w:pPr>
          </w:p>
        </w:tc>
      </w:tr>
      <w:tr>
        <w:trPr>
          <w:trHeight w:val="176"/>
        </w:trPr>
        <w:tc>
          <w:tcPr>
            <w:tcW w:w="522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Media</w:t>
            </w:r>
          </w:p>
        </w:tc>
        <w:tc>
          <w:tcPr>
            <w:tcW w:w="25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480" w:type="dxa"/>
            <w:vAlign w:val="bottom"/>
            <w:shd w:val="clear" w:color="auto" w:fill="CCECFF"/>
          </w:tcPr>
          <w:p>
            <w:pPr>
              <w:spacing w:after="0"/>
              <w:rPr>
                <w:sz w:val="15"/>
                <w:szCs w:val="15"/>
                <w:color w:val="auto"/>
              </w:rPr>
            </w:pPr>
          </w:p>
        </w:tc>
        <w:tc>
          <w:tcPr>
            <w:tcW w:w="2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240" w:type="dxa"/>
            <w:vAlign w:val="bottom"/>
            <w:shd w:val="clear" w:color="auto" w:fill="CCECFF"/>
          </w:tcPr>
          <w:p>
            <w:pPr>
              <w:spacing w:after="0"/>
              <w:rPr>
                <w:sz w:val="15"/>
                <w:szCs w:val="15"/>
                <w:color w:val="auto"/>
              </w:rPr>
            </w:pPr>
          </w:p>
        </w:tc>
      </w:tr>
      <w:tr>
        <w:trPr>
          <w:trHeight w:val="175"/>
        </w:trPr>
        <w:tc>
          <w:tcPr>
            <w:tcW w:w="5220" w:type="dxa"/>
            <w:vAlign w:val="bottom"/>
            <w:gridSpan w:val="3"/>
          </w:tcPr>
          <w:p>
            <w:pPr>
              <w:ind w:left="20"/>
              <w:spacing w:after="0"/>
              <w:rPr>
                <w:sz w:val="20"/>
                <w:szCs w:val="20"/>
                <w:color w:val="auto"/>
              </w:rPr>
            </w:pPr>
            <w:r>
              <w:rPr>
                <w:rFonts w:ascii="Arial" w:cs="Arial" w:eastAsia="Arial" w:hAnsi="Arial"/>
                <w:sz w:val="14"/>
                <w:szCs w:val="14"/>
                <w:color w:val="auto"/>
              </w:rPr>
              <w:t>Distribution</w:t>
            </w:r>
          </w:p>
        </w:tc>
        <w:tc>
          <w:tcPr>
            <w:tcW w:w="250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5"/>
                <w:szCs w:val="15"/>
                <w:color w:val="auto"/>
              </w:rPr>
            </w:pPr>
          </w:p>
        </w:tc>
      </w:tr>
      <w:tr>
        <w:trPr>
          <w:trHeight w:val="176"/>
        </w:trPr>
        <w:tc>
          <w:tcPr>
            <w:tcW w:w="522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Energy and Utilities</w:t>
            </w:r>
          </w:p>
        </w:tc>
        <w:tc>
          <w:tcPr>
            <w:tcW w:w="25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480" w:type="dxa"/>
            <w:vAlign w:val="bottom"/>
            <w:shd w:val="clear" w:color="auto" w:fill="CCECFF"/>
          </w:tcPr>
          <w:p>
            <w:pPr>
              <w:spacing w:after="0"/>
              <w:rPr>
                <w:sz w:val="15"/>
                <w:szCs w:val="15"/>
                <w:color w:val="auto"/>
              </w:rPr>
            </w:pPr>
          </w:p>
        </w:tc>
        <w:tc>
          <w:tcPr>
            <w:tcW w:w="2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240" w:type="dxa"/>
            <w:vAlign w:val="bottom"/>
            <w:shd w:val="clear" w:color="auto" w:fill="CCECFF"/>
          </w:tcPr>
          <w:p>
            <w:pPr>
              <w:spacing w:after="0"/>
              <w:rPr>
                <w:sz w:val="15"/>
                <w:szCs w:val="15"/>
                <w:color w:val="auto"/>
              </w:rPr>
            </w:pPr>
          </w:p>
        </w:tc>
      </w:tr>
      <w:tr>
        <w:trPr>
          <w:trHeight w:val="175"/>
        </w:trPr>
        <w:tc>
          <w:tcPr>
            <w:tcW w:w="5220" w:type="dxa"/>
            <w:vAlign w:val="bottom"/>
            <w:gridSpan w:val="3"/>
          </w:tcPr>
          <w:p>
            <w:pPr>
              <w:ind w:left="20"/>
              <w:spacing w:after="0"/>
              <w:rPr>
                <w:sz w:val="20"/>
                <w:szCs w:val="20"/>
                <w:color w:val="auto"/>
              </w:rPr>
            </w:pPr>
            <w:r>
              <w:rPr>
                <w:rFonts w:ascii="Arial" w:cs="Arial" w:eastAsia="Arial" w:hAnsi="Arial"/>
                <w:sz w:val="14"/>
                <w:szCs w:val="14"/>
                <w:color w:val="auto"/>
              </w:rPr>
              <w:t>Auto Sector</w:t>
            </w:r>
          </w:p>
        </w:tc>
        <w:tc>
          <w:tcPr>
            <w:tcW w:w="250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r>
      <w:tr>
        <w:trPr>
          <w:trHeight w:val="175"/>
        </w:trPr>
        <w:tc>
          <w:tcPr>
            <w:tcW w:w="522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Education</w:t>
            </w:r>
          </w:p>
        </w:tc>
        <w:tc>
          <w:tcPr>
            <w:tcW w:w="25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480" w:type="dxa"/>
            <w:vAlign w:val="bottom"/>
            <w:shd w:val="clear" w:color="auto" w:fill="CCECFF"/>
          </w:tcPr>
          <w:p>
            <w:pPr>
              <w:spacing w:after="0"/>
              <w:rPr>
                <w:sz w:val="15"/>
                <w:szCs w:val="15"/>
                <w:color w:val="auto"/>
              </w:rPr>
            </w:pPr>
          </w:p>
        </w:tc>
        <w:tc>
          <w:tcPr>
            <w:tcW w:w="2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ECFF"/>
          </w:tcPr>
          <w:p>
            <w:pPr>
              <w:spacing w:after="0"/>
              <w:rPr>
                <w:sz w:val="15"/>
                <w:szCs w:val="15"/>
                <w:color w:val="auto"/>
              </w:rPr>
            </w:pPr>
          </w:p>
        </w:tc>
      </w:tr>
      <w:tr>
        <w:trPr>
          <w:trHeight w:val="175"/>
        </w:trPr>
        <w:tc>
          <w:tcPr>
            <w:tcW w:w="5220" w:type="dxa"/>
            <w:vAlign w:val="bottom"/>
            <w:gridSpan w:val="3"/>
          </w:tcPr>
          <w:p>
            <w:pPr>
              <w:ind w:left="20"/>
              <w:spacing w:after="0"/>
              <w:rPr>
                <w:sz w:val="20"/>
                <w:szCs w:val="20"/>
                <w:color w:val="auto"/>
              </w:rPr>
            </w:pPr>
            <w:r>
              <w:rPr>
                <w:rFonts w:ascii="Arial" w:cs="Arial" w:eastAsia="Arial" w:hAnsi="Arial"/>
                <w:sz w:val="14"/>
                <w:szCs w:val="14"/>
                <w:color w:val="auto"/>
              </w:rPr>
              <w:t>Environmental Services</w:t>
            </w:r>
          </w:p>
        </w:tc>
        <w:tc>
          <w:tcPr>
            <w:tcW w:w="250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5"/>
                <w:szCs w:val="15"/>
                <w:color w:val="auto"/>
              </w:rPr>
            </w:pPr>
          </w:p>
        </w:tc>
      </w:tr>
      <w:tr>
        <w:trPr>
          <w:trHeight w:val="176"/>
        </w:trPr>
        <w:tc>
          <w:tcPr>
            <w:tcW w:w="522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Telecommunications</w:t>
            </w:r>
          </w:p>
        </w:tc>
        <w:tc>
          <w:tcPr>
            <w:tcW w:w="25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480" w:type="dxa"/>
            <w:vAlign w:val="bottom"/>
            <w:shd w:val="clear" w:color="auto" w:fill="CCECFF"/>
          </w:tcPr>
          <w:p>
            <w:pPr>
              <w:spacing w:after="0"/>
              <w:rPr>
                <w:sz w:val="15"/>
                <w:szCs w:val="15"/>
                <w:color w:val="auto"/>
              </w:rPr>
            </w:pPr>
          </w:p>
        </w:tc>
        <w:tc>
          <w:tcPr>
            <w:tcW w:w="2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CFF"/>
          </w:tcPr>
          <w:p>
            <w:pPr>
              <w:spacing w:after="0"/>
              <w:rPr>
                <w:sz w:val="15"/>
                <w:szCs w:val="15"/>
                <w:color w:val="auto"/>
              </w:rPr>
            </w:pPr>
          </w:p>
        </w:tc>
      </w:tr>
      <w:tr>
        <w:trPr>
          <w:trHeight w:val="175"/>
        </w:trPr>
        <w:tc>
          <w:tcPr>
            <w:tcW w:w="5220" w:type="dxa"/>
            <w:vAlign w:val="bottom"/>
            <w:gridSpan w:val="3"/>
          </w:tcPr>
          <w:p>
            <w:pPr>
              <w:ind w:left="20"/>
              <w:spacing w:after="0"/>
              <w:rPr>
                <w:sz w:val="20"/>
                <w:szCs w:val="20"/>
                <w:color w:val="auto"/>
              </w:rPr>
            </w:pPr>
            <w:r>
              <w:rPr>
                <w:rFonts w:ascii="Arial" w:cs="Arial" w:eastAsia="Arial" w:hAnsi="Arial"/>
                <w:sz w:val="14"/>
                <w:szCs w:val="14"/>
                <w:color w:val="auto"/>
              </w:rPr>
              <w:t>Building Materials</w:t>
            </w:r>
          </w:p>
        </w:tc>
        <w:tc>
          <w:tcPr>
            <w:tcW w:w="25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5"/>
                <w:szCs w:val="15"/>
                <w:color w:val="auto"/>
              </w:rPr>
            </w:pPr>
          </w:p>
        </w:tc>
      </w:tr>
      <w:tr>
        <w:trPr>
          <w:trHeight w:val="175"/>
        </w:trPr>
        <w:tc>
          <w:tcPr>
            <w:tcW w:w="522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Electronics</w:t>
            </w:r>
          </w:p>
        </w:tc>
        <w:tc>
          <w:tcPr>
            <w:tcW w:w="25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480" w:type="dxa"/>
            <w:vAlign w:val="bottom"/>
            <w:shd w:val="clear" w:color="auto" w:fill="CCECFF"/>
          </w:tcPr>
          <w:p>
            <w:pPr>
              <w:spacing w:after="0"/>
              <w:rPr>
                <w:sz w:val="15"/>
                <w:szCs w:val="15"/>
                <w:color w:val="auto"/>
              </w:rPr>
            </w:pPr>
          </w:p>
        </w:tc>
        <w:tc>
          <w:tcPr>
            <w:tcW w:w="2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CFF"/>
          </w:tcPr>
          <w:p>
            <w:pPr>
              <w:spacing w:after="0"/>
              <w:rPr>
                <w:sz w:val="15"/>
                <w:szCs w:val="15"/>
                <w:color w:val="auto"/>
              </w:rPr>
            </w:pPr>
          </w:p>
        </w:tc>
      </w:tr>
      <w:tr>
        <w:trPr>
          <w:trHeight w:val="175"/>
        </w:trPr>
        <w:tc>
          <w:tcPr>
            <w:tcW w:w="5220" w:type="dxa"/>
            <w:vAlign w:val="bottom"/>
            <w:gridSpan w:val="3"/>
          </w:tcPr>
          <w:p>
            <w:pPr>
              <w:ind w:left="20"/>
              <w:spacing w:after="0"/>
              <w:rPr>
                <w:sz w:val="20"/>
                <w:szCs w:val="20"/>
                <w:color w:val="auto"/>
              </w:rPr>
            </w:pPr>
            <w:r>
              <w:rPr>
                <w:rFonts w:ascii="Arial" w:cs="Arial" w:eastAsia="Arial" w:hAnsi="Arial"/>
                <w:sz w:val="14"/>
                <w:szCs w:val="14"/>
                <w:color w:val="auto"/>
              </w:rPr>
              <w:t>Home and Office Furnishings</w:t>
            </w:r>
          </w:p>
        </w:tc>
        <w:tc>
          <w:tcPr>
            <w:tcW w:w="25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5"/>
                <w:szCs w:val="15"/>
                <w:color w:val="auto"/>
              </w:rPr>
            </w:pPr>
          </w:p>
        </w:tc>
      </w:tr>
      <w:tr>
        <w:trPr>
          <w:trHeight w:val="175"/>
        </w:trPr>
        <w:tc>
          <w:tcPr>
            <w:tcW w:w="522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Insurance</w:t>
            </w:r>
          </w:p>
        </w:tc>
        <w:tc>
          <w:tcPr>
            <w:tcW w:w="25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480" w:type="dxa"/>
            <w:vAlign w:val="bottom"/>
            <w:shd w:val="clear" w:color="auto" w:fill="CCECFF"/>
          </w:tcPr>
          <w:p>
            <w:pPr>
              <w:spacing w:after="0"/>
              <w:rPr>
                <w:sz w:val="15"/>
                <w:szCs w:val="15"/>
                <w:color w:val="auto"/>
              </w:rPr>
            </w:pPr>
          </w:p>
        </w:tc>
        <w:tc>
          <w:tcPr>
            <w:tcW w:w="2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CFF"/>
          </w:tcPr>
          <w:p>
            <w:pPr>
              <w:spacing w:after="0"/>
              <w:rPr>
                <w:sz w:val="15"/>
                <w:szCs w:val="15"/>
                <w:color w:val="auto"/>
              </w:rPr>
            </w:pPr>
          </w:p>
        </w:tc>
      </w:tr>
      <w:tr>
        <w:trPr>
          <w:trHeight w:val="175"/>
        </w:trPr>
        <w:tc>
          <w:tcPr>
            <w:tcW w:w="5220" w:type="dxa"/>
            <w:vAlign w:val="bottom"/>
            <w:gridSpan w:val="3"/>
          </w:tcPr>
          <w:p>
            <w:pPr>
              <w:ind w:left="20"/>
              <w:spacing w:after="0"/>
              <w:rPr>
                <w:sz w:val="20"/>
                <w:szCs w:val="20"/>
                <w:color w:val="auto"/>
              </w:rPr>
            </w:pPr>
            <w:r>
              <w:rPr>
                <w:rFonts w:ascii="Arial" w:cs="Arial" w:eastAsia="Arial" w:hAnsi="Arial"/>
                <w:sz w:val="14"/>
                <w:szCs w:val="14"/>
                <w:color w:val="auto"/>
              </w:rPr>
              <w:t>Other Media</w:t>
            </w:r>
          </w:p>
        </w:tc>
        <w:tc>
          <w:tcPr>
            <w:tcW w:w="25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5"/>
                <w:szCs w:val="15"/>
                <w:color w:val="auto"/>
              </w:rPr>
            </w:pPr>
          </w:p>
        </w:tc>
      </w:tr>
      <w:tr>
        <w:trPr>
          <w:trHeight w:val="176"/>
        </w:trPr>
        <w:tc>
          <w:tcPr>
            <w:tcW w:w="522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Cargo Transport</w:t>
            </w:r>
          </w:p>
        </w:tc>
        <w:tc>
          <w:tcPr>
            <w:tcW w:w="25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480" w:type="dxa"/>
            <w:vAlign w:val="bottom"/>
            <w:shd w:val="clear" w:color="auto" w:fill="CCECFF"/>
          </w:tcPr>
          <w:p>
            <w:pPr>
              <w:spacing w:after="0"/>
              <w:rPr>
                <w:sz w:val="15"/>
                <w:szCs w:val="15"/>
                <w:color w:val="auto"/>
              </w:rPr>
            </w:pPr>
          </w:p>
        </w:tc>
        <w:tc>
          <w:tcPr>
            <w:tcW w:w="2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CFF"/>
          </w:tcPr>
          <w:p>
            <w:pPr>
              <w:spacing w:after="0"/>
              <w:rPr>
                <w:sz w:val="15"/>
                <w:szCs w:val="15"/>
                <w:color w:val="auto"/>
              </w:rPr>
            </w:pPr>
          </w:p>
        </w:tc>
      </w:tr>
      <w:tr>
        <w:trPr>
          <w:trHeight w:val="175"/>
        </w:trPr>
        <w:tc>
          <w:tcPr>
            <w:tcW w:w="5220" w:type="dxa"/>
            <w:vAlign w:val="bottom"/>
            <w:gridSpan w:val="3"/>
          </w:tcPr>
          <w:p>
            <w:pPr>
              <w:ind w:left="20"/>
              <w:spacing w:after="0"/>
              <w:rPr>
                <w:sz w:val="20"/>
                <w:szCs w:val="20"/>
                <w:color w:val="auto"/>
              </w:rPr>
            </w:pPr>
            <w:r>
              <w:rPr>
                <w:rFonts w:ascii="Arial" w:cs="Arial" w:eastAsia="Arial" w:hAnsi="Arial"/>
                <w:sz w:val="14"/>
                <w:szCs w:val="14"/>
                <w:color w:val="auto"/>
              </w:rPr>
              <w:t>Chemicals, Plastics and Rubber</w:t>
            </w:r>
          </w:p>
        </w:tc>
        <w:tc>
          <w:tcPr>
            <w:tcW w:w="25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r>
      <w:tr>
        <w:trPr>
          <w:trHeight w:val="175"/>
        </w:trPr>
        <w:tc>
          <w:tcPr>
            <w:tcW w:w="522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Hotels, Motels, Inns and Gaming</w:t>
            </w:r>
          </w:p>
        </w:tc>
        <w:tc>
          <w:tcPr>
            <w:tcW w:w="25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480" w:type="dxa"/>
            <w:vAlign w:val="bottom"/>
            <w:shd w:val="clear" w:color="auto" w:fill="CCECFF"/>
          </w:tcPr>
          <w:p>
            <w:pPr>
              <w:spacing w:after="0"/>
              <w:rPr>
                <w:sz w:val="15"/>
                <w:szCs w:val="15"/>
                <w:color w:val="auto"/>
              </w:rPr>
            </w:pPr>
          </w:p>
        </w:tc>
        <w:tc>
          <w:tcPr>
            <w:tcW w:w="2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240" w:type="dxa"/>
            <w:vAlign w:val="bottom"/>
            <w:shd w:val="clear" w:color="auto" w:fill="CCECFF"/>
          </w:tcPr>
          <w:p>
            <w:pPr>
              <w:spacing w:after="0"/>
              <w:rPr>
                <w:sz w:val="15"/>
                <w:szCs w:val="15"/>
                <w:color w:val="auto"/>
              </w:rPr>
            </w:pPr>
          </w:p>
        </w:tc>
      </w:tr>
      <w:tr>
        <w:trPr>
          <w:trHeight w:val="175"/>
        </w:trPr>
        <w:tc>
          <w:tcPr>
            <w:tcW w:w="5220" w:type="dxa"/>
            <w:vAlign w:val="bottom"/>
            <w:gridSpan w:val="3"/>
          </w:tcPr>
          <w:p>
            <w:pPr>
              <w:ind w:left="20"/>
              <w:spacing w:after="0"/>
              <w:rPr>
                <w:sz w:val="20"/>
                <w:szCs w:val="20"/>
                <w:color w:val="auto"/>
              </w:rPr>
            </w:pPr>
            <w:r>
              <w:rPr>
                <w:rFonts w:ascii="Arial" w:cs="Arial" w:eastAsia="Arial" w:hAnsi="Arial"/>
                <w:sz w:val="14"/>
                <w:szCs w:val="14"/>
                <w:color w:val="auto"/>
              </w:rPr>
              <w:t>Manufacturing / Basic Industries</w:t>
            </w:r>
          </w:p>
        </w:tc>
        <w:tc>
          <w:tcPr>
            <w:tcW w:w="25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r>
      <w:tr>
        <w:trPr>
          <w:trHeight w:val="175"/>
        </w:trPr>
        <w:tc>
          <w:tcPr>
            <w:tcW w:w="522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Personal and Non-Durable Consumer Products</w:t>
            </w:r>
          </w:p>
        </w:tc>
        <w:tc>
          <w:tcPr>
            <w:tcW w:w="25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480" w:type="dxa"/>
            <w:vAlign w:val="bottom"/>
            <w:shd w:val="clear" w:color="auto" w:fill="CCECFF"/>
          </w:tcPr>
          <w:p>
            <w:pPr>
              <w:spacing w:after="0"/>
              <w:rPr>
                <w:sz w:val="15"/>
                <w:szCs w:val="15"/>
                <w:color w:val="auto"/>
              </w:rPr>
            </w:pPr>
          </w:p>
        </w:tc>
        <w:tc>
          <w:tcPr>
            <w:tcW w:w="2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CFF"/>
          </w:tcPr>
          <w:p>
            <w:pPr>
              <w:spacing w:after="0"/>
              <w:rPr>
                <w:sz w:val="15"/>
                <w:szCs w:val="15"/>
                <w:color w:val="auto"/>
              </w:rPr>
            </w:pPr>
          </w:p>
        </w:tc>
      </w:tr>
      <w:tr>
        <w:trPr>
          <w:trHeight w:val="175"/>
        </w:trPr>
        <w:tc>
          <w:tcPr>
            <w:tcW w:w="5220" w:type="dxa"/>
            <w:vAlign w:val="bottom"/>
            <w:gridSpan w:val="3"/>
          </w:tcPr>
          <w:p>
            <w:pPr>
              <w:ind w:left="20"/>
              <w:spacing w:after="0"/>
              <w:rPr>
                <w:sz w:val="20"/>
                <w:szCs w:val="20"/>
                <w:color w:val="auto"/>
              </w:rPr>
            </w:pPr>
            <w:r>
              <w:rPr>
                <w:rFonts w:ascii="Arial" w:cs="Arial" w:eastAsia="Arial" w:hAnsi="Arial"/>
                <w:sz w:val="14"/>
                <w:szCs w:val="14"/>
                <w:color w:val="auto"/>
              </w:rPr>
              <w:t>Personal, Food and Miscellaneous Services</w:t>
            </w:r>
          </w:p>
        </w:tc>
        <w:tc>
          <w:tcPr>
            <w:tcW w:w="25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r>
      <w:tr>
        <w:trPr>
          <w:trHeight w:val="176"/>
        </w:trPr>
        <w:tc>
          <w:tcPr>
            <w:tcW w:w="522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Printing and Publishing</w:t>
            </w:r>
          </w:p>
        </w:tc>
        <w:tc>
          <w:tcPr>
            <w:tcW w:w="25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480" w:type="dxa"/>
            <w:vAlign w:val="bottom"/>
            <w:shd w:val="clear" w:color="auto" w:fill="CCECFF"/>
          </w:tcPr>
          <w:p>
            <w:pPr>
              <w:spacing w:after="0"/>
              <w:rPr>
                <w:sz w:val="15"/>
                <w:szCs w:val="15"/>
                <w:color w:val="auto"/>
              </w:rPr>
            </w:pPr>
          </w:p>
        </w:tc>
        <w:tc>
          <w:tcPr>
            <w:tcW w:w="2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CFF"/>
          </w:tcPr>
          <w:p>
            <w:pPr>
              <w:spacing w:after="0"/>
              <w:rPr>
                <w:sz w:val="15"/>
                <w:szCs w:val="15"/>
                <w:color w:val="auto"/>
              </w:rPr>
            </w:pPr>
          </w:p>
        </w:tc>
      </w:tr>
      <w:tr>
        <w:trPr>
          <w:trHeight w:val="175"/>
        </w:trPr>
        <w:tc>
          <w:tcPr>
            <w:tcW w:w="5220" w:type="dxa"/>
            <w:vAlign w:val="bottom"/>
            <w:gridSpan w:val="3"/>
          </w:tcPr>
          <w:p>
            <w:pPr>
              <w:ind w:left="20"/>
              <w:spacing w:after="0"/>
              <w:rPr>
                <w:sz w:val="20"/>
                <w:szCs w:val="20"/>
                <w:color w:val="auto"/>
              </w:rPr>
            </w:pPr>
            <w:r>
              <w:rPr>
                <w:rFonts w:ascii="Arial" w:cs="Arial" w:eastAsia="Arial" w:hAnsi="Arial"/>
                <w:sz w:val="14"/>
                <w:szCs w:val="14"/>
                <w:color w:val="auto"/>
              </w:rPr>
              <w:t>Transportation</w:t>
            </w:r>
          </w:p>
        </w:tc>
        <w:tc>
          <w:tcPr>
            <w:tcW w:w="25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480" w:type="dxa"/>
            <w:vAlign w:val="bottom"/>
          </w:tcPr>
          <w:p>
            <w:pPr>
              <w:spacing w:after="0"/>
              <w:rPr>
                <w:sz w:val="15"/>
                <w:szCs w:val="15"/>
                <w:color w:val="auto"/>
              </w:rPr>
            </w:pPr>
          </w:p>
        </w:tc>
        <w:tc>
          <w:tcPr>
            <w:tcW w:w="280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5"/>
                <w:szCs w:val="15"/>
                <w:color w:val="auto"/>
              </w:rPr>
            </w:pPr>
          </w:p>
        </w:tc>
      </w:tr>
      <w:tr>
        <w:trPr>
          <w:trHeight w:val="175"/>
        </w:trPr>
        <w:tc>
          <w:tcPr>
            <w:tcW w:w="3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w w:val="91"/>
              </w:rPr>
              <w:t>Other</w:t>
            </w:r>
          </w:p>
        </w:tc>
        <w:tc>
          <w:tcPr>
            <w:tcW w:w="1520" w:type="dxa"/>
            <w:vAlign w:val="bottom"/>
            <w:tcBorders>
              <w:bottom w:val="single" w:sz="8" w:color="CCECFF"/>
            </w:tcBorders>
            <w:shd w:val="clear" w:color="auto" w:fill="CCECFF"/>
          </w:tcPr>
          <w:p>
            <w:pPr>
              <w:spacing w:after="0"/>
              <w:rPr>
                <w:sz w:val="15"/>
                <w:szCs w:val="15"/>
                <w:color w:val="auto"/>
              </w:rPr>
            </w:pPr>
          </w:p>
        </w:tc>
        <w:tc>
          <w:tcPr>
            <w:tcW w:w="334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2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480" w:type="dxa"/>
            <w:vAlign w:val="bottom"/>
            <w:tcBorders>
              <w:bottom w:val="single" w:sz="8" w:color="CCECFF"/>
            </w:tcBorders>
            <w:shd w:val="clear" w:color="auto" w:fill="CCECFF"/>
          </w:tcPr>
          <w:p>
            <w:pPr>
              <w:spacing w:after="0"/>
              <w:rPr>
                <w:sz w:val="15"/>
                <w:szCs w:val="15"/>
                <w:color w:val="auto"/>
              </w:rPr>
            </w:pPr>
          </w:p>
        </w:tc>
        <w:tc>
          <w:tcPr>
            <w:tcW w:w="2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shd w:val="clear" w:color="auto" w:fill="CCECFF"/>
          </w:tcPr>
          <w:p>
            <w:pPr>
              <w:spacing w:after="0"/>
              <w:rPr>
                <w:sz w:val="15"/>
                <w:szCs w:val="15"/>
                <w:color w:val="auto"/>
              </w:rPr>
            </w:pPr>
          </w:p>
        </w:tc>
      </w:tr>
      <w:tr>
        <w:trPr>
          <w:trHeight w:val="169"/>
        </w:trPr>
        <w:tc>
          <w:tcPr>
            <w:tcW w:w="360" w:type="dxa"/>
            <w:vAlign w:val="bottom"/>
          </w:tcPr>
          <w:p>
            <w:pPr>
              <w:ind w:left="20"/>
              <w:spacing w:after="0" w:line="155" w:lineRule="exact"/>
              <w:rPr>
                <w:sz w:val="20"/>
                <w:szCs w:val="20"/>
                <w:color w:val="auto"/>
              </w:rPr>
            </w:pPr>
            <w:r>
              <w:rPr>
                <w:rFonts w:ascii="Arial" w:cs="Arial" w:eastAsia="Arial" w:hAnsi="Arial"/>
                <w:sz w:val="14"/>
                <w:szCs w:val="14"/>
                <w:color w:val="auto"/>
              </w:rPr>
              <w:t>Total</w:t>
            </w:r>
          </w:p>
        </w:tc>
        <w:tc>
          <w:tcPr>
            <w:tcW w:w="1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5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100</w:t>
            </w:r>
          </w:p>
        </w:tc>
        <w:tc>
          <w:tcPr>
            <w:tcW w:w="48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2800" w:type="dxa"/>
            <w:vAlign w:val="bottom"/>
          </w:tcPr>
          <w:p>
            <w:pPr>
              <w:jc w:val="right"/>
              <w:spacing w:after="0" w:line="155" w:lineRule="exact"/>
              <w:rPr>
                <w:sz w:val="20"/>
                <w:szCs w:val="20"/>
                <w:color w:val="auto"/>
              </w:rPr>
            </w:pPr>
            <w:r>
              <w:rPr>
                <w:rFonts w:ascii="Arial" w:cs="Arial" w:eastAsia="Arial" w:hAnsi="Arial"/>
                <w:sz w:val="14"/>
                <w:szCs w:val="14"/>
                <w:color w:val="auto"/>
              </w:rPr>
              <w:t>100</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20"/>
        </w:trPr>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7"/>
        </w:trPr>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60"/>
        </w:trPr>
        <w:tc>
          <w:tcPr>
            <w:tcW w:w="360" w:type="dxa"/>
            <w:vAlign w:val="bottom"/>
          </w:tcPr>
          <w:p>
            <w:pPr>
              <w:spacing w:after="0"/>
              <w:rPr>
                <w:sz w:val="20"/>
                <w:szCs w:val="20"/>
                <w:color w:val="auto"/>
              </w:rPr>
            </w:pPr>
            <w:r>
              <w:rPr>
                <w:rFonts w:ascii="Arial" w:cs="Arial" w:eastAsia="Arial" w:hAnsi="Arial"/>
                <w:sz w:val="7"/>
                <w:szCs w:val="7"/>
                <w:color w:val="auto"/>
              </w:rPr>
              <w:t>(1)</w:t>
            </w:r>
          </w:p>
        </w:tc>
        <w:tc>
          <w:tcPr>
            <w:tcW w:w="4860" w:type="dxa"/>
            <w:vAlign w:val="bottom"/>
            <w:gridSpan w:val="2"/>
          </w:tcPr>
          <w:p>
            <w:pPr>
              <w:ind w:left="20"/>
              <w:spacing w:after="0"/>
              <w:rPr>
                <w:sz w:val="20"/>
                <w:szCs w:val="20"/>
                <w:color w:val="auto"/>
              </w:rPr>
            </w:pPr>
            <w:r>
              <w:rPr>
                <w:rFonts w:ascii="Arial" w:cs="Arial" w:eastAsia="Arial" w:hAnsi="Arial"/>
                <w:sz w:val="11"/>
                <w:szCs w:val="11"/>
                <w:color w:val="auto"/>
              </w:rPr>
              <w:t>Excludes investments in PSLF.</w:t>
            </w: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-393700</wp:posOffset>
            </wp:positionV>
            <wp:extent cx="3429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-393700</wp:posOffset>
            </wp:positionV>
            <wp:extent cx="26035"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6035" cy="571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Loan Fund, LLC</w:t>
      </w:r>
    </w:p>
    <w:p>
      <w:pPr>
        <w:spacing w:after="0" w:line="167" w:lineRule="exact"/>
        <w:rPr>
          <w:sz w:val="20"/>
          <w:szCs w:val="20"/>
          <w:color w:val="auto"/>
        </w:rPr>
      </w:pPr>
    </w:p>
    <w:p>
      <w:pPr>
        <w:ind w:right="160" w:firstLine="449"/>
        <w:spacing w:after="0" w:line="229" w:lineRule="auto"/>
        <w:rPr>
          <w:sz w:val="20"/>
          <w:szCs w:val="20"/>
          <w:color w:val="auto"/>
        </w:rPr>
      </w:pPr>
      <w:r>
        <w:rPr>
          <w:rFonts w:ascii="Arial" w:cs="Arial" w:eastAsia="Arial" w:hAnsi="Arial"/>
          <w:sz w:val="14"/>
          <w:szCs w:val="14"/>
          <w:color w:val="auto"/>
        </w:rPr>
        <w:t>In July 2020, we and Pantheon formed PSLF, an unconsolidated joint venture. PSLF invests primarily in middle-market and other corporate debt securities consistent with our strategy. PSLF was formed as a Delaware limited liability company. As of December 31, 2021 and September 30, 2021, PSLF had total assets of $444.8 million and $417.4 million, respectively. PSLF’s portfolio consisted of debt investments in 54 and 47 portfolio companies as of December 31, 2021 and September 30, 2021, respectively. As of December 31, 2021, at fair value, the largest investment in a single portfolio company in PSLF was $16.8 million and the five largest investments totaled $73.8 million. As of September 30, 2021, at fair value, the largest investment in a single portfolio company in PSLF was $16.8 million and the five largest investments totaled $74.4 million. PSLF invests in portfolio companies in the same industries in which we may directly invest.</w:t>
      </w:r>
    </w:p>
    <w:p>
      <w:pPr>
        <w:spacing w:after="0" w:line="118" w:lineRule="exact"/>
        <w:rPr>
          <w:sz w:val="20"/>
          <w:szCs w:val="20"/>
          <w:color w:val="auto"/>
        </w:rPr>
      </w:pPr>
    </w:p>
    <w:p>
      <w:pPr>
        <w:ind w:right="300" w:firstLine="449"/>
        <w:spacing w:after="0" w:line="238" w:lineRule="auto"/>
        <w:rPr>
          <w:sz w:val="20"/>
          <w:szCs w:val="20"/>
          <w:color w:val="auto"/>
        </w:rPr>
      </w:pPr>
      <w:r>
        <w:rPr>
          <w:rFonts w:ascii="Arial" w:cs="Arial" w:eastAsia="Arial" w:hAnsi="Arial"/>
          <w:sz w:val="14"/>
          <w:szCs w:val="14"/>
          <w:color w:val="auto"/>
        </w:rPr>
        <w:t>We provide capital to PSLF in the form of subordinated notes and equity interests. As of December 31, 2021 and September 30, 2021, we and Pantheon owned 60.5% and 39.5%, respectively, of each of the outstanding subordinated notes and equity interests of PSLF. As of December 31, 2021 and September 30, 2021 our investment in PSLF consisted of subordinated notes of $64.2 million and equity interests of $41.6 million and subordinated notes of $64.2 million and equity interests of $41.2.</w:t>
      </w:r>
    </w:p>
    <w:p>
      <w:pPr>
        <w:spacing w:after="0" w:line="129" w:lineRule="exact"/>
        <w:rPr>
          <w:sz w:val="20"/>
          <w:szCs w:val="20"/>
          <w:color w:val="auto"/>
        </w:rPr>
      </w:pPr>
    </w:p>
    <w:p>
      <w:pPr>
        <w:ind w:right="180" w:firstLine="449"/>
        <w:spacing w:after="0" w:line="257" w:lineRule="auto"/>
        <w:rPr>
          <w:sz w:val="20"/>
          <w:szCs w:val="20"/>
          <w:color w:val="auto"/>
        </w:rPr>
      </w:pPr>
      <w:r>
        <w:rPr>
          <w:rFonts w:ascii="Arial" w:cs="Arial" w:eastAsia="Arial" w:hAnsi="Arial"/>
          <w:sz w:val="14"/>
          <w:szCs w:val="14"/>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Member Designees’ Committee. Quorum is defined as (i) the presence of two members of the Member Designees’ Committee; provided that at least one individual is present that was elected, designated or appointed by each of</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left="328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(Unaudited)</w:t>
      </w:r>
    </w:p>
    <w:p>
      <w:pPr>
        <w:spacing w:after="0" w:line="15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131" w:lineRule="exact"/>
        <w:rPr>
          <w:sz w:val="20"/>
          <w:szCs w:val="20"/>
          <w:color w:val="auto"/>
        </w:rPr>
      </w:pPr>
    </w:p>
    <w:p>
      <w:pPr>
        <w:ind w:right="60" w:firstLine="449"/>
        <w:spacing w:after="0" w:line="257" w:lineRule="auto"/>
        <w:rPr>
          <w:sz w:val="20"/>
          <w:szCs w:val="20"/>
          <w:color w:val="auto"/>
        </w:rPr>
      </w:pPr>
      <w:r>
        <w:rPr>
          <w:rFonts w:ascii="Arial" w:cs="Arial" w:eastAsia="Arial" w:hAnsi="Arial"/>
          <w:sz w:val="14"/>
          <w:szCs w:val="14"/>
          <w:color w:val="auto"/>
        </w:rPr>
        <w:t>Additionally, PSLF, through its wholly-owned subsidiary, or PSLF Subsidiary, has entered into a $275.0 million (increased from $250.0 million on November 6, 2020) senior secured revolving credit facility which bears interest at LIBOR (or an alternative risk-free interest rate index) plus 260 basis points, or the PSLF Credit Facility, with BNP Paribas, subject to leverage and borrowing base restrictions.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40" w:type="dxa"/>
            <w:vAlign w:val="bottom"/>
          </w:tcPr>
          <w:p>
            <w:pPr>
              <w:ind w:left="460"/>
              <w:spacing w:after="0"/>
              <w:rPr>
                <w:sz w:val="20"/>
                <w:szCs w:val="20"/>
                <w:color w:val="auto"/>
              </w:rPr>
            </w:pPr>
            <w:r>
              <w:rPr>
                <w:rFonts w:ascii="Arial" w:cs="Arial" w:eastAsia="Arial" w:hAnsi="Arial"/>
                <w:sz w:val="14"/>
                <w:szCs w:val="14"/>
                <w:color w:val="auto"/>
              </w:rPr>
              <w:t>Below is a summary of PSLF’s portfolio at fair value:</w:t>
            </w: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5"/>
        </w:trPr>
        <w:tc>
          <w:tcPr>
            <w:tcW w:w="7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9"/>
              </w:rPr>
              <w:t>December 31, 2021</w:t>
            </w:r>
          </w:p>
        </w:tc>
        <w:tc>
          <w:tcPr>
            <w:tcW w:w="180" w:type="dxa"/>
            <w:vAlign w:val="bottom"/>
          </w:tcPr>
          <w:p>
            <w:pPr>
              <w:spacing w:after="0"/>
              <w:rPr>
                <w:sz w:val="18"/>
                <w:szCs w:val="18"/>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September 30, 2021</w:t>
            </w:r>
          </w:p>
        </w:tc>
      </w:tr>
      <w:tr>
        <w:trPr>
          <w:trHeight w:val="169"/>
        </w:trPr>
        <w:tc>
          <w:tcPr>
            <w:tcW w:w="7140" w:type="dxa"/>
            <w:vAlign w:val="bottom"/>
            <w:shd w:val="clear" w:color="auto" w:fill="CCECFF"/>
          </w:tcPr>
          <w:p>
            <w:pPr>
              <w:ind w:left="20"/>
              <w:spacing w:after="0"/>
              <w:rPr>
                <w:sz w:val="20"/>
                <w:szCs w:val="20"/>
                <w:color w:val="auto"/>
              </w:rPr>
            </w:pPr>
            <w:r>
              <w:rPr>
                <w:rFonts w:ascii="Arial" w:cs="Arial" w:eastAsia="Arial" w:hAnsi="Arial"/>
                <w:sz w:val="14"/>
                <w:szCs w:val="14"/>
                <w:color w:val="auto"/>
              </w:rPr>
              <w:t>Total investments</w:t>
            </w:r>
          </w:p>
        </w:tc>
        <w:tc>
          <w:tcPr>
            <w:tcW w:w="200" w:type="dxa"/>
            <w:vAlign w:val="bottom"/>
            <w:tcBorders>
              <w:top w:val="single" w:sz="8" w:color="auto"/>
            </w:tcBorders>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421,535,944</w:t>
            </w:r>
          </w:p>
        </w:tc>
        <w:tc>
          <w:tcPr>
            <w:tcW w:w="360" w:type="dxa"/>
            <w:vAlign w:val="bottom"/>
            <w:shd w:val="clear" w:color="auto" w:fill="CCECFF"/>
          </w:tcPr>
          <w:p>
            <w:pPr>
              <w:spacing w:after="0"/>
              <w:rPr>
                <w:sz w:val="14"/>
                <w:szCs w:val="14"/>
                <w:color w:val="auto"/>
              </w:rPr>
            </w:pPr>
          </w:p>
        </w:tc>
        <w:tc>
          <w:tcPr>
            <w:tcW w:w="180" w:type="dxa"/>
            <w:vAlign w:val="bottom"/>
            <w:tcBorders>
              <w:top w:val="single" w:sz="8" w:color="auto"/>
            </w:tcBorders>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15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405,232,480</w:t>
            </w:r>
          </w:p>
        </w:tc>
        <w:tc>
          <w:tcPr>
            <w:tcW w:w="180" w:type="dxa"/>
            <w:vAlign w:val="bottom"/>
            <w:shd w:val="clear" w:color="auto" w:fill="CCECFF"/>
          </w:tcPr>
          <w:p>
            <w:pPr>
              <w:spacing w:after="0"/>
              <w:rPr>
                <w:sz w:val="14"/>
                <w:szCs w:val="14"/>
                <w:color w:val="auto"/>
              </w:rPr>
            </w:pPr>
          </w:p>
        </w:tc>
      </w:tr>
      <w:tr>
        <w:trPr>
          <w:trHeight w:val="176"/>
        </w:trPr>
        <w:tc>
          <w:tcPr>
            <w:tcW w:w="7140" w:type="dxa"/>
            <w:vAlign w:val="bottom"/>
          </w:tcPr>
          <w:p>
            <w:pPr>
              <w:ind w:left="20"/>
              <w:spacing w:after="0"/>
              <w:rPr>
                <w:sz w:val="20"/>
                <w:szCs w:val="20"/>
                <w:color w:val="auto"/>
              </w:rPr>
            </w:pPr>
            <w:r>
              <w:rPr>
                <w:rFonts w:ascii="Arial" w:cs="Arial" w:eastAsia="Arial" w:hAnsi="Arial"/>
                <w:sz w:val="14"/>
                <w:szCs w:val="14"/>
                <w:color w:val="auto"/>
              </w:rPr>
              <w:t>Weighted average yield on debt investments</w:t>
            </w:r>
          </w:p>
        </w:tc>
        <w:tc>
          <w:tcPr>
            <w:tcW w:w="200" w:type="dxa"/>
            <w:vAlign w:val="bottom"/>
          </w:tcPr>
          <w:p>
            <w:pPr>
              <w:spacing w:after="0"/>
              <w:rPr>
                <w:sz w:val="15"/>
                <w:szCs w:val="15"/>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4"/>
                <w:szCs w:val="14"/>
                <w:color w:val="auto"/>
              </w:rPr>
              <w:t>7.2 %</w:t>
            </w:r>
          </w:p>
        </w:tc>
        <w:tc>
          <w:tcPr>
            <w:tcW w:w="180" w:type="dxa"/>
            <w:vAlign w:val="bottom"/>
          </w:tcPr>
          <w:p>
            <w:pPr>
              <w:spacing w:after="0"/>
              <w:rPr>
                <w:sz w:val="15"/>
                <w:szCs w:val="15"/>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4"/>
                <w:szCs w:val="14"/>
                <w:color w:val="auto"/>
              </w:rPr>
              <w:t>7.1 %</w:t>
            </w:r>
          </w:p>
        </w:tc>
      </w:tr>
      <w:tr>
        <w:trPr>
          <w:trHeight w:val="175"/>
        </w:trPr>
        <w:tc>
          <w:tcPr>
            <w:tcW w:w="7140" w:type="dxa"/>
            <w:vAlign w:val="bottom"/>
            <w:shd w:val="clear" w:color="auto" w:fill="CCECFF"/>
          </w:tcPr>
          <w:p>
            <w:pPr>
              <w:ind w:left="20"/>
              <w:spacing w:after="0"/>
              <w:rPr>
                <w:sz w:val="20"/>
                <w:szCs w:val="20"/>
                <w:color w:val="auto"/>
              </w:rPr>
            </w:pPr>
            <w:r>
              <w:rPr>
                <w:rFonts w:ascii="Arial" w:cs="Arial" w:eastAsia="Arial" w:hAnsi="Arial"/>
                <w:sz w:val="14"/>
                <w:szCs w:val="14"/>
                <w:color w:val="auto"/>
              </w:rPr>
              <w:t>Number of portfolio companies in PSLF</w:t>
            </w:r>
          </w:p>
        </w:tc>
        <w:tc>
          <w:tcPr>
            <w:tcW w:w="200" w:type="dxa"/>
            <w:vAlign w:val="bottom"/>
            <w:shd w:val="clear" w:color="auto" w:fill="CCECFF"/>
          </w:tcPr>
          <w:p>
            <w:pPr>
              <w:spacing w:after="0"/>
              <w:rPr>
                <w:sz w:val="15"/>
                <w:szCs w:val="15"/>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w:t>
            </w:r>
          </w:p>
        </w:tc>
        <w:tc>
          <w:tcPr>
            <w:tcW w:w="3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w:t>
            </w:r>
          </w:p>
        </w:tc>
        <w:tc>
          <w:tcPr>
            <w:tcW w:w="180" w:type="dxa"/>
            <w:vAlign w:val="bottom"/>
            <w:shd w:val="clear" w:color="auto" w:fill="CCECFF"/>
          </w:tcPr>
          <w:p>
            <w:pPr>
              <w:spacing w:after="0"/>
              <w:rPr>
                <w:sz w:val="15"/>
                <w:szCs w:val="15"/>
                <w:color w:val="auto"/>
              </w:rPr>
            </w:pPr>
          </w:p>
        </w:tc>
      </w:tr>
      <w:tr>
        <w:trPr>
          <w:trHeight w:val="176"/>
        </w:trPr>
        <w:tc>
          <w:tcPr>
            <w:tcW w:w="7140" w:type="dxa"/>
            <w:vAlign w:val="bottom"/>
          </w:tcPr>
          <w:p>
            <w:pPr>
              <w:ind w:left="20"/>
              <w:spacing w:after="0"/>
              <w:rPr>
                <w:sz w:val="20"/>
                <w:szCs w:val="20"/>
                <w:color w:val="auto"/>
              </w:rPr>
            </w:pPr>
            <w:r>
              <w:rPr>
                <w:rFonts w:ascii="Arial" w:cs="Arial" w:eastAsia="Arial" w:hAnsi="Arial"/>
                <w:sz w:val="14"/>
                <w:szCs w:val="14"/>
                <w:color w:val="auto"/>
              </w:rPr>
              <w:t>Largest portfolio company investment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16,771,958</w:t>
            </w:r>
          </w:p>
        </w:tc>
        <w:tc>
          <w:tcPr>
            <w:tcW w:w="36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16,816,670</w:t>
            </w:r>
          </w:p>
        </w:tc>
        <w:tc>
          <w:tcPr>
            <w:tcW w:w="180" w:type="dxa"/>
            <w:vAlign w:val="bottom"/>
          </w:tcPr>
          <w:p>
            <w:pPr>
              <w:spacing w:after="0"/>
              <w:rPr>
                <w:sz w:val="15"/>
                <w:szCs w:val="15"/>
                <w:color w:val="auto"/>
              </w:rPr>
            </w:pPr>
          </w:p>
        </w:tc>
      </w:tr>
      <w:tr>
        <w:trPr>
          <w:trHeight w:val="175"/>
        </w:trPr>
        <w:tc>
          <w:tcPr>
            <w:tcW w:w="7140" w:type="dxa"/>
            <w:vAlign w:val="bottom"/>
            <w:shd w:val="clear" w:color="auto" w:fill="CCECFF"/>
          </w:tcPr>
          <w:p>
            <w:pPr>
              <w:ind w:left="20"/>
              <w:spacing w:after="0"/>
              <w:rPr>
                <w:sz w:val="20"/>
                <w:szCs w:val="20"/>
                <w:color w:val="auto"/>
              </w:rPr>
            </w:pPr>
            <w:r>
              <w:rPr>
                <w:rFonts w:ascii="Arial" w:cs="Arial" w:eastAsia="Arial" w:hAnsi="Arial"/>
                <w:sz w:val="14"/>
                <w:szCs w:val="14"/>
                <w:color w:val="auto"/>
              </w:rPr>
              <w:t>Total of five largest portfolio company investments</w:t>
            </w: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73,806,188</w:t>
            </w:r>
          </w:p>
        </w:tc>
        <w:tc>
          <w:tcPr>
            <w:tcW w:w="360" w:type="dxa"/>
            <w:vAlign w:val="bottom"/>
            <w:shd w:val="clear" w:color="auto" w:fill="CCECFF"/>
          </w:tcPr>
          <w:p>
            <w:pPr>
              <w:spacing w:after="0"/>
              <w:rPr>
                <w:sz w:val="15"/>
                <w:szCs w:val="15"/>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74,444,646</w:t>
            </w:r>
          </w:p>
        </w:tc>
        <w:tc>
          <w:tcPr>
            <w:tcW w:w="180" w:type="dxa"/>
            <w:vAlign w:val="bottom"/>
            <w:shd w:val="clear" w:color="auto" w:fill="CCECFF"/>
          </w:tcPr>
          <w:p>
            <w:pPr>
              <w:spacing w:after="0"/>
              <w:rPr>
                <w:sz w:val="15"/>
                <w:szCs w:val="15"/>
                <w:color w:val="auto"/>
              </w:rPr>
            </w:pPr>
          </w:p>
        </w:tc>
      </w:tr>
    </w:tbl>
    <w:p>
      <w:pPr>
        <w:spacing w:after="0" w:line="14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Below is a listing of PSLF’s individual investments as of December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center"/>
              <w:ind w:left="126"/>
              <w:spacing w:after="0"/>
              <w:rPr>
                <w:sz w:val="20"/>
                <w:szCs w:val="20"/>
                <w:color w:val="auto"/>
              </w:rPr>
            </w:pPr>
            <w:r>
              <w:rPr>
                <w:rFonts w:ascii="Arial" w:cs="Arial" w:eastAsia="Arial" w:hAnsi="Arial"/>
                <w:sz w:val="11"/>
                <w:szCs w:val="11"/>
                <w:b w:val="1"/>
                <w:bCs w:val="1"/>
                <w:color w:val="auto"/>
                <w:w w:val="95"/>
              </w:rPr>
              <w:t>Current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60" w:type="dxa"/>
            <w:vAlign w:val="bottom"/>
          </w:tcPr>
          <w:p>
            <w:pPr>
              <w:spacing w:after="0"/>
              <w:rPr>
                <w:sz w:val="9"/>
                <w:szCs w:val="9"/>
                <w:color w:val="auto"/>
              </w:rPr>
            </w:pPr>
          </w:p>
        </w:tc>
        <w:tc>
          <w:tcPr>
            <w:tcW w:w="7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Maturity</w:t>
            </w:r>
          </w:p>
        </w:tc>
        <w:tc>
          <w:tcPr>
            <w:tcW w:w="160" w:type="dxa"/>
            <w:vAlign w:val="bottom"/>
          </w:tcPr>
          <w:p>
            <w:pPr>
              <w:spacing w:after="0"/>
              <w:rPr>
                <w:sz w:val="9"/>
                <w:szCs w:val="9"/>
                <w:color w:val="auto"/>
              </w:rPr>
            </w:pPr>
          </w:p>
        </w:tc>
        <w:tc>
          <w:tcPr>
            <w:tcW w:w="27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6"/>
              </w:rPr>
              <w:t>Spread Above</w:t>
            </w:r>
          </w:p>
        </w:tc>
        <w:tc>
          <w:tcPr>
            <w:tcW w:w="180" w:type="dxa"/>
            <w:vAlign w:val="bottom"/>
          </w:tcPr>
          <w:p>
            <w:pPr>
              <w:spacing w:after="0"/>
              <w:rPr>
                <w:sz w:val="9"/>
                <w:szCs w:val="9"/>
                <w:color w:val="auto"/>
              </w:rPr>
            </w:pPr>
          </w:p>
        </w:tc>
        <w:tc>
          <w:tcPr>
            <w:tcW w:w="84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Par</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266"/>
              <w:spacing w:after="0"/>
              <w:rPr>
                <w:sz w:val="20"/>
                <w:szCs w:val="20"/>
                <w:color w:val="auto"/>
              </w:rPr>
            </w:pPr>
            <w:r>
              <w:rPr>
                <w:rFonts w:ascii="Arial" w:cs="Arial" w:eastAsia="Arial" w:hAnsi="Arial"/>
                <w:sz w:val="11"/>
                <w:szCs w:val="11"/>
                <w:b w:val="1"/>
                <w:bCs w:val="1"/>
                <w:color w:val="auto"/>
              </w:rPr>
              <w:t>Cost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(2)</w:t>
            </w:r>
          </w:p>
        </w:tc>
        <w:tc>
          <w:tcPr>
            <w:tcW w:w="0" w:type="dxa"/>
            <w:vAlign w:val="bottom"/>
          </w:tcPr>
          <w:p>
            <w:pPr>
              <w:spacing w:after="0"/>
              <w:rPr>
                <w:sz w:val="1"/>
                <w:szCs w:val="1"/>
                <w:color w:val="auto"/>
              </w:rPr>
            </w:pPr>
          </w:p>
        </w:tc>
      </w:tr>
      <w:tr>
        <w:trPr>
          <w:trHeight w:val="148"/>
        </w:trPr>
        <w:tc>
          <w:tcPr>
            <w:tcW w:w="22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left="166"/>
              <w:spacing w:after="0"/>
              <w:rPr>
                <w:sz w:val="20"/>
                <w:szCs w:val="20"/>
                <w:color w:val="auto"/>
              </w:rPr>
            </w:pPr>
            <w:r>
              <w:rPr>
                <w:rFonts w:ascii="Arial" w:cs="Arial" w:eastAsia="Arial" w:hAnsi="Arial"/>
                <w:sz w:val="11"/>
                <w:szCs w:val="11"/>
                <w:b w:val="1"/>
                <w:bCs w:val="1"/>
                <w:color w:val="auto"/>
                <w:w w:val="91"/>
              </w:rPr>
              <w:t>Coupon</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8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First Lien Secured Debt - 613.1%</w:t>
            </w: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Ad.net Acquisition, LLC</w:t>
            </w:r>
          </w:p>
        </w:tc>
        <w:tc>
          <w:tcPr>
            <w:tcW w:w="88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8"/>
              </w:rPr>
              <w:t>5/6/2026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7.00 %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L+600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4,975,000</w:t>
            </w:r>
          </w:p>
        </w:tc>
        <w:tc>
          <w:tcPr>
            <w:tcW w:w="360" w:type="dxa"/>
            <w:vAlign w:val="bottom"/>
            <w:gridSpan w:val="2"/>
            <w:shd w:val="clear" w:color="auto" w:fill="CCECFF"/>
          </w:tcPr>
          <w:p>
            <w:pPr>
              <w:jc w:val="right"/>
              <w:ind w:right="71"/>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4,910,776</w:t>
            </w:r>
          </w:p>
        </w:tc>
        <w:tc>
          <w:tcPr>
            <w:tcW w:w="2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4,975,000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Altamira Technologies,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7/24/2025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9.00 %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L+800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908,731</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899,842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851,935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American Insulated Glass,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12/21/2023</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4"/>
              </w:rPr>
              <w:t>Building Materials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6.50 %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L+550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12,597,225</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12,485,615</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12,597,225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Any Hour Services</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12/22/2023</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6,483,750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6,363,646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6,483,750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9"/>
              </w:rPr>
              <w:t>7/31/2025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6.25 %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L+525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6,569,222</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6,520,357</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6,487,107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Apex Service Partners, LLC Term Loan B</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7/31/2025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6.55 %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1M L+550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3,323,292</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3,291,335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3,281,751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Applied Technical Services,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12/29/2026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Environmental Services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L+575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7,425,000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7,321,804</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7,332,188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Bottom Line Systems,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2/13/2023</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6.25 %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L+550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13,729,432</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13,684,974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13,729,432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CF512, Inc.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9"/>
              </w:rPr>
              <w:t>8/20/2026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7.00 %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L+600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3,000,000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2,943,750</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2,970,000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Crash Champions, LLC</w:t>
            </w:r>
          </w:p>
        </w:tc>
        <w:tc>
          <w:tcPr>
            <w:tcW w:w="880" w:type="dxa"/>
            <w:vAlign w:val="bottom"/>
            <w:gridSpan w:val="2"/>
          </w:tcPr>
          <w:p>
            <w:pPr>
              <w:jc w:val="center"/>
              <w:ind w:left="126"/>
              <w:spacing w:after="0"/>
              <w:rPr>
                <w:sz w:val="20"/>
                <w:szCs w:val="20"/>
                <w:color w:val="auto"/>
              </w:rPr>
            </w:pPr>
            <w:r>
              <w:rPr>
                <w:rFonts w:ascii="Arial" w:cs="Arial" w:eastAsia="Arial" w:hAnsi="Arial"/>
                <w:sz w:val="11"/>
                <w:szCs w:val="11"/>
                <w:color w:val="auto"/>
                <w:w w:val="88"/>
              </w:rPr>
              <w:t>8/5/2025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90"/>
              </w:rPr>
              <w:t>Auto Sector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6.00 %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L+500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5,970,000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5,864,487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5,850,600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Dr. Squatch,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9"/>
              </w:rPr>
              <w:t>8/27/2026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Personal and Non-Durable Consumer Products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7.00 %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L+600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6,483,750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6,363,762</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6,483,750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DRS Holdings III,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11/3/2025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8"/>
              </w:rPr>
              <w:t>Consumer Products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13,393,885</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13,305,374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13,313,523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ECL Entertainment,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9"/>
              </w:rPr>
              <w:t>3/31/2028</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Hotels, Motels, Inns and Gaming</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8.25 %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1M L+750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4,592,308</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4,549,792</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4,661,192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ECM Industries,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12/23/2025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92"/>
              </w:rPr>
              <w:t>Electronics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5.75 %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L+475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2,826,993</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2,806,151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2,756,318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Global Holdings InterCo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9"/>
              </w:rPr>
              <w:t>3/16/2026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Banking, Finance, Insurance &amp; Real Estate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7.00 %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L+600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7,443,750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7,346,081</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7,406,531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Graffiti Buyer,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8/10/2027</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1,989,063</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1,959,419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1,950,276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Hancock Roofing and Construction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12/31/2026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6.00 %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L+500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5,940,000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5,809,343</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5,940,000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HW Holdco,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12/10/2024</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14,550,000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14,467,487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14,259,000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Integrity Marketing Acquisition,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9"/>
              </w:rPr>
              <w:t>8/27/2025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L+575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7,848,142</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7,786,451</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7,808,901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K2 Pure Solutions NoCal, L.P.</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12/20/2023</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8.00 %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1M L+700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14,550,000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14,452,983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14,259,000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LAV Gear Holdings, Inc.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10/31/2024</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Leisure, Amusement, Motion Pictures, Entertainment</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8.50 %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L+750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2,125,391</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2,113,185</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2,025,497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Lash OpCo,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2/18/2027</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8"/>
              </w:rPr>
              <w:t>Consumer Products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8.00 %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L+700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10,000,000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9,803,296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9,900,000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Lightspeed Buyer Inc.</w:t>
            </w:r>
          </w:p>
        </w:tc>
        <w:tc>
          <w:tcPr>
            <w:tcW w:w="88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8"/>
              </w:rPr>
              <w:t>2/3/2026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1M L+575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12,439,940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12,251,098</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12,097,841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Lombart Brothers,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4/13/2023</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7.25 %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L+625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16,771,958</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16,697,813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16,771,958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MAG DS Corp.</w:t>
            </w:r>
          </w:p>
        </w:tc>
        <w:tc>
          <w:tcPr>
            <w:tcW w:w="88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8"/>
              </w:rPr>
              <w:t>4/1/2027</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6.50 %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L+550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5,718,602</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5,476,716</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5,189,631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Management Consulting &amp; Research,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8/16/2027</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7.00 %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1M L+600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5,000,000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4,906,250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4,900,000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Mars Acquisition Holdings Corp.</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9"/>
              </w:rPr>
              <w:t>5/14/2026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6.50 %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1M L+550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7,980,000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7,838,226</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7,940,099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MBS Holdings,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4/16/2027</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7,462,500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7,324,940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7,387,875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MeritDirect,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9"/>
              </w:rPr>
              <w:t>5/23/2024</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6.50 %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L+550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13,301,609</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13,198,169</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13,168,593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NBH Group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8/19/2026</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6.50 %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L+550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7,561,352</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7,421,439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7,485,739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OIS Management Services LLC</w:t>
            </w:r>
          </w:p>
        </w:tc>
        <w:tc>
          <w:tcPr>
            <w:tcW w:w="88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8"/>
              </w:rPr>
              <w:t>7/9/2026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5.50 %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L+450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3,882,750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3,830,110</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3,843,923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PlayPower, Inc.</w:t>
            </w:r>
          </w:p>
        </w:tc>
        <w:tc>
          <w:tcPr>
            <w:tcW w:w="880" w:type="dxa"/>
            <w:vAlign w:val="bottom"/>
            <w:gridSpan w:val="2"/>
          </w:tcPr>
          <w:p>
            <w:pPr>
              <w:jc w:val="center"/>
              <w:ind w:left="126"/>
              <w:spacing w:after="0"/>
              <w:rPr>
                <w:sz w:val="20"/>
                <w:szCs w:val="20"/>
                <w:color w:val="auto"/>
              </w:rPr>
            </w:pPr>
            <w:r>
              <w:rPr>
                <w:rFonts w:ascii="Arial" w:cs="Arial" w:eastAsia="Arial" w:hAnsi="Arial"/>
                <w:sz w:val="11"/>
                <w:szCs w:val="11"/>
                <w:color w:val="auto"/>
                <w:w w:val="88"/>
              </w:rPr>
              <w:t>5/8/2026</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8"/>
              </w:rPr>
              <w:t>Consumer Products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5.72 %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L+450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2,601,243</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2,583,136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2,540,556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Quantic Electronics,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11/19/2026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7.25 %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1M L+625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3,429,174</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3,365,467</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3,360,591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Radius Aerospace,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3/31/2025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13,321,436</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13,196,083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13,188,221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Rancho Health MSO, Inc.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12/18/2025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1M L+575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5,219,813</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5,130,312</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5,219,813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Recteq,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1/29/2026</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8"/>
              </w:rPr>
              <w:t>Consumer Products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7.00 %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L+600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9,925,000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9,759,687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9,776,125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Research Now Group, LLC and Dynata,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12/20/2024</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6.50 %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L+550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14,656,489</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14,570,468</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14,445,875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Riverpoint Medical,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6/20/2025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3,237,682</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3,209,927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3,215,018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Sales Benchmark Index LLC</w:t>
            </w:r>
          </w:p>
        </w:tc>
        <w:tc>
          <w:tcPr>
            <w:tcW w:w="88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8"/>
              </w:rPr>
              <w:t>1/3/2025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7.75 %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L+600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7,266,640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7,172,354</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7,157,640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Sargent &amp; Greenleaf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12/20/2024</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92"/>
              </w:rPr>
              <w:t>Electronics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7.00 %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L+550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5,191,176</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5,144,086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5,191,176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Signature Systems Holding Company</w:t>
            </w:r>
          </w:p>
        </w:tc>
        <w:tc>
          <w:tcPr>
            <w:tcW w:w="88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8"/>
              </w:rPr>
              <w:t>5/3/2024</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8.50 %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L+750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13,312,500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13,220,958</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13,179,375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Solutionreach,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1/17/2024</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90"/>
              </w:rPr>
              <w:t>Communications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1M L+575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11,848,473</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11,737,561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11,848,473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STV Group Incorporated</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12/11/2026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Transportation</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5.35 %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1M L+525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12,098,653</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12,006,719</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12,038,160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TAC LifePort Purchaser, LLC</w:t>
            </w:r>
          </w:p>
        </w:tc>
        <w:tc>
          <w:tcPr>
            <w:tcW w:w="880" w:type="dxa"/>
            <w:vAlign w:val="bottom"/>
            <w:gridSpan w:val="2"/>
          </w:tcPr>
          <w:p>
            <w:pPr>
              <w:jc w:val="center"/>
              <w:ind w:left="126"/>
              <w:spacing w:after="0"/>
              <w:rPr>
                <w:sz w:val="20"/>
                <w:szCs w:val="20"/>
                <w:color w:val="auto"/>
              </w:rPr>
            </w:pPr>
            <w:r>
              <w:rPr>
                <w:rFonts w:ascii="Arial" w:cs="Arial" w:eastAsia="Arial" w:hAnsi="Arial"/>
                <w:sz w:val="11"/>
                <w:szCs w:val="11"/>
                <w:color w:val="auto"/>
                <w:w w:val="88"/>
              </w:rPr>
              <w:t>3/1/2026</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7.00 %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L+600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4,670,729</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4,603,273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4,670,729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TeleGuam Holdings,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11/20/2025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Telecommunications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5.50 %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1M L+450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4,580,383</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4,546,783</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4,534,579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Teneo Holdings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7/18/2025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6.25 %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1M L+525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2,989,109</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2,882,942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2,994,100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Bluebird Group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9"/>
              </w:rPr>
              <w:t>7/27/2026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8.00 %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L+700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3,000,000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2,974,110</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3,060,000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The Vertex Companies,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8/30/2027</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6.50 %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1M L+550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4,565,673</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4,481,248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4,515,451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w w:val="89"/>
              </w:rPr>
              <w:t>TPC Canada Parent, Inc. and TPC US Parent,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11/24/2025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Food</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6.25 %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L+525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5,578,916</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5,523,127</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5,411,548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TVC Enterprises,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3/26/2026</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7"/>
              </w:rPr>
              <w:t>Transportation</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1M L+575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12,741,017</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12,624,021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12,741,017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TWS Acquisition Corporation</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9"/>
              </w:rPr>
              <w:t>6/16/2025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Education</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7.25 %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L+625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9,647,753</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9,522,593</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9,647,753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Tyto Athene, LLC</w:t>
            </w:r>
          </w:p>
        </w:tc>
        <w:tc>
          <w:tcPr>
            <w:tcW w:w="880" w:type="dxa"/>
            <w:vAlign w:val="bottom"/>
            <w:gridSpan w:val="2"/>
          </w:tcPr>
          <w:p>
            <w:pPr>
              <w:jc w:val="center"/>
              <w:ind w:left="126"/>
              <w:spacing w:after="0"/>
              <w:rPr>
                <w:sz w:val="20"/>
                <w:szCs w:val="20"/>
                <w:color w:val="auto"/>
              </w:rPr>
            </w:pPr>
            <w:r>
              <w:rPr>
                <w:rFonts w:ascii="Arial" w:cs="Arial" w:eastAsia="Arial" w:hAnsi="Arial"/>
                <w:sz w:val="11"/>
                <w:szCs w:val="11"/>
                <w:color w:val="auto"/>
                <w:w w:val="88"/>
              </w:rPr>
              <w:t>4/3/2028</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6.25 %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L+550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9,925,125</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9,832,748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9,850,686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UBEO, LLC</w:t>
            </w:r>
          </w:p>
        </w:tc>
        <w:tc>
          <w:tcPr>
            <w:tcW w:w="88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8"/>
              </w:rPr>
              <w:t>4/3/2024</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Printing and Publishing</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5.50 %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1M L+450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4,698,158</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4,666,959</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4,674,667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Vision Purchaser Corporation</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6/10/2025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7.75 %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6M L+675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14,212,480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14,032,299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14,070,355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Wildcat Buyerco, Inc.</w:t>
            </w:r>
          </w:p>
        </w:tc>
        <w:tc>
          <w:tcPr>
            <w:tcW w:w="880" w:type="dxa"/>
            <w:vAlign w:val="bottom"/>
            <w:tcBorders>
              <w:bottom w:val="single" w:sz="8" w:color="CCECFF"/>
            </w:tcBorders>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9"/>
              </w:rPr>
              <w:t>2/27/2026</w:t>
            </w:r>
          </w:p>
        </w:tc>
        <w:tc>
          <w:tcPr>
            <w:tcW w:w="160" w:type="dxa"/>
            <w:vAlign w:val="bottom"/>
            <w:tcBorders>
              <w:bottom w:val="single" w:sz="8" w:color="CCECFF"/>
            </w:tcBorders>
            <w:shd w:val="clear" w:color="auto" w:fill="CCECFF"/>
          </w:tcPr>
          <w:p>
            <w:pPr>
              <w:spacing w:after="0"/>
              <w:rPr>
                <w:sz w:val="11"/>
                <w:szCs w:val="11"/>
                <w:color w:val="auto"/>
              </w:rPr>
            </w:pPr>
          </w:p>
        </w:tc>
        <w:tc>
          <w:tcPr>
            <w:tcW w:w="278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92"/>
              </w:rPr>
              <w:t>Electronics</w:t>
            </w:r>
          </w:p>
        </w:tc>
        <w:tc>
          <w:tcPr>
            <w:tcW w:w="16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480" w:type="dxa"/>
            <w:vAlign w:val="bottom"/>
            <w:tcBorders>
              <w:bottom w:val="single" w:sz="8" w:color="CCECFF"/>
            </w:tcBorders>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tcBorders>
              <w:bottom w:val="single" w:sz="8" w:color="CCECFF"/>
            </w:tcBorders>
            <w:shd w:val="clear" w:color="auto" w:fill="CCECFF"/>
          </w:tcPr>
          <w:p>
            <w:pPr>
              <w:ind w:left="420"/>
              <w:spacing w:after="0"/>
              <w:rPr>
                <w:sz w:val="20"/>
                <w:szCs w:val="20"/>
                <w:color w:val="auto"/>
              </w:rPr>
            </w:pPr>
            <w:r>
              <w:rPr>
                <w:rFonts w:ascii="Arial" w:cs="Arial" w:eastAsia="Arial" w:hAnsi="Arial"/>
                <w:sz w:val="11"/>
                <w:szCs w:val="11"/>
                <w:color w:val="auto"/>
                <w:w w:val="89"/>
              </w:rPr>
              <w:t>3M L+575</w:t>
            </w:r>
          </w:p>
        </w:tc>
        <w:tc>
          <w:tcPr>
            <w:tcW w:w="102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10,146,132</w:t>
            </w:r>
          </w:p>
        </w:tc>
        <w:tc>
          <w:tcPr>
            <w:tcW w:w="1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10,024,916</w:t>
            </w:r>
          </w:p>
        </w:tc>
        <w:tc>
          <w:tcPr>
            <w:tcW w:w="18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10,095,401</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80" w:type="dxa"/>
            <w:vAlign w:val="bottom"/>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420,806,448</w:t>
            </w: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421,535,944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 - 613.1%</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b w:val="1"/>
                <w:bCs w:val="1"/>
                <w:color w:val="auto"/>
              </w:rPr>
              <w:t>Cash and Cash Equivalents - 32.2%</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BlackRock Federal FD Institutional 30</w:t>
            </w:r>
          </w:p>
        </w:tc>
        <w:tc>
          <w:tcPr>
            <w:tcW w:w="16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2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22,154,890</w:t>
            </w:r>
          </w:p>
        </w:tc>
        <w:tc>
          <w:tcPr>
            <w:tcW w:w="18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22,154,890</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80" w:type="dxa"/>
            <w:vAlign w:val="bottom"/>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22,154,890</w:t>
            </w: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22,154,890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2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w w:val="95"/>
              </w:rPr>
              <w:t>Total Investments and Cash Equivalents - .%</w:t>
            </w:r>
          </w:p>
        </w:tc>
        <w:tc>
          <w:tcPr>
            <w:tcW w:w="160" w:type="dxa"/>
            <w:vAlign w:val="bottom"/>
            <w:tcBorders>
              <w:bottom w:val="single" w:sz="8" w:color="CCECFF"/>
            </w:tcBorders>
            <w:shd w:val="clear" w:color="auto" w:fill="CCECFF"/>
          </w:tcPr>
          <w:p>
            <w:pPr>
              <w:spacing w:after="0"/>
              <w:rPr>
                <w:sz w:val="15"/>
                <w:szCs w:val="15"/>
                <w:color w:val="auto"/>
              </w:rPr>
            </w:pPr>
          </w:p>
        </w:tc>
        <w:tc>
          <w:tcPr>
            <w:tcW w:w="72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278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60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84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auto"/>
            </w:tcBorders>
            <w:shd w:val="clear" w:color="auto" w:fill="CCECFF"/>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442,961,338</w:t>
            </w:r>
          </w:p>
        </w:tc>
        <w:tc>
          <w:tcPr>
            <w:tcW w:w="18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443,690,834</w:t>
            </w:r>
          </w:p>
        </w:tc>
        <w:tc>
          <w:tcPr>
            <w:tcW w:w="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280" w:type="dxa"/>
            <w:vAlign w:val="bottom"/>
          </w:tcPr>
          <w:p>
            <w:pPr>
              <w:ind w:left="20"/>
              <w:spacing w:after="0" w:line="102" w:lineRule="exact"/>
              <w:rPr>
                <w:sz w:val="20"/>
                <w:szCs w:val="20"/>
                <w:color w:val="auto"/>
              </w:rPr>
            </w:pPr>
            <w:r>
              <w:rPr>
                <w:rFonts w:ascii="Arial" w:cs="Arial" w:eastAsia="Arial" w:hAnsi="Arial"/>
                <w:sz w:val="11"/>
                <w:szCs w:val="11"/>
                <w:b w:val="1"/>
                <w:bCs w:val="1"/>
                <w:color w:val="auto"/>
                <w:w w:val="89"/>
              </w:rPr>
              <w:t>Liabilities in Excess of Other Assets — (545.3)%</w:t>
            </w: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spacing w:after="0" w:line="102" w:lineRule="exact"/>
              <w:rPr>
                <w:sz w:val="20"/>
                <w:szCs w:val="20"/>
                <w:color w:val="auto"/>
              </w:rPr>
            </w:pPr>
            <w:r>
              <w:rPr>
                <w:rFonts w:ascii="Arial" w:cs="Arial" w:eastAsia="Arial" w:hAnsi="Arial"/>
                <w:sz w:val="11"/>
                <w:szCs w:val="11"/>
                <w:color w:val="auto"/>
                <w:w w:val="97"/>
              </w:rPr>
              <w:t>(374,932,253 )</w:t>
            </w:r>
          </w:p>
        </w:tc>
        <w:tc>
          <w:tcPr>
            <w:tcW w:w="0" w:type="dxa"/>
            <w:vAlign w:val="bottom"/>
          </w:tcPr>
          <w:p>
            <w:pPr>
              <w:spacing w:after="0"/>
              <w:rPr>
                <w:sz w:val="1"/>
                <w:szCs w:val="1"/>
                <w:color w:val="auto"/>
              </w:rPr>
            </w:pPr>
          </w:p>
        </w:tc>
      </w:tr>
      <w:tr>
        <w:trPr>
          <w:trHeight w:val="182"/>
        </w:trPr>
        <w:tc>
          <w:tcPr>
            <w:tcW w:w="22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Members' Equity—100.0%</w:t>
            </w:r>
          </w:p>
        </w:tc>
        <w:tc>
          <w:tcPr>
            <w:tcW w:w="160" w:type="dxa"/>
            <w:vAlign w:val="bottom"/>
            <w:tcBorders>
              <w:bottom w:val="single" w:sz="8" w:color="CCECFF"/>
            </w:tcBorders>
            <w:shd w:val="clear" w:color="auto" w:fill="CCECFF"/>
          </w:tcPr>
          <w:p>
            <w:pPr>
              <w:spacing w:after="0"/>
              <w:rPr>
                <w:sz w:val="15"/>
                <w:szCs w:val="15"/>
                <w:color w:val="auto"/>
              </w:rPr>
            </w:pPr>
          </w:p>
        </w:tc>
        <w:tc>
          <w:tcPr>
            <w:tcW w:w="72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278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60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84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6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68,758,581</w:t>
            </w:r>
          </w:p>
        </w:tc>
        <w:tc>
          <w:tcPr>
            <w:tcW w:w="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6520180</wp:posOffset>
            </wp:positionH>
            <wp:positionV relativeFrom="paragraph">
              <wp:posOffset>-776605</wp:posOffset>
            </wp:positionV>
            <wp:extent cx="2540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-776605</wp:posOffset>
            </wp:positionV>
            <wp:extent cx="26035"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-416560</wp:posOffset>
            </wp:positionV>
            <wp:extent cx="2540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-416560</wp:posOffset>
            </wp:positionV>
            <wp:extent cx="26035"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-231140</wp:posOffset>
            </wp:positionV>
            <wp:extent cx="254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-213995</wp:posOffset>
            </wp:positionV>
            <wp:extent cx="2540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-231140</wp:posOffset>
            </wp:positionV>
            <wp:extent cx="2603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-213995</wp:posOffset>
            </wp:positionV>
            <wp:extent cx="260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-25400</wp:posOffset>
            </wp:positionV>
            <wp:extent cx="2603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-8255</wp:posOffset>
            </wp:positionV>
            <wp:extent cx="2603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19126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ind w:left="328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p>
      <w:pPr>
        <w:ind w:left="380" w:right="20" w:hanging="372"/>
        <w:spacing w:after="0" w:line="219" w:lineRule="auto"/>
        <w:tabs>
          <w:tab w:leader="none" w:pos="380" w:val="left"/>
        </w:tabs>
        <w:numPr>
          <w:ilvl w:val="0"/>
          <w:numId w:val="16"/>
        </w:numPr>
        <w:rPr>
          <w:rFonts w:ascii="Arial" w:cs="Arial" w:eastAsia="Arial" w:hAnsi="Arial"/>
          <w:sz w:val="14"/>
          <w:szCs w:val="14"/>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4"/>
          <w:szCs w:val="14"/>
          <w:color w:val="auto"/>
          <w:vertAlign w:val="superscript"/>
        </w:rPr>
      </w:pPr>
    </w:p>
    <w:p>
      <w:pPr>
        <w:ind w:left="380" w:hanging="372"/>
        <w:spacing w:after="0" w:line="221" w:lineRule="auto"/>
        <w:tabs>
          <w:tab w:leader="none" w:pos="380" w:val="left"/>
        </w:tabs>
        <w:numPr>
          <w:ilvl w:val="0"/>
          <w:numId w:val="16"/>
        </w:numPr>
        <w:rPr>
          <w:rFonts w:ascii="Arial" w:cs="Arial" w:eastAsia="Arial" w:hAnsi="Arial"/>
          <w:sz w:val="14"/>
          <w:szCs w:val="14"/>
          <w:color w:val="auto"/>
          <w:vertAlign w:val="superscript"/>
        </w:rPr>
      </w:pPr>
      <w:r>
        <w:rPr>
          <w:rFonts w:ascii="Arial" w:cs="Arial" w:eastAsia="Arial" w:hAnsi="Arial"/>
          <w:sz w:val="11"/>
          <w:szCs w:val="11"/>
          <w:color w:val="auto"/>
        </w:rPr>
        <w:t>Valued based on PSLF’s accounting policy.</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Below is a listing of PSLF’s individual investments as of September 30,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Current</w:t>
            </w:r>
          </w:p>
        </w:tc>
        <w:tc>
          <w:tcPr>
            <w:tcW w:w="18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40" w:type="dxa"/>
            <w:vAlign w:val="bottom"/>
          </w:tcPr>
          <w:p>
            <w:pPr>
              <w:spacing w:after="0"/>
              <w:rPr>
                <w:sz w:val="9"/>
                <w:szCs w:val="9"/>
                <w:color w:val="auto"/>
              </w:rPr>
            </w:pPr>
          </w:p>
        </w:tc>
        <w:tc>
          <w:tcPr>
            <w:tcW w:w="26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Spread Above</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Par</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82"/>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(2)</w:t>
            </w:r>
          </w:p>
        </w:tc>
        <w:tc>
          <w:tcPr>
            <w:tcW w:w="0" w:type="dxa"/>
            <w:vAlign w:val="bottom"/>
          </w:tcPr>
          <w:p>
            <w:pPr>
              <w:spacing w:after="0"/>
              <w:rPr>
                <w:sz w:val="1"/>
                <w:szCs w:val="1"/>
                <w:color w:val="auto"/>
              </w:rPr>
            </w:pPr>
          </w:p>
        </w:tc>
      </w:tr>
      <w:tr>
        <w:trPr>
          <w:trHeight w:val="148"/>
        </w:trPr>
        <w:tc>
          <w:tcPr>
            <w:tcW w:w="3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1"/>
              </w:rPr>
              <w:t>Coupon</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40" w:type="dxa"/>
            <w:vAlign w:val="bottom"/>
            <w:tcBorders>
              <w:top w:val="single" w:sz="8" w:color="auto"/>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First Lien Secured Debt - 570.7%</w:t>
            </w:r>
          </w:p>
        </w:tc>
        <w:tc>
          <w:tcPr>
            <w:tcW w:w="120" w:type="dxa"/>
            <w:vAlign w:val="bottom"/>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60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60" w:type="dxa"/>
            <w:vAlign w:val="bottom"/>
            <w:tcBorders>
              <w:top w:val="single" w:sz="8" w:color="auto"/>
            </w:tcBorders>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Ad.net Acquisition,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05/06/26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 + 600</w:t>
            </w:r>
          </w:p>
        </w:tc>
        <w:tc>
          <w:tcPr>
            <w:tcW w:w="3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4,987,500</w:t>
            </w:r>
          </w:p>
        </w:tc>
        <w:tc>
          <w:tcPr>
            <w:tcW w:w="300" w:type="dxa"/>
            <w:vAlign w:val="bottom"/>
            <w:gridSpan w:val="2"/>
          </w:tcPr>
          <w:p>
            <w:pPr>
              <w:jc w:val="right"/>
              <w:ind w:right="31"/>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4,919,652</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4,912,688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Altamira Technologies,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07/24/25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8.00%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L+700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921,231</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911,674</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863,654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American Insulated Glass,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12/21/23</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2"/>
              </w:rPr>
              <w:t>Building Materials</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L+550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14,625,244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14,480,504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14,478,992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Any Hour Services</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07/21/27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L+525</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6,500,000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6,378,125</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6,370,000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Apex Service Partners,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07/31/25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6.25%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1M L+550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6,569,222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6,517,624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6,503,530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Apex Service Partners, LLC Term Loan B</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07/31/25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6.55%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ind w:left="740"/>
              <w:spacing w:after="0"/>
              <w:rPr>
                <w:sz w:val="20"/>
                <w:szCs w:val="20"/>
                <w:color w:val="auto"/>
              </w:rPr>
            </w:pPr>
            <w:r>
              <w:rPr>
                <w:rFonts w:ascii="Arial" w:cs="Arial" w:eastAsia="Arial" w:hAnsi="Arial"/>
                <w:sz w:val="11"/>
                <w:szCs w:val="11"/>
                <w:color w:val="auto"/>
                <w:w w:val="90"/>
              </w:rPr>
              <w:t>—</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3,346,690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3,313,038</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3,313,223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Applied Technical Services,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12/29/26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Environmental Services</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L+575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7,443,750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7,335,875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7,294,875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Bottom Line Systems,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02/13/23</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6.25%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L+550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13,729,432</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13,673,678</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13,729,432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Crash Champions,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08/05/25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0"/>
              </w:rPr>
              <w:t>Auto Sector</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1M L+525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5,985,000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5,873,298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5,865,300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DRS Holdings III,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11/03/25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Products</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7.25%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L+625</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13,428,053</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13,335,008</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13,334,057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ECL Entertainment,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03/31/28</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0"/>
              </w:rPr>
              <w:t>Hotels, Motels, Inns and Gaming</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8.25%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L+750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4,603,846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4,559,898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4,707,433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ECM Industries,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12/23/25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Electronics</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L+450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2,826,993</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2,804,979</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2,770,453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Global Holdings InterCo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03/16/26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Banking, Finance, Insurance &amp; Real Estate</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L+600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7,462,500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7,360,276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7,425,188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Hancock Roofing and Construction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12/31/26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6.00%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L+500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5,955,000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5,819,284</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5,895,450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Holdco Sands Intermediate,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12/19/25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L+600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12,070,714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11,934,092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12,010,361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HW Holdco,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12/10/24</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L+450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14,587,500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14,499,086</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14,441,625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IMIA Holdings,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04/09/27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L+600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9,059,429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8,889,612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8,878,241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Integrity Marketing Acquisition,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08/27/25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L+550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7,868,080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7,803,025</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7,828,740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Juniper Landscaping of Florida,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12/22/21</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L+550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9,420,290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9,420,290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9,420,290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K2 Pure Solutions NoCal, L.P.</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12/20/23</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8.00%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L+700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14,587,500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14,478,841</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14,199,473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LAV Gear Holdings,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10/31/24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0"/>
              </w:rPr>
              <w:t>Leisure, Amusement, Motion Pictures, Entertainment</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8.50%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L+750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2,119,558</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2,106,623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1,986,661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Lightspeed Buyer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02/03/26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L+550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12,471,593</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12,273,343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12,471,593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Lombart Brothers,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04/13/23</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7.25%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1M L+825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16,816,670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16,728,518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16,816,670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MAG DS Corp.</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04/01/27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L+550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5,836,801</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5,581,189</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5,253,121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Mars Acquisition Holdings Corp.</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05/14/26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1M L+575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8,000,000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7,851,584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7,920,000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MBS Holdings,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04/16/27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Telecommunications</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L+550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7,481,250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7,337,946</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7,331,625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MeritDirect,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05/23/24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L+550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13,386,132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13,271,890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13,252,270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PlayPower,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05/08/26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Products</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5.65%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L+575</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3,805,440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3,777,669</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3,735,687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Radius Aerospace,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03/31/25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L+600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13,334,912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13,201,809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13,068,214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Rancho Health MSO,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12/18/25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L+550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5,231,625</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5,140,072</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5,231,625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Recteq,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01/29/26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Consumer Products</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L+450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9,950,000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9,774,928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9,850,500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Research Now Group, LLC and Dynata,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12/20/24</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4"/>
              </w:rPr>
              <w:t>Business Services</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L+600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14,694,656</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14,601,817</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14,507,887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Riverpoint Medical,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06/20/25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5.50%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1M L+550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3,245,909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3,216,526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3,205,984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Sales Benchmark Index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01/03/25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4"/>
              </w:rPr>
              <w:t>Business Services</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7.75%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L+750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7,632,493</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7,526,205</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7,441,681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Sargent &amp; Greenleaf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12/20/24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Electronics</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L+575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5,232,159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5,180,794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5,232,159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Signature Systems Holding Company</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05/03/24</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8.50%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L+525</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13,500,000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13,396,987</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13,365,000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Solutionreach,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01/17/24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Communications</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1M L+600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11,881,773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11,758,141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11,881,773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STV Group Incorporated</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12/11/26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Transportation</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5.33%</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L+450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12,098,653</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12,002,839</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12,038,160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TAC LifePort Purchaser,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03/01/26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1M L+525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4,967,133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4,891,093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4,965,530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TeleGuam Holdings,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11/20/25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Telecommunications</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L+525</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4,593,270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4,557,883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4,547,337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Teneo Holdings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07/18/25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6.25%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1M L+575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2,996,753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2,883,779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2,980,511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TPC Canada Parent, Inc. and TPC US Parent,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11/24/25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5"/>
              </w:rPr>
              <w:t>Food</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6.25%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L+625</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5,593,148</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5,537,216</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5,425,353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TVC Enterprises,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03/26/26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0"/>
              </w:rPr>
              <w:t>Transportation</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L+550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12,773,152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12,642,764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12,773,152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TWS Acquisition Corporation</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06/16/25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Education</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7.25%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L+450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9,647,753</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9,514,502</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9,647,753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Tyto Athene,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04/03/28</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6.25%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1M L+675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9,950,000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9,853,217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9,950,000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UBEO,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04/03/24</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Printing and Publishing</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L+500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4,710,212</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4,676,033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4,686,661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Vision Purchaser Corporation</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06/10/25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7.75%</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14,248,804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14,055,791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14,035,072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Wildcat Buyerco,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02/27/26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Electronics</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6.00%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7,424,623</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7,360,375</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7,387,500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409,602,447</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405,009,393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405,232,480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b w:val="1"/>
                <w:bCs w:val="1"/>
                <w:color w:val="auto"/>
              </w:rPr>
              <w:t>Cash and Cash Equivalents—18.9%</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11,013,454</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11,013,454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Arial" w:cs="Arial" w:eastAsia="Arial" w:hAnsi="Arial"/>
                <w:sz w:val="11"/>
                <w:szCs w:val="11"/>
                <w:color w:val="auto"/>
              </w:rPr>
              <w:t>US Bank Cash</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26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11,013,454</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11,013,454</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4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Investments and Cash Equivalents—592.7%</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416,022,848</w:t>
            </w:r>
          </w:p>
        </w:tc>
        <w:tc>
          <w:tcPr>
            <w:tcW w:w="1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416,245,935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Liabilities in Excess of Other Assets—(492.7)%</w:t>
            </w: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0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w w:val="98"/>
              </w:rPr>
              <w:t>(348,213,498</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3040" w:type="dxa"/>
            <w:vAlign w:val="bottom"/>
            <w:gridSpan w:val="2"/>
          </w:tcPr>
          <w:p>
            <w:pPr>
              <w:ind w:left="20"/>
              <w:spacing w:after="0"/>
              <w:rPr>
                <w:sz w:val="20"/>
                <w:szCs w:val="20"/>
                <w:color w:val="auto"/>
              </w:rPr>
            </w:pPr>
            <w:r>
              <w:rPr>
                <w:rFonts w:ascii="Arial" w:cs="Arial" w:eastAsia="Arial" w:hAnsi="Arial"/>
                <w:sz w:val="11"/>
                <w:szCs w:val="11"/>
                <w:b w:val="1"/>
                <w:bCs w:val="1"/>
                <w:color w:val="auto"/>
              </w:rPr>
              <w:t>Members' Equity—100.0%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68,032,437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6537325</wp:posOffset>
            </wp:positionH>
            <wp:positionV relativeFrom="paragraph">
              <wp:posOffset>-356235</wp:posOffset>
            </wp:positionV>
            <wp:extent cx="26035"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-356235</wp:posOffset>
            </wp:positionV>
            <wp:extent cx="26035"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946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ind w:left="380" w:right="20" w:hanging="372"/>
        <w:spacing w:after="0" w:line="219" w:lineRule="auto"/>
        <w:tabs>
          <w:tab w:leader="none" w:pos="38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 w:lineRule="exact"/>
        <w:rPr>
          <w:rFonts w:ascii="Arial" w:cs="Arial" w:eastAsia="Arial" w:hAnsi="Arial"/>
          <w:sz w:val="14"/>
          <w:szCs w:val="14"/>
          <w:color w:val="auto"/>
          <w:vertAlign w:val="superscript"/>
        </w:rPr>
      </w:pPr>
    </w:p>
    <w:p>
      <w:pPr>
        <w:ind w:left="380" w:hanging="372"/>
        <w:spacing w:after="0"/>
        <w:tabs>
          <w:tab w:leader="none" w:pos="38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Valued based on PSLF’s accounting policy.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4680" w:type="dxa"/>
            <w:vAlign w:val="bottom"/>
          </w:tcPr>
          <w:p>
            <w:pPr>
              <w:jc w:val="center"/>
              <w:ind w:left="988"/>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7400" w:type="dxa"/>
            <w:vAlign w:val="bottom"/>
            <w:gridSpan w:val="2"/>
          </w:tcPr>
          <w:p>
            <w:pPr>
              <w:ind w:left="460"/>
              <w:spacing w:after="0"/>
              <w:rPr>
                <w:sz w:val="20"/>
                <w:szCs w:val="20"/>
                <w:color w:val="auto"/>
              </w:rPr>
            </w:pPr>
            <w:r>
              <w:rPr>
                <w:rFonts w:ascii="Arial" w:cs="Arial" w:eastAsia="Arial" w:hAnsi="Arial"/>
                <w:sz w:val="14"/>
                <w:szCs w:val="14"/>
                <w:color w:val="auto"/>
              </w:rPr>
              <w:t>Below is the financial information for PSLF:</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4680" w:type="dxa"/>
            <w:vAlign w:val="bottom"/>
          </w:tcPr>
          <w:p>
            <w:pPr>
              <w:jc w:val="center"/>
              <w:ind w:left="948"/>
              <w:spacing w:after="0"/>
              <w:rPr>
                <w:sz w:val="20"/>
                <w:szCs w:val="20"/>
                <w:color w:val="auto"/>
              </w:rPr>
            </w:pPr>
            <w:r>
              <w:rPr>
                <w:rFonts w:ascii="Arial" w:cs="Arial" w:eastAsia="Arial" w:hAnsi="Arial"/>
                <w:sz w:val="14"/>
                <w:szCs w:val="14"/>
                <w:b w:val="1"/>
                <w:bCs w:val="1"/>
                <w:color w:val="auto"/>
                <w:w w:val="90"/>
              </w:rPr>
              <w:t>Statements of Assets and Liabilities</w:t>
            </w:r>
          </w:p>
        </w:tc>
        <w:tc>
          <w:tcPr>
            <w:tcW w:w="200" w:type="dxa"/>
            <w:vAlign w:val="bottom"/>
          </w:tcPr>
          <w:p>
            <w:pPr>
              <w:spacing w:after="0"/>
              <w:rPr>
                <w:sz w:val="18"/>
                <w:szCs w:val="18"/>
                <w:color w:val="auto"/>
              </w:rPr>
            </w:pPr>
          </w:p>
        </w:tc>
        <w:tc>
          <w:tcPr>
            <w:tcW w:w="15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w w:val="98"/>
              </w:rPr>
              <w:t>December 31, 2021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September 30, 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7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0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0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Investments at fair value (cost—$420,806,448 and $405,009,393, respectively)</w:t>
            </w:r>
          </w:p>
        </w:tc>
        <w:tc>
          <w:tcPr>
            <w:tcW w:w="20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421,535,944</w:t>
            </w:r>
          </w:p>
        </w:tc>
        <w:tc>
          <w:tcPr>
            <w:tcW w:w="4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405,232,480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 (cost—$22,154,890 and $11,013,454, respectively)</w:t>
            </w:r>
          </w:p>
        </w:tc>
        <w:tc>
          <w:tcPr>
            <w:tcW w:w="2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22,154,890</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11,013,454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4"/>
                <w:szCs w:val="14"/>
                <w:color w:val="auto"/>
              </w:rPr>
              <w:t>Interest receivable</w:t>
            </w:r>
          </w:p>
        </w:tc>
        <w:tc>
          <w:tcPr>
            <w:tcW w:w="200" w:type="dxa"/>
            <w:vAlign w:val="bottom"/>
            <w:tcBorders>
              <w:bottom w:val="single" w:sz="8" w:color="auto"/>
            </w:tcBorders>
            <w:shd w:val="clear" w:color="auto" w:fill="CCECFF"/>
          </w:tcPr>
          <w:p>
            <w:pPr>
              <w:spacing w:after="0"/>
              <w:rPr>
                <w:sz w:val="15"/>
                <w:szCs w:val="15"/>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1,059,745</w:t>
            </w:r>
          </w:p>
        </w:tc>
        <w:tc>
          <w:tcPr>
            <w:tcW w:w="30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auto"/>
            </w:tcBorders>
            <w:shd w:val="clear" w:color="auto" w:fill="CCECFF"/>
          </w:tcPr>
          <w:p>
            <w:pPr>
              <w:spacing w:after="0"/>
              <w:rPr>
                <w:sz w:val="15"/>
                <w:szCs w:val="15"/>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1,175,230</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00" w:type="dxa"/>
            <w:vAlign w:val="bottom"/>
            <w:gridSpan w:val="2"/>
          </w:tcPr>
          <w:p>
            <w:pPr>
              <w:ind w:left="56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444,750,579</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417,421,164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00" w:type="dxa"/>
            <w:vAlign w:val="bottom"/>
            <w:gridSpan w:val="2"/>
            <w:shd w:val="clear" w:color="auto" w:fill="CCECFF"/>
          </w:tcPr>
          <w:p>
            <w:pPr>
              <w:ind w:left="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CFF"/>
          </w:tcPr>
          <w:p>
            <w:pPr>
              <w:spacing w:after="0"/>
              <w:rPr>
                <w:sz w:val="14"/>
                <w:szCs w:val="14"/>
                <w:color w:val="auto"/>
              </w:rPr>
            </w:pPr>
          </w:p>
        </w:tc>
        <w:tc>
          <w:tcPr>
            <w:tcW w:w="15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5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00" w:type="dxa"/>
            <w:vAlign w:val="bottom"/>
            <w:gridSpan w:val="2"/>
          </w:tcPr>
          <w:p>
            <w:pPr>
              <w:ind w:left="20"/>
              <w:spacing w:after="0"/>
              <w:rPr>
                <w:sz w:val="20"/>
                <w:szCs w:val="20"/>
                <w:color w:val="auto"/>
              </w:rPr>
            </w:pPr>
            <w:r>
              <w:rPr>
                <w:rFonts w:ascii="Arial" w:cs="Arial" w:eastAsia="Arial" w:hAnsi="Arial"/>
                <w:sz w:val="14"/>
                <w:szCs w:val="14"/>
                <w:color w:val="auto"/>
              </w:rPr>
              <w:t>Distribution payable</w:t>
            </w:r>
          </w:p>
        </w:tc>
        <w:tc>
          <w:tcPr>
            <w:tcW w:w="2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3,000,000</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2,800,000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Payable for investments purchased</w:t>
            </w:r>
          </w:p>
        </w:tc>
        <w:tc>
          <w:tcPr>
            <w:tcW w:w="200" w:type="dxa"/>
            <w:vAlign w:val="bottom"/>
            <w:shd w:val="clear" w:color="auto" w:fill="CCECFF"/>
          </w:tcPr>
          <w:p>
            <w:pPr>
              <w:spacing w:after="0"/>
              <w:rPr>
                <w:sz w:val="15"/>
                <w:szCs w:val="15"/>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10,824,110</w:t>
            </w:r>
          </w:p>
        </w:tc>
        <w:tc>
          <w:tcPr>
            <w:tcW w:w="3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12,792,969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gridSpan w:val="2"/>
          </w:tcPr>
          <w:p>
            <w:pPr>
              <w:ind w:left="20"/>
              <w:spacing w:after="0"/>
              <w:rPr>
                <w:sz w:val="20"/>
                <w:szCs w:val="20"/>
                <w:color w:val="auto"/>
              </w:rPr>
            </w:pPr>
            <w:r>
              <w:rPr>
                <w:rFonts w:ascii="Arial" w:cs="Arial" w:eastAsia="Arial" w:hAnsi="Arial"/>
                <w:sz w:val="14"/>
                <w:szCs w:val="14"/>
                <w:color w:val="auto"/>
              </w:rPr>
              <w:t>Credit facility payable</w:t>
            </w:r>
          </w:p>
        </w:tc>
        <w:tc>
          <w:tcPr>
            <w:tcW w:w="2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252,000,000</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224,000,000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Notes payable to members</w:t>
            </w:r>
          </w:p>
        </w:tc>
        <w:tc>
          <w:tcPr>
            <w:tcW w:w="200" w:type="dxa"/>
            <w:vAlign w:val="bottom"/>
            <w:shd w:val="clear" w:color="auto" w:fill="CCECFF"/>
          </w:tcPr>
          <w:p>
            <w:pPr>
              <w:spacing w:after="0"/>
              <w:rPr>
                <w:sz w:val="15"/>
                <w:szCs w:val="15"/>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106,040,612</w:t>
            </w:r>
          </w:p>
        </w:tc>
        <w:tc>
          <w:tcPr>
            <w:tcW w:w="3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106,040,612</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gridSpan w:val="2"/>
          </w:tcPr>
          <w:p>
            <w:pPr>
              <w:ind w:left="20"/>
              <w:spacing w:after="0"/>
              <w:rPr>
                <w:sz w:val="20"/>
                <w:szCs w:val="20"/>
                <w:color w:val="auto"/>
              </w:rPr>
            </w:pPr>
            <w:r>
              <w:rPr>
                <w:rFonts w:ascii="Arial" w:cs="Arial" w:eastAsia="Arial" w:hAnsi="Arial"/>
                <w:sz w:val="14"/>
                <w:szCs w:val="14"/>
                <w:color w:val="auto"/>
              </w:rPr>
              <w:t>Interest payable on credit facility</w:t>
            </w:r>
          </w:p>
        </w:tc>
        <w:tc>
          <w:tcPr>
            <w:tcW w:w="2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1,619,074</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1,499,406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Interest payable on members notes</w:t>
            </w:r>
          </w:p>
        </w:tc>
        <w:tc>
          <w:tcPr>
            <w:tcW w:w="200" w:type="dxa"/>
            <w:vAlign w:val="bottom"/>
            <w:shd w:val="clear" w:color="auto" w:fill="CCECFF"/>
          </w:tcPr>
          <w:p>
            <w:pPr>
              <w:spacing w:after="0"/>
              <w:rPr>
                <w:sz w:val="15"/>
                <w:szCs w:val="15"/>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1,643,629</w:t>
            </w:r>
          </w:p>
        </w:tc>
        <w:tc>
          <w:tcPr>
            <w:tcW w:w="3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1,643,629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0" w:type="dxa"/>
            <w:vAlign w:val="bottom"/>
            <w:gridSpan w:val="2"/>
          </w:tcPr>
          <w:p>
            <w:pPr>
              <w:ind w:left="20"/>
              <w:spacing w:after="0"/>
              <w:rPr>
                <w:sz w:val="20"/>
                <w:szCs w:val="20"/>
                <w:color w:val="auto"/>
              </w:rPr>
            </w:pPr>
            <w:r>
              <w:rPr>
                <w:rFonts w:ascii="Arial" w:cs="Arial" w:eastAsia="Arial" w:hAnsi="Arial"/>
                <w:sz w:val="14"/>
                <w:szCs w:val="14"/>
                <w:color w:val="auto"/>
              </w:rPr>
              <w:t>Accrued other expenses</w:t>
            </w: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864,573</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612,111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00" w:type="dxa"/>
            <w:vAlign w:val="bottom"/>
            <w:tcBorders>
              <w:bottom w:val="single" w:sz="8" w:color="CCECFF"/>
            </w:tcBorders>
            <w:gridSpan w:val="2"/>
            <w:shd w:val="clear" w:color="auto" w:fill="CCECFF"/>
          </w:tcPr>
          <w:p>
            <w:pPr>
              <w:ind w:left="56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auto"/>
            </w:tcBorders>
            <w:shd w:val="clear" w:color="auto" w:fill="CCECFF"/>
          </w:tcPr>
          <w:p>
            <w:pPr>
              <w:spacing w:after="0"/>
              <w:rPr>
                <w:sz w:val="14"/>
                <w:szCs w:val="14"/>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375,991,998</w:t>
            </w:r>
          </w:p>
        </w:tc>
        <w:tc>
          <w:tcPr>
            <w:tcW w:w="30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349,388,727</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00" w:type="dxa"/>
            <w:vAlign w:val="bottom"/>
            <w:gridSpan w:val="2"/>
          </w:tcPr>
          <w:p>
            <w:pPr>
              <w:ind w:left="20"/>
              <w:spacing w:after="0" w:line="169"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9"/>
                <w:szCs w:val="19"/>
                <w:color w:val="auto"/>
                <w:vertAlign w:val="superscript"/>
              </w:rPr>
              <w:t>(1)</w:t>
            </w: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00" w:type="dxa"/>
            <w:vAlign w:val="bottom"/>
            <w:tcBorders>
              <w:bottom w:val="single" w:sz="8" w:color="CCECFF"/>
            </w:tcBorders>
            <w:gridSpan w:val="2"/>
            <w:shd w:val="clear" w:color="auto" w:fill="CCECFF"/>
          </w:tcPr>
          <w:p>
            <w:pPr>
              <w:ind w:left="560"/>
              <w:spacing w:after="0"/>
              <w:rPr>
                <w:sz w:val="20"/>
                <w:szCs w:val="20"/>
                <w:color w:val="auto"/>
              </w:rPr>
            </w:pPr>
            <w:r>
              <w:rPr>
                <w:rFonts w:ascii="Arial" w:cs="Arial" w:eastAsia="Arial" w:hAnsi="Arial"/>
                <w:sz w:val="14"/>
                <w:szCs w:val="14"/>
                <w:b w:val="1"/>
                <w:bCs w:val="1"/>
                <w:color w:val="auto"/>
              </w:rPr>
              <w:t>Members' equity</w:t>
            </w:r>
          </w:p>
        </w:tc>
        <w:tc>
          <w:tcPr>
            <w:tcW w:w="200" w:type="dxa"/>
            <w:vAlign w:val="bottom"/>
            <w:tcBorders>
              <w:bottom w:val="single" w:sz="8" w:color="auto"/>
            </w:tcBorders>
            <w:shd w:val="clear" w:color="auto" w:fill="CCECFF"/>
          </w:tcPr>
          <w:p>
            <w:pPr>
              <w:spacing w:after="0"/>
              <w:rPr>
                <w:sz w:val="14"/>
                <w:szCs w:val="14"/>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68,758,581</w:t>
            </w:r>
          </w:p>
        </w:tc>
        <w:tc>
          <w:tcPr>
            <w:tcW w:w="30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68,032,437</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00" w:type="dxa"/>
            <w:vAlign w:val="bottom"/>
            <w:gridSpan w:val="2"/>
          </w:tcPr>
          <w:p>
            <w:pPr>
              <w:ind w:left="560"/>
              <w:spacing w:after="0"/>
              <w:rPr>
                <w:sz w:val="20"/>
                <w:szCs w:val="20"/>
                <w:color w:val="auto"/>
              </w:rPr>
            </w:pPr>
            <w:r>
              <w:rPr>
                <w:rFonts w:ascii="Arial" w:cs="Arial" w:eastAsia="Arial" w:hAnsi="Arial"/>
                <w:sz w:val="14"/>
                <w:szCs w:val="14"/>
                <w:b w:val="1"/>
                <w:bCs w:val="1"/>
                <w:color w:val="auto"/>
              </w:rPr>
              <w:t>Total liabilities and members' equity</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444,750,579</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417,421,164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720" w:type="dxa"/>
            <w:vAlign w:val="bottom"/>
            <w:tcBorders>
              <w:bottom w:val="single" w:sz="8" w:color="auto"/>
            </w:tcBorders>
          </w:tcPr>
          <w:p>
            <w:pPr>
              <w:spacing w:after="0"/>
              <w:rPr>
                <w:sz w:val="3"/>
                <w:szCs w:val="3"/>
                <w:color w:val="auto"/>
              </w:rPr>
            </w:pPr>
          </w:p>
        </w:tc>
        <w:tc>
          <w:tcPr>
            <w:tcW w:w="4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-1565275</wp:posOffset>
            </wp:positionV>
            <wp:extent cx="6858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-1565275</wp:posOffset>
            </wp:positionV>
            <wp:extent cx="6858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-424815</wp:posOffset>
            </wp:positionV>
            <wp:extent cx="6858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-424815</wp:posOffset>
            </wp:positionV>
            <wp:extent cx="68580"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-184785</wp:posOffset>
            </wp:positionV>
            <wp:extent cx="6858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-184785</wp:posOffset>
            </wp:positionV>
            <wp:extent cx="6858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ind w:left="380" w:hanging="372"/>
        <w:spacing w:after="0"/>
        <w:tabs>
          <w:tab w:leader="none" w:pos="380" w:val="left"/>
        </w:tabs>
        <w:numPr>
          <w:ilvl w:val="0"/>
          <w:numId w:val="18"/>
        </w:numPr>
        <w:rPr>
          <w:rFonts w:ascii="Arial" w:cs="Arial" w:eastAsia="Arial" w:hAnsi="Arial"/>
          <w:sz w:val="14"/>
          <w:szCs w:val="14"/>
          <w:color w:val="auto"/>
          <w:vertAlign w:val="superscript"/>
        </w:rPr>
      </w:pPr>
      <w:r>
        <w:rPr>
          <w:rFonts w:ascii="Arial" w:cs="Arial" w:eastAsia="Arial" w:hAnsi="Arial"/>
          <w:sz w:val="11"/>
          <w:szCs w:val="11"/>
          <w:color w:val="auto"/>
        </w:rPr>
        <w:t>As of December 31, 2021 and September 30, 2021, PSLF did not have any unfunded commitments to fund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00" w:type="dxa"/>
            <w:vAlign w:val="bottom"/>
          </w:tcPr>
          <w:p>
            <w:pPr>
              <w:spacing w:after="0"/>
              <w:rPr>
                <w:sz w:val="15"/>
                <w:szCs w:val="15"/>
                <w:color w:val="auto"/>
              </w:rPr>
            </w:pPr>
          </w:p>
        </w:tc>
        <w:tc>
          <w:tcPr>
            <w:tcW w:w="4280" w:type="dxa"/>
            <w:vAlign w:val="bottom"/>
            <w:gridSpan w:val="2"/>
          </w:tcPr>
          <w:p>
            <w:pPr>
              <w:jc w:val="right"/>
              <w:ind w:right="2068"/>
              <w:spacing w:after="0"/>
              <w:rPr>
                <w:sz w:val="20"/>
                <w:szCs w:val="20"/>
                <w:color w:val="auto"/>
              </w:rPr>
            </w:pPr>
            <w:r>
              <w:rPr>
                <w:rFonts w:ascii="Arial" w:cs="Arial" w:eastAsia="Arial" w:hAnsi="Arial"/>
                <w:sz w:val="14"/>
                <w:szCs w:val="14"/>
                <w:b w:val="1"/>
                <w:bCs w:val="1"/>
                <w:color w:val="auto"/>
              </w:rPr>
              <w:t>Statements of Operations</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42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December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20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Investment income:</w:t>
            </w:r>
          </w:p>
        </w:tc>
        <w:tc>
          <w:tcPr>
            <w:tcW w:w="3200" w:type="dxa"/>
            <w:vAlign w:val="bottom"/>
            <w:shd w:val="clear" w:color="auto" w:fill="CCECFF"/>
          </w:tcPr>
          <w:p>
            <w:pPr>
              <w:spacing w:after="0"/>
              <w:rPr>
                <w:sz w:val="14"/>
                <w:szCs w:val="14"/>
                <w:color w:val="auto"/>
              </w:rPr>
            </w:pPr>
          </w:p>
        </w:tc>
        <w:tc>
          <w:tcPr>
            <w:tcW w:w="1080" w:type="dxa"/>
            <w:vAlign w:val="bottom"/>
            <w:shd w:val="clear" w:color="auto" w:fill="CCECFF"/>
          </w:tcPr>
          <w:p>
            <w:pPr>
              <w:spacing w:after="0"/>
              <w:rPr>
                <w:sz w:val="14"/>
                <w:szCs w:val="14"/>
                <w:color w:val="auto"/>
              </w:rPr>
            </w:pPr>
          </w:p>
        </w:tc>
        <w:tc>
          <w:tcPr>
            <w:tcW w:w="6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4200" w:type="dxa"/>
            <w:vAlign w:val="bottom"/>
          </w:tcPr>
          <w:p>
            <w:pPr>
              <w:ind w:left="200"/>
              <w:spacing w:after="0"/>
              <w:rPr>
                <w:sz w:val="20"/>
                <w:szCs w:val="20"/>
                <w:color w:val="auto"/>
              </w:rPr>
            </w:pPr>
            <w:r>
              <w:rPr>
                <w:rFonts w:ascii="Arial" w:cs="Arial" w:eastAsia="Arial" w:hAnsi="Arial"/>
                <w:sz w:val="14"/>
                <w:szCs w:val="14"/>
                <w:color w:val="auto"/>
              </w:rPr>
              <w:t>Interest</w:t>
            </w:r>
          </w:p>
        </w:tc>
        <w:tc>
          <w:tcPr>
            <w:tcW w:w="4280" w:type="dxa"/>
            <w:vAlign w:val="bottom"/>
            <w:gridSpan w:val="2"/>
          </w:tcPr>
          <w:p>
            <w:pPr>
              <w:jc w:val="right"/>
              <w:ind w:right="9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7,570,459</w:t>
            </w:r>
          </w:p>
        </w:tc>
        <w:tc>
          <w:tcPr>
            <w:tcW w:w="120" w:type="dxa"/>
            <w:vAlign w:val="bottom"/>
          </w:tcPr>
          <w:p>
            <w:pPr>
              <w:spacing w:after="0"/>
              <w:rPr>
                <w:sz w:val="15"/>
                <w:szCs w:val="15"/>
                <w:color w:val="auto"/>
              </w:rPr>
            </w:pPr>
          </w:p>
        </w:tc>
        <w:tc>
          <w:tcPr>
            <w:tcW w:w="120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6,561,996</w:t>
            </w:r>
          </w:p>
        </w:tc>
        <w:tc>
          <w:tcPr>
            <w:tcW w:w="100" w:type="dxa"/>
            <w:vAlign w:val="bottom"/>
          </w:tcPr>
          <w:p>
            <w:pPr>
              <w:spacing w:after="0"/>
              <w:rPr>
                <w:sz w:val="15"/>
                <w:szCs w:val="15"/>
                <w:color w:val="auto"/>
              </w:rPr>
            </w:pPr>
          </w:p>
        </w:tc>
      </w:tr>
      <w:tr>
        <w:trPr>
          <w:trHeight w:val="175"/>
        </w:trPr>
        <w:tc>
          <w:tcPr>
            <w:tcW w:w="42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Other income</w:t>
            </w:r>
          </w:p>
        </w:tc>
        <w:tc>
          <w:tcPr>
            <w:tcW w:w="3200" w:type="dxa"/>
            <w:vAlign w:val="bottom"/>
            <w:tcBorders>
              <w:bottom w:val="single" w:sz="8" w:color="CCECFF"/>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spacing w:after="0"/>
              <w:rPr>
                <w:sz w:val="15"/>
                <w:szCs w:val="15"/>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103,028</w:t>
            </w:r>
          </w:p>
        </w:tc>
        <w:tc>
          <w:tcPr>
            <w:tcW w:w="120" w:type="dxa"/>
            <w:vAlign w:val="bottom"/>
            <w:tcBorders>
              <w:bottom w:val="single" w:sz="8" w:color="CCECFF"/>
            </w:tcBorders>
            <w:shd w:val="clear" w:color="auto" w:fill="CCECFF"/>
          </w:tcPr>
          <w:p>
            <w:pPr>
              <w:spacing w:after="0"/>
              <w:rPr>
                <w:sz w:val="15"/>
                <w:szCs w:val="15"/>
                <w:color w:val="auto"/>
              </w:rPr>
            </w:pPr>
          </w:p>
        </w:tc>
        <w:tc>
          <w:tcPr>
            <w:tcW w:w="1200" w:type="dxa"/>
            <w:vAlign w:val="bottom"/>
            <w:tcBorders>
              <w:bottom w:val="single" w:sz="8" w:color="auto"/>
            </w:tcBorders>
            <w:shd w:val="clear" w:color="auto" w:fill="CCECFF"/>
          </w:tcPr>
          <w:p>
            <w:pPr>
              <w:spacing w:after="0"/>
              <w:rPr>
                <w:sz w:val="15"/>
                <w:szCs w:val="15"/>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436,957</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4200" w:type="dxa"/>
            <w:vAlign w:val="bottom"/>
          </w:tcPr>
          <w:p>
            <w:pPr>
              <w:ind w:left="200"/>
              <w:spacing w:after="0"/>
              <w:rPr>
                <w:sz w:val="20"/>
                <w:szCs w:val="20"/>
                <w:color w:val="auto"/>
              </w:rPr>
            </w:pPr>
            <w:r>
              <w:rPr>
                <w:rFonts w:ascii="Arial" w:cs="Arial" w:eastAsia="Arial" w:hAnsi="Arial"/>
                <w:sz w:val="14"/>
                <w:szCs w:val="14"/>
                <w:b w:val="1"/>
                <w:bCs w:val="1"/>
                <w:color w:val="auto"/>
              </w:rPr>
              <w:t>Total investment income</w:t>
            </w:r>
          </w:p>
        </w:tc>
        <w:tc>
          <w:tcPr>
            <w:tcW w:w="32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7,673,487</w:t>
            </w:r>
          </w:p>
        </w:tc>
        <w:tc>
          <w:tcPr>
            <w:tcW w:w="1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6,998,953</w:t>
            </w:r>
          </w:p>
        </w:tc>
        <w:tc>
          <w:tcPr>
            <w:tcW w:w="100" w:type="dxa"/>
            <w:vAlign w:val="bottom"/>
          </w:tcPr>
          <w:p>
            <w:pPr>
              <w:spacing w:after="0"/>
              <w:rPr>
                <w:sz w:val="14"/>
                <w:szCs w:val="14"/>
                <w:color w:val="auto"/>
              </w:rPr>
            </w:pPr>
          </w:p>
        </w:tc>
      </w:tr>
      <w:tr>
        <w:trPr>
          <w:trHeight w:val="169"/>
        </w:trPr>
        <w:tc>
          <w:tcPr>
            <w:tcW w:w="420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Expenses:</w:t>
            </w:r>
          </w:p>
        </w:tc>
        <w:tc>
          <w:tcPr>
            <w:tcW w:w="3200" w:type="dxa"/>
            <w:vAlign w:val="bottom"/>
            <w:shd w:val="clear" w:color="auto" w:fill="CCECFF"/>
          </w:tcPr>
          <w:p>
            <w:pPr>
              <w:spacing w:after="0"/>
              <w:rPr>
                <w:sz w:val="14"/>
                <w:szCs w:val="14"/>
                <w:color w:val="auto"/>
              </w:rPr>
            </w:pPr>
          </w:p>
        </w:tc>
        <w:tc>
          <w:tcPr>
            <w:tcW w:w="1080" w:type="dxa"/>
            <w:vAlign w:val="bottom"/>
            <w:shd w:val="clear" w:color="auto" w:fill="CCECFF"/>
          </w:tcPr>
          <w:p>
            <w:pPr>
              <w:spacing w:after="0"/>
              <w:rPr>
                <w:sz w:val="14"/>
                <w:szCs w:val="14"/>
                <w:color w:val="auto"/>
              </w:rPr>
            </w:pPr>
          </w:p>
        </w:tc>
        <w:tc>
          <w:tcPr>
            <w:tcW w:w="6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4200" w:type="dxa"/>
            <w:vAlign w:val="bottom"/>
          </w:tcPr>
          <w:p>
            <w:pPr>
              <w:ind w:left="200"/>
              <w:spacing w:after="0"/>
              <w:rPr>
                <w:sz w:val="20"/>
                <w:szCs w:val="20"/>
                <w:color w:val="auto"/>
              </w:rPr>
            </w:pPr>
            <w:r>
              <w:rPr>
                <w:rFonts w:ascii="Arial" w:cs="Arial" w:eastAsia="Arial" w:hAnsi="Arial"/>
                <w:sz w:val="14"/>
                <w:szCs w:val="14"/>
                <w:color w:val="auto"/>
              </w:rPr>
              <w:t>Interest and expenses on credit facility</w:t>
            </w:r>
          </w:p>
        </w:tc>
        <w:tc>
          <w:tcPr>
            <w:tcW w:w="3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1,608,709</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1,754,377</w:t>
            </w:r>
          </w:p>
        </w:tc>
        <w:tc>
          <w:tcPr>
            <w:tcW w:w="100" w:type="dxa"/>
            <w:vAlign w:val="bottom"/>
          </w:tcPr>
          <w:p>
            <w:pPr>
              <w:spacing w:after="0"/>
              <w:rPr>
                <w:sz w:val="15"/>
                <w:szCs w:val="15"/>
                <w:color w:val="auto"/>
              </w:rPr>
            </w:pPr>
          </w:p>
        </w:tc>
      </w:tr>
      <w:tr>
        <w:trPr>
          <w:trHeight w:val="175"/>
        </w:trPr>
        <w:tc>
          <w:tcPr>
            <w:tcW w:w="42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Interest expense on members notes</w:t>
            </w:r>
          </w:p>
        </w:tc>
        <w:tc>
          <w:tcPr>
            <w:tcW w:w="3200" w:type="dxa"/>
            <w:vAlign w:val="bottom"/>
            <w:shd w:val="clear" w:color="auto" w:fill="CCECFF"/>
          </w:tcPr>
          <w:p>
            <w:pPr>
              <w:spacing w:after="0"/>
              <w:rPr>
                <w:sz w:val="15"/>
                <w:szCs w:val="15"/>
                <w:color w:val="auto"/>
              </w:rPr>
            </w:pPr>
          </w:p>
        </w:tc>
        <w:tc>
          <w:tcPr>
            <w:tcW w:w="1080" w:type="dxa"/>
            <w:vAlign w:val="bottom"/>
            <w:shd w:val="clear" w:color="auto" w:fill="CCECFF"/>
          </w:tcPr>
          <w:p>
            <w:pPr>
              <w:spacing w:after="0"/>
              <w:rPr>
                <w:sz w:val="15"/>
                <w:szCs w:val="15"/>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2,438,934</w:t>
            </w:r>
          </w:p>
        </w:tc>
        <w:tc>
          <w:tcPr>
            <w:tcW w:w="120" w:type="dxa"/>
            <w:vAlign w:val="bottom"/>
            <w:shd w:val="clear" w:color="auto" w:fill="CCECFF"/>
          </w:tcPr>
          <w:p>
            <w:pPr>
              <w:spacing w:after="0"/>
              <w:rPr>
                <w:sz w:val="15"/>
                <w:szCs w:val="15"/>
                <w:color w:val="auto"/>
              </w:rPr>
            </w:pPr>
          </w:p>
        </w:tc>
        <w:tc>
          <w:tcPr>
            <w:tcW w:w="120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2,299,879</w:t>
            </w:r>
          </w:p>
        </w:tc>
        <w:tc>
          <w:tcPr>
            <w:tcW w:w="100" w:type="dxa"/>
            <w:vAlign w:val="bottom"/>
            <w:shd w:val="clear" w:color="auto" w:fill="CCECFF"/>
          </w:tcPr>
          <w:p>
            <w:pPr>
              <w:spacing w:after="0"/>
              <w:rPr>
                <w:sz w:val="15"/>
                <w:szCs w:val="15"/>
                <w:color w:val="auto"/>
              </w:rPr>
            </w:pPr>
          </w:p>
        </w:tc>
      </w:tr>
      <w:tr>
        <w:trPr>
          <w:trHeight w:val="175"/>
        </w:trPr>
        <w:tc>
          <w:tcPr>
            <w:tcW w:w="4200" w:type="dxa"/>
            <w:vAlign w:val="bottom"/>
          </w:tcPr>
          <w:p>
            <w:pPr>
              <w:ind w:left="200"/>
              <w:spacing w:after="0"/>
              <w:rPr>
                <w:sz w:val="20"/>
                <w:szCs w:val="20"/>
                <w:color w:val="auto"/>
              </w:rPr>
            </w:pPr>
            <w:r>
              <w:rPr>
                <w:rFonts w:ascii="Arial" w:cs="Arial" w:eastAsia="Arial" w:hAnsi="Arial"/>
                <w:sz w:val="14"/>
                <w:szCs w:val="14"/>
                <w:color w:val="auto"/>
              </w:rPr>
              <w:t>Administrative services expenses</w:t>
            </w:r>
          </w:p>
        </w:tc>
        <w:tc>
          <w:tcPr>
            <w:tcW w:w="3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292,965</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292,965</w:t>
            </w:r>
          </w:p>
        </w:tc>
        <w:tc>
          <w:tcPr>
            <w:tcW w:w="100" w:type="dxa"/>
            <w:vAlign w:val="bottom"/>
          </w:tcPr>
          <w:p>
            <w:pPr>
              <w:spacing w:after="0"/>
              <w:rPr>
                <w:sz w:val="15"/>
                <w:szCs w:val="15"/>
                <w:color w:val="auto"/>
              </w:rPr>
            </w:pPr>
          </w:p>
        </w:tc>
      </w:tr>
      <w:tr>
        <w:trPr>
          <w:trHeight w:val="175"/>
        </w:trPr>
        <w:tc>
          <w:tcPr>
            <w:tcW w:w="42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Other general and administrative expenses</w:t>
            </w:r>
          </w:p>
        </w:tc>
        <w:tc>
          <w:tcPr>
            <w:tcW w:w="3200" w:type="dxa"/>
            <w:vAlign w:val="bottom"/>
            <w:tcBorders>
              <w:bottom w:val="single" w:sz="8" w:color="CCECFF"/>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spacing w:after="0"/>
              <w:rPr>
                <w:sz w:val="15"/>
                <w:szCs w:val="15"/>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111,648</w:t>
            </w:r>
          </w:p>
        </w:tc>
        <w:tc>
          <w:tcPr>
            <w:tcW w:w="120" w:type="dxa"/>
            <w:vAlign w:val="bottom"/>
            <w:tcBorders>
              <w:bottom w:val="single" w:sz="8" w:color="CCECFF"/>
            </w:tcBorders>
            <w:shd w:val="clear" w:color="auto" w:fill="CCECFF"/>
          </w:tcPr>
          <w:p>
            <w:pPr>
              <w:spacing w:after="0"/>
              <w:rPr>
                <w:sz w:val="15"/>
                <w:szCs w:val="15"/>
                <w:color w:val="auto"/>
              </w:rPr>
            </w:pPr>
          </w:p>
        </w:tc>
        <w:tc>
          <w:tcPr>
            <w:tcW w:w="1200" w:type="dxa"/>
            <w:vAlign w:val="bottom"/>
            <w:tcBorders>
              <w:bottom w:val="single" w:sz="8" w:color="auto"/>
            </w:tcBorders>
            <w:shd w:val="clear" w:color="auto" w:fill="CCECFF"/>
          </w:tcPr>
          <w:p>
            <w:pPr>
              <w:spacing w:after="0"/>
              <w:rPr>
                <w:sz w:val="15"/>
                <w:szCs w:val="15"/>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111,648</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4200" w:type="dxa"/>
            <w:vAlign w:val="bottom"/>
          </w:tcPr>
          <w:p>
            <w:pPr>
              <w:ind w:left="200"/>
              <w:spacing w:after="0"/>
              <w:rPr>
                <w:sz w:val="20"/>
                <w:szCs w:val="20"/>
                <w:color w:val="auto"/>
              </w:rPr>
            </w:pPr>
            <w:r>
              <w:rPr>
                <w:rFonts w:ascii="Arial" w:cs="Arial" w:eastAsia="Arial" w:hAnsi="Arial"/>
                <w:sz w:val="14"/>
                <w:szCs w:val="14"/>
                <w:b w:val="1"/>
                <w:bCs w:val="1"/>
                <w:color w:val="auto"/>
              </w:rPr>
              <w:t>Total expenses</w:t>
            </w:r>
          </w:p>
        </w:tc>
        <w:tc>
          <w:tcPr>
            <w:tcW w:w="32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4,452,256</w:t>
            </w:r>
          </w:p>
        </w:tc>
        <w:tc>
          <w:tcPr>
            <w:tcW w:w="1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4,458,869</w:t>
            </w:r>
          </w:p>
        </w:tc>
        <w:tc>
          <w:tcPr>
            <w:tcW w:w="100" w:type="dxa"/>
            <w:vAlign w:val="bottom"/>
          </w:tcPr>
          <w:p>
            <w:pPr>
              <w:spacing w:after="0"/>
              <w:rPr>
                <w:sz w:val="14"/>
                <w:szCs w:val="14"/>
                <w:color w:val="auto"/>
              </w:rPr>
            </w:pPr>
          </w:p>
        </w:tc>
      </w:tr>
      <w:tr>
        <w:trPr>
          <w:trHeight w:val="169"/>
        </w:trPr>
        <w:tc>
          <w:tcPr>
            <w:tcW w:w="42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Net investment income</w:t>
            </w:r>
          </w:p>
        </w:tc>
        <w:tc>
          <w:tcPr>
            <w:tcW w:w="3200" w:type="dxa"/>
            <w:vAlign w:val="bottom"/>
            <w:tcBorders>
              <w:bottom w:val="single" w:sz="8" w:color="CCECFF"/>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spacing w:after="0"/>
              <w:rPr>
                <w:sz w:val="14"/>
                <w:szCs w:val="14"/>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3,221,231</w:t>
            </w:r>
          </w:p>
        </w:tc>
        <w:tc>
          <w:tcPr>
            <w:tcW w:w="120" w:type="dxa"/>
            <w:vAlign w:val="bottom"/>
            <w:tcBorders>
              <w:bottom w:val="single" w:sz="8" w:color="CCECFF"/>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spacing w:after="0"/>
              <w:rPr>
                <w:sz w:val="14"/>
                <w:szCs w:val="14"/>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2,540,084</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Realized and unrealized gain on investments:</w:t>
            </w:r>
          </w:p>
        </w:tc>
        <w:tc>
          <w:tcPr>
            <w:tcW w:w="3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4200" w:type="dxa"/>
            <w:vAlign w:val="bottom"/>
            <w:shd w:val="clear" w:color="auto" w:fill="CCECFF"/>
          </w:tcPr>
          <w:p>
            <w:pPr>
              <w:ind w:left="20"/>
              <w:spacing w:after="0"/>
              <w:rPr>
                <w:sz w:val="20"/>
                <w:szCs w:val="20"/>
                <w:color w:val="auto"/>
              </w:rPr>
            </w:pPr>
            <w:r>
              <w:rPr>
                <w:rFonts w:ascii="Arial" w:cs="Arial" w:eastAsia="Arial" w:hAnsi="Arial"/>
                <w:sz w:val="14"/>
                <w:szCs w:val="14"/>
                <w:color w:val="auto"/>
              </w:rPr>
              <w:t>Net realized (loss) gain on investments</w:t>
            </w:r>
          </w:p>
        </w:tc>
        <w:tc>
          <w:tcPr>
            <w:tcW w:w="3200" w:type="dxa"/>
            <w:vAlign w:val="bottom"/>
            <w:shd w:val="clear" w:color="auto" w:fill="CCECFF"/>
          </w:tcPr>
          <w:p>
            <w:pPr>
              <w:spacing w:after="0"/>
              <w:rPr>
                <w:sz w:val="15"/>
                <w:szCs w:val="15"/>
                <w:color w:val="auto"/>
              </w:rPr>
            </w:pPr>
          </w:p>
        </w:tc>
        <w:tc>
          <w:tcPr>
            <w:tcW w:w="1080" w:type="dxa"/>
            <w:vAlign w:val="bottom"/>
            <w:shd w:val="clear" w:color="auto" w:fill="CCECFF"/>
          </w:tcPr>
          <w:p>
            <w:pPr>
              <w:spacing w:after="0"/>
              <w:rPr>
                <w:sz w:val="15"/>
                <w:szCs w:val="15"/>
                <w:color w:val="auto"/>
              </w:rPr>
            </w:pPr>
          </w:p>
        </w:tc>
        <w:tc>
          <w:tcPr>
            <w:tcW w:w="7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(1,496 )</w:t>
            </w:r>
          </w:p>
        </w:tc>
        <w:tc>
          <w:tcPr>
            <w:tcW w:w="120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464,337</w:t>
            </w:r>
          </w:p>
        </w:tc>
        <w:tc>
          <w:tcPr>
            <w:tcW w:w="100" w:type="dxa"/>
            <w:vAlign w:val="bottom"/>
            <w:shd w:val="clear" w:color="auto" w:fill="CCECFF"/>
          </w:tcPr>
          <w:p>
            <w:pPr>
              <w:spacing w:after="0"/>
              <w:rPr>
                <w:sz w:val="15"/>
                <w:szCs w:val="15"/>
                <w:color w:val="auto"/>
              </w:rPr>
            </w:pPr>
          </w:p>
        </w:tc>
      </w:tr>
      <w:tr>
        <w:trPr>
          <w:trHeight w:val="175"/>
        </w:trPr>
        <w:tc>
          <w:tcPr>
            <w:tcW w:w="4200" w:type="dxa"/>
            <w:vAlign w:val="bottom"/>
          </w:tcPr>
          <w:p>
            <w:pPr>
              <w:ind w:left="20"/>
              <w:spacing w:after="0"/>
              <w:rPr>
                <w:sz w:val="20"/>
                <w:szCs w:val="20"/>
                <w:color w:val="auto"/>
              </w:rPr>
            </w:pPr>
            <w:r>
              <w:rPr>
                <w:rFonts w:ascii="Arial" w:cs="Arial" w:eastAsia="Arial" w:hAnsi="Arial"/>
                <w:sz w:val="14"/>
                <w:szCs w:val="14"/>
                <w:color w:val="auto"/>
              </w:rPr>
              <w:t>Net change in unrealized appreciation on investments</w:t>
            </w:r>
          </w:p>
        </w:tc>
        <w:tc>
          <w:tcPr>
            <w:tcW w:w="32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506,409</w:t>
            </w:r>
          </w:p>
        </w:tc>
        <w:tc>
          <w:tcPr>
            <w:tcW w:w="12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2,710,252</w:t>
            </w:r>
          </w:p>
        </w:tc>
        <w:tc>
          <w:tcPr>
            <w:tcW w:w="100" w:type="dxa"/>
            <w:vAlign w:val="bottom"/>
          </w:tcPr>
          <w:p>
            <w:pPr>
              <w:spacing w:after="0"/>
              <w:rPr>
                <w:sz w:val="15"/>
                <w:szCs w:val="15"/>
                <w:color w:val="auto"/>
              </w:rPr>
            </w:pPr>
          </w:p>
        </w:tc>
      </w:tr>
      <w:tr>
        <w:trPr>
          <w:trHeight w:val="169"/>
        </w:trPr>
        <w:tc>
          <w:tcPr>
            <w:tcW w:w="42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b w:val="1"/>
                <w:bCs w:val="1"/>
                <w:color w:val="auto"/>
              </w:rPr>
              <w:t>Net realized and unrealized gain from investments</w:t>
            </w:r>
          </w:p>
        </w:tc>
        <w:tc>
          <w:tcPr>
            <w:tcW w:w="3200" w:type="dxa"/>
            <w:vAlign w:val="bottom"/>
            <w:tcBorders>
              <w:bottom w:val="single" w:sz="8" w:color="CCECFF"/>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spacing w:after="0"/>
              <w:rPr>
                <w:sz w:val="14"/>
                <w:szCs w:val="14"/>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504,913</w:t>
            </w:r>
          </w:p>
        </w:tc>
        <w:tc>
          <w:tcPr>
            <w:tcW w:w="120" w:type="dxa"/>
            <w:vAlign w:val="bottom"/>
            <w:tcBorders>
              <w:bottom w:val="single" w:sz="8" w:color="CCECFF"/>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spacing w:after="0"/>
              <w:rPr>
                <w:sz w:val="14"/>
                <w:szCs w:val="14"/>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3,174,589</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Net increase in members' equity resulting from operations</w:t>
            </w:r>
          </w:p>
        </w:tc>
        <w:tc>
          <w:tcPr>
            <w:tcW w:w="4280" w:type="dxa"/>
            <w:vAlign w:val="bottom"/>
            <w:gridSpan w:val="2"/>
          </w:tcPr>
          <w:p>
            <w:pPr>
              <w:jc w:val="right"/>
              <w:ind w:right="9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3,726,144</w:t>
            </w:r>
          </w:p>
        </w:tc>
        <w:tc>
          <w:tcPr>
            <w:tcW w:w="120" w:type="dxa"/>
            <w:vAlign w:val="bottom"/>
          </w:tcPr>
          <w:p>
            <w:pPr>
              <w:spacing w:after="0"/>
              <w:rPr>
                <w:sz w:val="14"/>
                <w:szCs w:val="14"/>
                <w:color w:val="auto"/>
              </w:rPr>
            </w:pPr>
          </w:p>
        </w:tc>
        <w:tc>
          <w:tcPr>
            <w:tcW w:w="120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5,714,673</w:t>
            </w:r>
          </w:p>
        </w:tc>
        <w:tc>
          <w:tcPr>
            <w:tcW w:w="100" w:type="dxa"/>
            <w:vAlign w:val="bottom"/>
          </w:tcPr>
          <w:p>
            <w:pPr>
              <w:spacing w:after="0"/>
              <w:rPr>
                <w:sz w:val="14"/>
                <w:szCs w:val="14"/>
                <w:color w:val="auto"/>
              </w:rPr>
            </w:pPr>
          </w:p>
        </w:tc>
      </w:tr>
      <w:tr>
        <w:trPr>
          <w:trHeight w:val="20"/>
        </w:trPr>
        <w:tc>
          <w:tcPr>
            <w:tcW w:w="4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-1530985</wp:posOffset>
            </wp:positionV>
            <wp:extent cx="6858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-1530985</wp:posOffset>
            </wp:positionV>
            <wp:extent cx="6858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-845185</wp:posOffset>
            </wp:positionV>
            <wp:extent cx="6858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-845185</wp:posOffset>
            </wp:positionV>
            <wp:extent cx="6858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-605155</wp:posOffset>
            </wp:positionV>
            <wp:extent cx="6858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-605155</wp:posOffset>
            </wp:positionV>
            <wp:extent cx="6858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-142240</wp:posOffset>
            </wp:positionV>
            <wp:extent cx="6858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17145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3"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4"/>
          <w:szCs w:val="14"/>
          <w:color w:val="auto"/>
          <w:vertAlign w:val="superscript"/>
        </w:rPr>
      </w:pPr>
      <w:r>
        <w:rPr>
          <w:rFonts w:ascii="Arial" w:cs="Arial" w:eastAsia="Arial" w:hAnsi="Arial"/>
          <w:sz w:val="11"/>
          <w:szCs w:val="11"/>
          <w:color w:val="auto"/>
        </w:rPr>
        <w:t>No management or incentive fees are payable by PSLF.</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67" w:lineRule="exact"/>
        <w:rPr>
          <w:sz w:val="20"/>
          <w:szCs w:val="20"/>
          <w:color w:val="auto"/>
        </w:rPr>
      </w:pPr>
    </w:p>
    <w:p>
      <w:pPr>
        <w:ind w:firstLine="449"/>
        <w:spacing w:after="0" w:line="273"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63"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50" w:lineRule="exact"/>
        <w:rPr>
          <w:sz w:val="20"/>
          <w:szCs w:val="20"/>
          <w:color w:val="auto"/>
        </w:rPr>
      </w:pPr>
    </w:p>
    <w:p>
      <w:pPr>
        <w:ind w:left="1720" w:right="700" w:hanging="1133"/>
        <w:spacing w:after="0" w:line="238" w:lineRule="auto"/>
        <w:tabs>
          <w:tab w:leader="none" w:pos="170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9" w:lineRule="exact"/>
        <w:rPr>
          <w:sz w:val="20"/>
          <w:szCs w:val="20"/>
          <w:color w:val="auto"/>
        </w:rPr>
      </w:pPr>
    </w:p>
    <w:p>
      <w:pPr>
        <w:ind w:left="1720" w:right="740" w:hanging="1133"/>
        <w:spacing w:after="0" w:line="253" w:lineRule="auto"/>
        <w:tabs>
          <w:tab w:leader="none" w:pos="170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268" w:lineRule="exact"/>
        <w:rPr>
          <w:sz w:val="20"/>
          <w:szCs w:val="20"/>
          <w:color w:val="auto"/>
        </w:rPr>
      </w:pPr>
    </w:p>
    <w:p>
      <w:pPr>
        <w:ind w:right="220" w:firstLine="449"/>
        <w:spacing w:after="0" w:line="257"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Credit Facilities and our SBA debentures are classified as Level 3. Our 2024 Notes are classified as Level 1 and our 2026 Notes and 2026 Notes-2 are classified as Level 2, as they are financial instruments with readily observable market inputs. Due to the inherent uncertainty of determining the fair value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ind w:left="328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(Unaudited)</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of investments that do not have a readily available market value, the price used in an actual transaction may be different than our valuation and those differences may be material.</w:t>
      </w:r>
    </w:p>
    <w:p>
      <w:pPr>
        <w:spacing w:after="0" w:line="204" w:lineRule="exact"/>
        <w:rPr>
          <w:sz w:val="20"/>
          <w:szCs w:val="20"/>
          <w:color w:val="auto"/>
        </w:rPr>
      </w:pPr>
    </w:p>
    <w:p>
      <w:pPr>
        <w:ind w:right="40" w:firstLine="449"/>
        <w:spacing w:after="0" w:line="249"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37" w:lineRule="exact"/>
        <w:rPr>
          <w:sz w:val="20"/>
          <w:szCs w:val="20"/>
          <w:color w:val="auto"/>
        </w:rPr>
      </w:pPr>
    </w:p>
    <w:p>
      <w:pPr>
        <w:ind w:right="40" w:firstLine="449"/>
        <w:spacing w:after="0" w:line="249" w:lineRule="auto"/>
        <w:rPr>
          <w:sz w:val="20"/>
          <w:szCs w:val="20"/>
          <w:color w:val="auto"/>
        </w:rPr>
      </w:pPr>
      <w:r>
        <w:rPr>
          <w:rFonts w:ascii="Arial" w:cs="Arial" w:eastAsia="Arial" w:hAnsi="Arial"/>
          <w:sz w:val="14"/>
          <w:szCs w:val="14"/>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37" w:lineRule="exact"/>
        <w:rPr>
          <w:sz w:val="20"/>
          <w:szCs w:val="20"/>
          <w:color w:val="auto"/>
        </w:rPr>
      </w:pPr>
    </w:p>
    <w:p>
      <w:pPr>
        <w:ind w:right="260" w:firstLine="449"/>
        <w:spacing w:after="0" w:line="27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93"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In addition to using the above inputs to value cash equivalents, investments, our SBA debentures, our 2024 Notes, our 2026 Notes, our 2026 Notes -2 and our Credit Facilities,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31" w:lineRule="exact"/>
        <w:rPr>
          <w:sz w:val="20"/>
          <w:szCs w:val="20"/>
          <w:color w:val="auto"/>
        </w:rPr>
      </w:pPr>
    </w:p>
    <w:p>
      <w:pPr>
        <w:jc w:val="both"/>
        <w:ind w:right="140" w:firstLine="449"/>
        <w:spacing w:after="0" w:line="273"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within the fair value hierarchy.</w:t>
      </w:r>
    </w:p>
    <w:p>
      <w:pPr>
        <w:spacing w:after="0" w:line="122" w:lineRule="exact"/>
        <w:rPr>
          <w:sz w:val="20"/>
          <w:szCs w:val="20"/>
          <w:color w:val="auto"/>
        </w:rPr>
      </w:pPr>
    </w:p>
    <w:p>
      <w:pPr>
        <w:ind w:right="60" w:firstLine="449"/>
        <w:spacing w:after="0" w:line="244" w:lineRule="auto"/>
        <w:rPr>
          <w:sz w:val="20"/>
          <w:szCs w:val="20"/>
          <w:color w:val="auto"/>
        </w:rPr>
      </w:pPr>
      <w:r>
        <w:rPr>
          <w:rFonts w:ascii="Arial" w:cs="Arial" w:eastAsia="Arial" w:hAnsi="Arial"/>
          <w:sz w:val="14"/>
          <w:szCs w:val="14"/>
          <w:color w:val="auto"/>
        </w:rPr>
        <w:t>The remainder of our investment portfolio and our long-term Credit Facilities are valued using a market comparable or an enterprise market value technique.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 Category</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408"/>
              <w:spacing w:after="0"/>
              <w:rPr>
                <w:sz w:val="20"/>
                <w:szCs w:val="20"/>
                <w:color w:val="auto"/>
              </w:rPr>
            </w:pPr>
            <w:r>
              <w:rPr>
                <w:rFonts w:ascii="Arial" w:cs="Arial" w:eastAsia="Arial" w:hAnsi="Arial"/>
                <w:sz w:val="14"/>
                <w:szCs w:val="14"/>
                <w:b w:val="1"/>
                <w:bCs w:val="1"/>
                <w:color w:val="auto"/>
              </w:rPr>
              <w:t>Fair value at</w:t>
            </w:r>
          </w:p>
        </w:tc>
        <w:tc>
          <w:tcPr>
            <w:tcW w:w="240" w:type="dxa"/>
            <w:vAlign w:val="bottom"/>
          </w:tcPr>
          <w:p>
            <w:pPr>
              <w:spacing w:after="0"/>
              <w:rPr>
                <w:sz w:val="14"/>
                <w:szCs w:val="14"/>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160" w:type="dxa"/>
            <w:vAlign w:val="bottom"/>
          </w:tcPr>
          <w:p>
            <w:pPr>
              <w:spacing w:after="0"/>
              <w:rPr>
                <w:sz w:val="14"/>
                <w:szCs w:val="14"/>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Unobservable Input</w:t>
            </w:r>
          </w:p>
        </w:tc>
        <w:tc>
          <w:tcPr>
            <w:tcW w:w="16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8"/>
              </w:rPr>
              <w:t>December 31, 2021</w:t>
            </w:r>
          </w:p>
        </w:tc>
        <w:tc>
          <w:tcPr>
            <w:tcW w:w="240" w:type="dxa"/>
            <w:vAlign w:val="bottom"/>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8"/>
              </w:rPr>
              <w:t xml:space="preserve">(Weighted Average) </w:t>
            </w:r>
            <w:r>
              <w:rPr>
                <w:rFonts w:ascii="Arial" w:cs="Arial" w:eastAsia="Arial" w:hAnsi="Arial"/>
                <w:sz w:val="19"/>
                <w:szCs w:val="19"/>
                <w:b w:val="1"/>
                <w:bCs w:val="1"/>
                <w:color w:val="auto"/>
                <w:w w:val="88"/>
                <w:vertAlign w:val="superscript"/>
              </w:rPr>
              <w:t>(1)</w:t>
            </w:r>
          </w:p>
        </w:tc>
        <w:tc>
          <w:tcPr>
            <w:tcW w:w="0" w:type="dxa"/>
            <w:vAlign w:val="bottom"/>
          </w:tcPr>
          <w:p>
            <w:pPr>
              <w:spacing w:after="0"/>
              <w:rPr>
                <w:sz w:val="1"/>
                <w:szCs w:val="1"/>
                <w:color w:val="auto"/>
              </w:rPr>
            </w:pPr>
          </w:p>
        </w:tc>
      </w:tr>
      <w:tr>
        <w:trPr>
          <w:trHeight w:val="169"/>
        </w:trPr>
        <w:tc>
          <w:tcPr>
            <w:tcW w:w="2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First lien</w:t>
            </w:r>
          </w:p>
        </w:tc>
        <w:tc>
          <w:tcPr>
            <w:tcW w:w="18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71,644,537</w:t>
            </w:r>
          </w:p>
        </w:tc>
        <w:tc>
          <w:tcPr>
            <w:tcW w:w="240" w:type="dxa"/>
            <w:vAlign w:val="bottom"/>
            <w:shd w:val="clear" w:color="auto" w:fill="CCECFF"/>
          </w:tcPr>
          <w:p>
            <w:pPr>
              <w:spacing w:after="0"/>
              <w:rPr>
                <w:sz w:val="14"/>
                <w:szCs w:val="14"/>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Market Comparable</w:t>
            </w:r>
          </w:p>
        </w:tc>
        <w:tc>
          <w:tcPr>
            <w:tcW w:w="160" w:type="dxa"/>
            <w:vAlign w:val="bottom"/>
            <w:shd w:val="clear" w:color="auto" w:fill="CCECFF"/>
          </w:tcPr>
          <w:p>
            <w:pPr>
              <w:spacing w:after="0"/>
              <w:rPr>
                <w:sz w:val="14"/>
                <w:szCs w:val="14"/>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Broker/Dealer bids or quotes</w:t>
            </w:r>
          </w:p>
        </w:tc>
        <w:tc>
          <w:tcPr>
            <w:tcW w:w="160" w:type="dxa"/>
            <w:vAlign w:val="bottom"/>
            <w:shd w:val="clear" w:color="auto" w:fill="CCECFF"/>
          </w:tcPr>
          <w:p>
            <w:pPr>
              <w:spacing w:after="0"/>
              <w:rPr>
                <w:sz w:val="14"/>
                <w:szCs w:val="14"/>
                <w:color w:val="auto"/>
              </w:rPr>
            </w:pPr>
          </w:p>
        </w:tc>
        <w:tc>
          <w:tcPr>
            <w:tcW w:w="218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4"/>
                <w:szCs w:val="14"/>
                <w:color w:val="auto"/>
              </w:rPr>
              <w:t>First lien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601,076,598</w:t>
            </w:r>
          </w:p>
        </w:tc>
        <w:tc>
          <w:tcPr>
            <w:tcW w:w="24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4"/>
              </w:rPr>
              <w:t>Market Comparable</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8"/>
              </w:rPr>
              <w:t>Market yield</w:t>
            </w:r>
          </w:p>
        </w:tc>
        <w:tc>
          <w:tcPr>
            <w:tcW w:w="2340" w:type="dxa"/>
            <w:vAlign w:val="bottom"/>
            <w:gridSpan w:val="2"/>
          </w:tcPr>
          <w:p>
            <w:pPr>
              <w:jc w:val="center"/>
              <w:ind w:left="88"/>
              <w:spacing w:after="0"/>
              <w:rPr>
                <w:sz w:val="20"/>
                <w:szCs w:val="20"/>
                <w:color w:val="auto"/>
              </w:rPr>
            </w:pPr>
            <w:r>
              <w:rPr>
                <w:rFonts w:ascii="Arial" w:cs="Arial" w:eastAsia="Arial" w:hAnsi="Arial"/>
                <w:sz w:val="14"/>
                <w:szCs w:val="14"/>
                <w:color w:val="auto"/>
                <w:w w:val="94"/>
              </w:rPr>
              <w:t>6.1% - 17.6% (8.4%)</w:t>
            </w:r>
          </w:p>
        </w:tc>
        <w:tc>
          <w:tcPr>
            <w:tcW w:w="0" w:type="dxa"/>
            <w:vAlign w:val="bottom"/>
          </w:tcPr>
          <w:p>
            <w:pPr>
              <w:spacing w:after="0"/>
              <w:rPr>
                <w:sz w:val="1"/>
                <w:szCs w:val="1"/>
                <w:color w:val="auto"/>
              </w:rPr>
            </w:pPr>
          </w:p>
        </w:tc>
      </w:tr>
      <w:tr>
        <w:trPr>
          <w:trHeight w:val="175"/>
        </w:trPr>
        <w:tc>
          <w:tcPr>
            <w:tcW w:w="2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Second lien</w:t>
            </w:r>
          </w:p>
        </w:tc>
        <w:tc>
          <w:tcPr>
            <w:tcW w:w="1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39,090,000</w:t>
            </w: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Market Comparable</w:t>
            </w:r>
          </w:p>
        </w:tc>
        <w:tc>
          <w:tcPr>
            <w:tcW w:w="16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Broker/Dealer bids or quotes</w:t>
            </w:r>
          </w:p>
        </w:tc>
        <w:tc>
          <w:tcPr>
            <w:tcW w:w="160" w:type="dxa"/>
            <w:vAlign w:val="bottom"/>
            <w:shd w:val="clear" w:color="auto" w:fill="CCECFF"/>
          </w:tcPr>
          <w:p>
            <w:pPr>
              <w:spacing w:after="0"/>
              <w:rPr>
                <w:sz w:val="15"/>
                <w:szCs w:val="15"/>
                <w:color w:val="auto"/>
              </w:rPr>
            </w:pPr>
          </w:p>
        </w:tc>
        <w:tc>
          <w:tcPr>
            <w:tcW w:w="218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Arial" w:cs="Arial" w:eastAsia="Arial" w:hAnsi="Arial"/>
                <w:sz w:val="14"/>
                <w:szCs w:val="14"/>
                <w:color w:val="auto"/>
              </w:rPr>
              <w:t>Second lien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163,287,359</w:t>
            </w:r>
          </w:p>
        </w:tc>
        <w:tc>
          <w:tcPr>
            <w:tcW w:w="24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4"/>
              </w:rPr>
              <w:t>Market Comparable</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8"/>
              </w:rPr>
              <w:t>Market yield</w:t>
            </w:r>
          </w:p>
        </w:tc>
        <w:tc>
          <w:tcPr>
            <w:tcW w:w="2340" w:type="dxa"/>
            <w:vAlign w:val="bottom"/>
            <w:gridSpan w:val="2"/>
          </w:tcPr>
          <w:p>
            <w:pPr>
              <w:jc w:val="center"/>
              <w:ind w:left="88"/>
              <w:spacing w:after="0"/>
              <w:rPr>
                <w:sz w:val="20"/>
                <w:szCs w:val="20"/>
                <w:color w:val="auto"/>
              </w:rPr>
            </w:pPr>
            <w:r>
              <w:rPr>
                <w:rFonts w:ascii="Arial" w:cs="Arial" w:eastAsia="Arial" w:hAnsi="Arial"/>
                <w:sz w:val="14"/>
                <w:szCs w:val="14"/>
                <w:color w:val="auto"/>
                <w:w w:val="94"/>
              </w:rPr>
              <w:t>9.6% - 11.4% (10.6%)</w:t>
            </w:r>
          </w:p>
        </w:tc>
        <w:tc>
          <w:tcPr>
            <w:tcW w:w="0" w:type="dxa"/>
            <w:vAlign w:val="bottom"/>
          </w:tcPr>
          <w:p>
            <w:pPr>
              <w:spacing w:after="0"/>
              <w:rPr>
                <w:sz w:val="1"/>
                <w:szCs w:val="1"/>
                <w:color w:val="auto"/>
              </w:rPr>
            </w:pPr>
          </w:p>
        </w:tc>
      </w:tr>
      <w:tr>
        <w:trPr>
          <w:trHeight w:val="175"/>
        </w:trPr>
        <w:tc>
          <w:tcPr>
            <w:tcW w:w="2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Second lien</w:t>
            </w:r>
          </w:p>
        </w:tc>
        <w:tc>
          <w:tcPr>
            <w:tcW w:w="1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11,506,121</w:t>
            </w: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Enterprise Market Value</w:t>
            </w:r>
          </w:p>
        </w:tc>
        <w:tc>
          <w:tcPr>
            <w:tcW w:w="16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EBITDA multiple</w:t>
            </w:r>
          </w:p>
        </w:tc>
        <w:tc>
          <w:tcPr>
            <w:tcW w:w="160" w:type="dxa"/>
            <w:vAlign w:val="bottom"/>
            <w:shd w:val="clear" w:color="auto" w:fill="CCECFF"/>
          </w:tcPr>
          <w:p>
            <w:pPr>
              <w:spacing w:after="0"/>
              <w:rPr>
                <w:sz w:val="15"/>
                <w:szCs w:val="15"/>
                <w:color w:val="auto"/>
              </w:rPr>
            </w:pPr>
          </w:p>
        </w:tc>
        <w:tc>
          <w:tcPr>
            <w:tcW w:w="21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8"/>
              </w:rPr>
              <w:t>5.9x</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4"/>
                <w:szCs w:val="14"/>
                <w:color w:val="auto"/>
              </w:rPr>
              <w:t>Subordinated debt / corporate notes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118,707,495</w:t>
            </w:r>
          </w:p>
        </w:tc>
        <w:tc>
          <w:tcPr>
            <w:tcW w:w="24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4"/>
              </w:rPr>
              <w:t>Market Comparable</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8"/>
              </w:rPr>
              <w:t>Market yield</w:t>
            </w:r>
          </w:p>
        </w:tc>
        <w:tc>
          <w:tcPr>
            <w:tcW w:w="2340" w:type="dxa"/>
            <w:vAlign w:val="bottom"/>
            <w:gridSpan w:val="2"/>
          </w:tcPr>
          <w:p>
            <w:pPr>
              <w:jc w:val="center"/>
              <w:ind w:left="88"/>
              <w:spacing w:after="0"/>
              <w:rPr>
                <w:sz w:val="20"/>
                <w:szCs w:val="20"/>
                <w:color w:val="auto"/>
              </w:rPr>
            </w:pPr>
            <w:r>
              <w:rPr>
                <w:rFonts w:ascii="Arial" w:cs="Arial" w:eastAsia="Arial" w:hAnsi="Arial"/>
                <w:sz w:val="14"/>
                <w:szCs w:val="14"/>
                <w:color w:val="auto"/>
                <w:w w:val="94"/>
              </w:rPr>
              <w:t>9.9% - 21.0% (13.9%)</w:t>
            </w:r>
          </w:p>
        </w:tc>
        <w:tc>
          <w:tcPr>
            <w:tcW w:w="0" w:type="dxa"/>
            <w:vAlign w:val="bottom"/>
          </w:tcPr>
          <w:p>
            <w:pPr>
              <w:spacing w:after="0"/>
              <w:rPr>
                <w:sz w:val="1"/>
                <w:szCs w:val="1"/>
                <w:color w:val="auto"/>
              </w:rPr>
            </w:pPr>
          </w:p>
        </w:tc>
      </w:tr>
      <w:tr>
        <w:trPr>
          <w:trHeight w:val="175"/>
        </w:trPr>
        <w:tc>
          <w:tcPr>
            <w:tcW w:w="2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354,723,751</w:t>
            </w:r>
          </w:p>
        </w:tc>
        <w:tc>
          <w:tcPr>
            <w:tcW w:w="24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Enterprise Market Value</w:t>
            </w:r>
          </w:p>
        </w:tc>
        <w:tc>
          <w:tcPr>
            <w:tcW w:w="16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EBITDA multiple</w:t>
            </w:r>
          </w:p>
        </w:tc>
        <w:tc>
          <w:tcPr>
            <w:tcW w:w="160" w:type="dxa"/>
            <w:vAlign w:val="bottom"/>
            <w:shd w:val="clear" w:color="auto" w:fill="CCECFF"/>
          </w:tcPr>
          <w:p>
            <w:pPr>
              <w:spacing w:after="0"/>
              <w:rPr>
                <w:sz w:val="15"/>
                <w:szCs w:val="15"/>
                <w:color w:val="auto"/>
              </w:rPr>
            </w:pPr>
          </w:p>
        </w:tc>
        <w:tc>
          <w:tcPr>
            <w:tcW w:w="21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3.3x - 26.8x (12.1x)</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4"/>
                <w:szCs w:val="14"/>
                <w:color w:val="auto"/>
              </w:rPr>
              <w:t>Equity</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43,340,545</w:t>
            </w:r>
          </w:p>
        </w:tc>
        <w:tc>
          <w:tcPr>
            <w:tcW w:w="24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3"/>
              </w:rPr>
              <w:t>Enterprise Market Value</w:t>
            </w:r>
          </w:p>
        </w:tc>
        <w:tc>
          <w:tcPr>
            <w:tcW w:w="160" w:type="dxa"/>
            <w:vAlign w:val="bottom"/>
          </w:tcPr>
          <w:p>
            <w:pPr>
              <w:spacing w:after="0"/>
              <w:rPr>
                <w:sz w:val="15"/>
                <w:szCs w:val="15"/>
                <w:color w:val="auto"/>
              </w:rPr>
            </w:pPr>
          </w:p>
        </w:tc>
        <w:tc>
          <w:tcPr>
            <w:tcW w:w="2020" w:type="dxa"/>
            <w:vAlign w:val="bottom"/>
          </w:tcPr>
          <w:p>
            <w:pPr>
              <w:jc w:val="center"/>
              <w:spacing w:after="0" w:line="175" w:lineRule="exact"/>
              <w:rPr>
                <w:sz w:val="20"/>
                <w:szCs w:val="20"/>
                <w:color w:val="auto"/>
              </w:rPr>
            </w:pPr>
            <w:r>
              <w:rPr>
                <w:rFonts w:ascii="Arial" w:cs="Arial" w:eastAsia="Arial" w:hAnsi="Arial"/>
                <w:sz w:val="14"/>
                <w:szCs w:val="14"/>
                <w:color w:val="auto"/>
                <w:w w:val="96"/>
              </w:rPr>
              <w:t>DLOM</w:t>
            </w:r>
            <w:r>
              <w:rPr>
                <w:rFonts w:ascii="Arial" w:cs="Arial" w:eastAsia="Arial" w:hAnsi="Arial"/>
                <w:sz w:val="19"/>
                <w:szCs w:val="19"/>
                <w:color w:val="auto"/>
                <w:w w:val="96"/>
                <w:vertAlign w:val="superscript"/>
              </w:rPr>
              <w:t>(2)</w:t>
            </w:r>
          </w:p>
        </w:tc>
        <w:tc>
          <w:tcPr>
            <w:tcW w:w="2340" w:type="dxa"/>
            <w:vAlign w:val="bottom"/>
            <w:gridSpan w:val="2"/>
          </w:tcPr>
          <w:p>
            <w:pPr>
              <w:jc w:val="center"/>
              <w:ind w:left="88"/>
              <w:spacing w:after="0"/>
              <w:rPr>
                <w:sz w:val="20"/>
                <w:szCs w:val="20"/>
                <w:color w:val="auto"/>
              </w:rPr>
            </w:pPr>
            <w:r>
              <w:rPr>
                <w:rFonts w:ascii="Arial" w:cs="Arial" w:eastAsia="Arial" w:hAnsi="Arial"/>
                <w:sz w:val="14"/>
                <w:szCs w:val="14"/>
                <w:color w:val="auto"/>
                <w:w w:val="95"/>
              </w:rPr>
              <w:t>16.6%</w:t>
            </w:r>
          </w:p>
        </w:tc>
        <w:tc>
          <w:tcPr>
            <w:tcW w:w="0" w:type="dxa"/>
            <w:vAlign w:val="bottom"/>
          </w:tcPr>
          <w:p>
            <w:pPr>
              <w:spacing w:after="0"/>
              <w:rPr>
                <w:sz w:val="1"/>
                <w:szCs w:val="1"/>
                <w:color w:val="auto"/>
              </w:rPr>
            </w:pPr>
          </w:p>
        </w:tc>
      </w:tr>
      <w:tr>
        <w:trPr>
          <w:trHeight w:val="209"/>
        </w:trPr>
        <w:tc>
          <w:tcPr>
            <w:tcW w:w="2580" w:type="dxa"/>
            <w:vAlign w:val="bottom"/>
            <w:tcBorders>
              <w:bottom w:val="single" w:sz="8" w:color="CCECFF"/>
            </w:tcBorders>
            <w:shd w:val="clear" w:color="auto" w:fill="CCECFF"/>
          </w:tcPr>
          <w:p>
            <w:pPr>
              <w:ind w:left="380"/>
              <w:spacing w:after="0"/>
              <w:rPr>
                <w:sz w:val="20"/>
                <w:szCs w:val="20"/>
                <w:color w:val="auto"/>
              </w:rPr>
            </w:pPr>
            <w:r>
              <w:rPr>
                <w:rFonts w:ascii="Arial" w:cs="Arial" w:eastAsia="Arial" w:hAnsi="Arial"/>
                <w:sz w:val="14"/>
                <w:szCs w:val="14"/>
                <w:color w:val="auto"/>
              </w:rPr>
              <w:t>Total Level 3 investments</w:t>
            </w:r>
          </w:p>
        </w:tc>
        <w:tc>
          <w:tcPr>
            <w:tcW w:w="18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bottom w:val="single" w:sz="8" w:color="auto"/>
            </w:tcBorders>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1,403,376,407</w:t>
            </w:r>
          </w:p>
        </w:tc>
        <w:tc>
          <w:tcPr>
            <w:tcW w:w="240" w:type="dxa"/>
            <w:vAlign w:val="bottom"/>
            <w:tcBorders>
              <w:bottom w:val="single" w:sz="8" w:color="CCECFF"/>
            </w:tcBorders>
            <w:shd w:val="clear" w:color="auto" w:fill="CCECFF"/>
          </w:tcPr>
          <w:p>
            <w:pPr>
              <w:spacing w:after="0"/>
              <w:rPr>
                <w:sz w:val="18"/>
                <w:szCs w:val="18"/>
                <w:color w:val="auto"/>
              </w:rPr>
            </w:pPr>
          </w:p>
        </w:tc>
        <w:tc>
          <w:tcPr>
            <w:tcW w:w="202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CCECFF"/>
            </w:tcBorders>
            <w:shd w:val="clear" w:color="auto" w:fill="CCECFF"/>
          </w:tcPr>
          <w:p>
            <w:pPr>
              <w:spacing w:after="0"/>
              <w:rPr>
                <w:sz w:val="18"/>
                <w:szCs w:val="18"/>
                <w:color w:val="auto"/>
              </w:rPr>
            </w:pPr>
          </w:p>
        </w:tc>
        <w:tc>
          <w:tcPr>
            <w:tcW w:w="202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CCECFF"/>
            </w:tcBorders>
            <w:shd w:val="clear" w:color="auto" w:fill="CCECFF"/>
          </w:tcPr>
          <w:p>
            <w:pPr>
              <w:spacing w:after="0"/>
              <w:rPr>
                <w:sz w:val="18"/>
                <w:szCs w:val="18"/>
                <w:color w:val="auto"/>
              </w:rPr>
            </w:pPr>
          </w:p>
        </w:tc>
        <w:tc>
          <w:tcPr>
            <w:tcW w:w="218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80" w:type="dxa"/>
            <w:vAlign w:val="bottom"/>
          </w:tcPr>
          <w:p>
            <w:pPr>
              <w:ind w:left="20"/>
              <w:spacing w:after="0" w:line="155" w:lineRule="exact"/>
              <w:rPr>
                <w:sz w:val="20"/>
                <w:szCs w:val="20"/>
                <w:color w:val="auto"/>
              </w:rPr>
            </w:pPr>
            <w:r>
              <w:rPr>
                <w:rFonts w:ascii="Arial" w:cs="Arial" w:eastAsia="Arial" w:hAnsi="Arial"/>
                <w:sz w:val="14"/>
                <w:szCs w:val="14"/>
                <w:color w:val="auto"/>
              </w:rPr>
              <w:t>Truist Credit Facility</w:t>
            </w:r>
          </w:p>
        </w:tc>
        <w:tc>
          <w:tcPr>
            <w:tcW w:w="360" w:type="dxa"/>
            <w:vAlign w:val="bottom"/>
            <w:gridSpan w:val="2"/>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520" w:type="dxa"/>
            <w:vAlign w:val="bottom"/>
          </w:tcPr>
          <w:p>
            <w:pPr>
              <w:jc w:val="right"/>
              <w:spacing w:after="0" w:line="155" w:lineRule="exact"/>
              <w:rPr>
                <w:sz w:val="20"/>
                <w:szCs w:val="20"/>
                <w:color w:val="auto"/>
              </w:rPr>
            </w:pPr>
            <w:r>
              <w:rPr>
                <w:rFonts w:ascii="Arial" w:cs="Arial" w:eastAsia="Arial" w:hAnsi="Arial"/>
                <w:sz w:val="14"/>
                <w:szCs w:val="14"/>
                <w:color w:val="auto"/>
              </w:rPr>
              <w:t>444,487,950</w:t>
            </w:r>
          </w:p>
        </w:tc>
        <w:tc>
          <w:tcPr>
            <w:tcW w:w="240" w:type="dxa"/>
            <w:vAlign w:val="bottom"/>
          </w:tcPr>
          <w:p>
            <w:pPr>
              <w:spacing w:after="0"/>
              <w:rPr>
                <w:sz w:val="13"/>
                <w:szCs w:val="13"/>
                <w:color w:val="auto"/>
              </w:rPr>
            </w:pPr>
          </w:p>
        </w:tc>
        <w:tc>
          <w:tcPr>
            <w:tcW w:w="2020" w:type="dxa"/>
            <w:vAlign w:val="bottom"/>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Pr>
          <w:p>
            <w:pPr>
              <w:spacing w:after="0"/>
              <w:rPr>
                <w:sz w:val="13"/>
                <w:szCs w:val="13"/>
                <w:color w:val="auto"/>
              </w:rPr>
            </w:pPr>
          </w:p>
        </w:tc>
        <w:tc>
          <w:tcPr>
            <w:tcW w:w="2020" w:type="dxa"/>
            <w:vAlign w:val="bottom"/>
          </w:tcPr>
          <w:p>
            <w:pPr>
              <w:jc w:val="center"/>
              <w:spacing w:after="0" w:line="155" w:lineRule="exact"/>
              <w:rPr>
                <w:sz w:val="20"/>
                <w:szCs w:val="20"/>
                <w:color w:val="auto"/>
              </w:rPr>
            </w:pPr>
            <w:r>
              <w:rPr>
                <w:rFonts w:ascii="Arial" w:cs="Arial" w:eastAsia="Arial" w:hAnsi="Arial"/>
                <w:sz w:val="14"/>
                <w:szCs w:val="14"/>
                <w:color w:val="auto"/>
                <w:w w:val="98"/>
              </w:rPr>
              <w:t>Market yield</w:t>
            </w:r>
          </w:p>
        </w:tc>
        <w:tc>
          <w:tcPr>
            <w:tcW w:w="2340" w:type="dxa"/>
            <w:vAlign w:val="bottom"/>
            <w:gridSpan w:val="2"/>
          </w:tcPr>
          <w:p>
            <w:pPr>
              <w:jc w:val="center"/>
              <w:ind w:left="88"/>
              <w:spacing w:after="0" w:line="155" w:lineRule="exact"/>
              <w:rPr>
                <w:sz w:val="20"/>
                <w:szCs w:val="20"/>
                <w:color w:val="auto"/>
              </w:rPr>
            </w:pPr>
            <w:r>
              <w:rPr>
                <w:rFonts w:ascii="Arial" w:cs="Arial" w:eastAsia="Arial" w:hAnsi="Arial"/>
                <w:sz w:val="14"/>
                <w:szCs w:val="14"/>
                <w:color w:val="auto"/>
                <w:w w:val="93"/>
              </w:rPr>
              <w:t>2.3%</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-161925</wp:posOffset>
            </wp:positionV>
            <wp:extent cx="342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-144780</wp:posOffset>
            </wp:positionV>
            <wp:extent cx="342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7145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59" w:lineRule="exact"/>
        <w:rPr>
          <w:sz w:val="20"/>
          <w:szCs w:val="20"/>
          <w:color w:val="auto"/>
        </w:rPr>
      </w:pPr>
    </w:p>
    <w:p>
      <w:pPr>
        <w:ind w:left="760" w:hanging="378"/>
        <w:spacing w:after="0"/>
        <w:tabs>
          <w:tab w:leader="none" w:pos="7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The weighted averages disclosed in the table above were weighted by their relative fair value.</w:t>
      </w:r>
    </w:p>
    <w:p>
      <w:pPr>
        <w:spacing w:after="0" w:line="22" w:lineRule="exact"/>
        <w:rPr>
          <w:rFonts w:ascii="Arial" w:cs="Arial" w:eastAsia="Arial" w:hAnsi="Arial"/>
          <w:sz w:val="11"/>
          <w:szCs w:val="11"/>
          <w:color w:val="auto"/>
        </w:rPr>
      </w:pPr>
    </w:p>
    <w:p>
      <w:pPr>
        <w:ind w:left="760" w:hanging="378"/>
        <w:spacing w:after="0"/>
        <w:tabs>
          <w:tab w:leader="none" w:pos="7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DLOM is defined as discount for lack of marketability.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Pr>
          <w:p>
            <w:pPr>
              <w:ind w:left="50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6"/>
        </w:trPr>
        <w:tc>
          <w:tcPr>
            <w:tcW w:w="2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ind w:right="428"/>
              <w:spacing w:after="0"/>
              <w:rPr>
                <w:sz w:val="20"/>
                <w:szCs w:val="20"/>
                <w:color w:val="auto"/>
              </w:rPr>
            </w:pPr>
            <w:r>
              <w:rPr>
                <w:rFonts w:ascii="Arial" w:cs="Arial" w:eastAsia="Arial" w:hAnsi="Arial"/>
                <w:sz w:val="14"/>
                <w:szCs w:val="14"/>
                <w:b w:val="1"/>
                <w:bCs w:val="1"/>
                <w:color w:val="auto"/>
              </w:rPr>
              <w:t>Fair value at</w:t>
            </w:r>
          </w:p>
        </w:tc>
        <w:tc>
          <w:tcPr>
            <w:tcW w:w="220" w:type="dxa"/>
            <w:vAlign w:val="bottom"/>
          </w:tcPr>
          <w:p>
            <w:pPr>
              <w:spacing w:after="0"/>
              <w:rPr>
                <w:sz w:val="24"/>
                <w:szCs w:val="24"/>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160" w:type="dxa"/>
            <w:vAlign w:val="bottom"/>
          </w:tcPr>
          <w:p>
            <w:pPr>
              <w:spacing w:after="0"/>
              <w:rPr>
                <w:sz w:val="24"/>
                <w:szCs w:val="2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Unobservable Input</w:t>
            </w:r>
          </w:p>
        </w:tc>
        <w:tc>
          <w:tcPr>
            <w:tcW w:w="160" w:type="dxa"/>
            <w:vAlign w:val="bottom"/>
          </w:tcPr>
          <w:p>
            <w:pPr>
              <w:spacing w:after="0"/>
              <w:rPr>
                <w:sz w:val="24"/>
                <w:szCs w:val="24"/>
                <w:color w:val="auto"/>
              </w:rPr>
            </w:pPr>
          </w:p>
        </w:tc>
        <w:tc>
          <w:tcPr>
            <w:tcW w:w="1580" w:type="dxa"/>
            <w:vAlign w:val="bottom"/>
          </w:tcPr>
          <w:p>
            <w:pPr>
              <w:jc w:val="center"/>
              <w:ind w:left="408"/>
              <w:spacing w:after="0"/>
              <w:rPr>
                <w:sz w:val="20"/>
                <w:szCs w:val="20"/>
                <w:color w:val="auto"/>
              </w:rPr>
            </w:pPr>
            <w:r>
              <w:rPr>
                <w:rFonts w:ascii="Arial" w:cs="Arial" w:eastAsia="Arial" w:hAnsi="Arial"/>
                <w:sz w:val="14"/>
                <w:szCs w:val="14"/>
                <w:b w:val="1"/>
                <w:bCs w:val="1"/>
                <w:color w:val="auto"/>
                <w:w w:val="95"/>
              </w:rPr>
              <w:t>Range of Input</w:t>
            </w:r>
          </w:p>
        </w:tc>
        <w:tc>
          <w:tcPr>
            <w:tcW w:w="480" w:type="dxa"/>
            <w:vAlign w:val="bottom"/>
            <w:vMerge w:val="restart"/>
          </w:tcPr>
          <w:p>
            <w:pPr>
              <w:jc w:val="right"/>
              <w:ind w:right="312"/>
              <w:spacing w:after="0"/>
              <w:rPr>
                <w:sz w:val="20"/>
                <w:szCs w:val="20"/>
                <w:color w:val="auto"/>
              </w:rPr>
            </w:pPr>
            <w:r>
              <w:rPr>
                <w:rFonts w:ascii="Arial" w:cs="Arial" w:eastAsia="Arial" w:hAnsi="Arial"/>
                <w:sz w:val="10"/>
                <w:szCs w:val="10"/>
                <w:b w:val="1"/>
                <w:bCs w:val="1"/>
                <w:color w:val="auto"/>
                <w:w w:val="81"/>
              </w:rPr>
              <w:t>(1)</w:t>
            </w:r>
          </w:p>
        </w:tc>
        <w:tc>
          <w:tcPr>
            <w:tcW w:w="0" w:type="dxa"/>
            <w:vAlign w:val="bottom"/>
          </w:tcPr>
          <w:p>
            <w:pPr>
              <w:spacing w:after="0"/>
              <w:rPr>
                <w:sz w:val="1"/>
                <w:szCs w:val="1"/>
                <w:color w:val="auto"/>
              </w:rPr>
            </w:pPr>
          </w:p>
        </w:tc>
      </w:tr>
      <w:tr>
        <w:trPr>
          <w:trHeight w:val="185"/>
        </w:trPr>
        <w:tc>
          <w:tcPr>
            <w:tcW w:w="25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7"/>
              </w:rPr>
              <w:t>September 30, 2021</w:t>
            </w:r>
          </w:p>
        </w:tc>
        <w:tc>
          <w:tcPr>
            <w:tcW w:w="220" w:type="dxa"/>
            <w:vAlign w:val="bottom"/>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w w:val="92"/>
              </w:rPr>
              <w:t>(Weighted Average)</w:t>
            </w:r>
          </w:p>
        </w:tc>
        <w:tc>
          <w:tcPr>
            <w:tcW w:w="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First lien</w:t>
            </w:r>
          </w:p>
        </w:tc>
        <w:tc>
          <w:tcPr>
            <w:tcW w:w="1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90,266,035</w:t>
            </w:r>
          </w:p>
        </w:tc>
        <w:tc>
          <w:tcPr>
            <w:tcW w:w="220" w:type="dxa"/>
            <w:vAlign w:val="bottom"/>
            <w:shd w:val="clear" w:color="auto" w:fill="CCECFF"/>
          </w:tcPr>
          <w:p>
            <w:pPr>
              <w:spacing w:after="0"/>
              <w:rPr>
                <w:sz w:val="14"/>
                <w:szCs w:val="14"/>
                <w:color w:val="auto"/>
              </w:rPr>
            </w:pPr>
          </w:p>
        </w:tc>
        <w:tc>
          <w:tcPr>
            <w:tcW w:w="206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2"/>
              </w:rPr>
              <w:t>Market Comparable</w:t>
            </w:r>
          </w:p>
        </w:tc>
        <w:tc>
          <w:tcPr>
            <w:tcW w:w="160" w:type="dxa"/>
            <w:vAlign w:val="bottom"/>
            <w:shd w:val="clear" w:color="auto" w:fill="CCECFF"/>
          </w:tcPr>
          <w:p>
            <w:pPr>
              <w:spacing w:after="0"/>
              <w:rPr>
                <w:sz w:val="14"/>
                <w:szCs w:val="14"/>
                <w:color w:val="auto"/>
              </w:rPr>
            </w:pPr>
          </w:p>
        </w:tc>
        <w:tc>
          <w:tcPr>
            <w:tcW w:w="20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Broker/Dealer bids or quotes</w:t>
            </w:r>
          </w:p>
        </w:tc>
        <w:tc>
          <w:tcPr>
            <w:tcW w:w="160" w:type="dxa"/>
            <w:vAlign w:val="bottom"/>
            <w:shd w:val="clear" w:color="auto" w:fill="CCECFF"/>
          </w:tcPr>
          <w:p>
            <w:pPr>
              <w:spacing w:after="0"/>
              <w:rPr>
                <w:sz w:val="14"/>
                <w:szCs w:val="14"/>
                <w:color w:val="auto"/>
              </w:rPr>
            </w:pPr>
          </w:p>
        </w:tc>
        <w:tc>
          <w:tcPr>
            <w:tcW w:w="1580" w:type="dxa"/>
            <w:vAlign w:val="bottom"/>
            <w:shd w:val="clear" w:color="auto" w:fill="CCECFF"/>
          </w:tcPr>
          <w:p>
            <w:pPr>
              <w:jc w:val="center"/>
              <w:ind w:left="408"/>
              <w:spacing w:after="0"/>
              <w:rPr>
                <w:sz w:val="20"/>
                <w:szCs w:val="20"/>
                <w:color w:val="auto"/>
              </w:rPr>
            </w:pPr>
            <w:r>
              <w:rPr>
                <w:rFonts w:ascii="Arial" w:cs="Arial" w:eastAsia="Arial" w:hAnsi="Arial"/>
                <w:sz w:val="14"/>
                <w:szCs w:val="14"/>
                <w:color w:val="auto"/>
              </w:rPr>
              <w:t>N/A</w:t>
            </w:r>
          </w:p>
        </w:tc>
        <w:tc>
          <w:tcPr>
            <w:tcW w:w="4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4"/>
                <w:szCs w:val="14"/>
                <w:color w:val="auto"/>
              </w:rPr>
              <w:t>First lien</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462,264,033</w:t>
            </w:r>
          </w:p>
        </w:tc>
        <w:tc>
          <w:tcPr>
            <w:tcW w:w="2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w w:val="92"/>
              </w:rPr>
              <w:t>Market Comparable</w:t>
            </w: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5"/>
              </w:rPr>
              <w:t>Market yield</w:t>
            </w:r>
          </w:p>
        </w:tc>
        <w:tc>
          <w:tcPr>
            <w:tcW w:w="160" w:type="dxa"/>
            <w:vAlign w:val="bottom"/>
          </w:tcPr>
          <w:p>
            <w:pPr>
              <w:spacing w:after="0"/>
              <w:rPr>
                <w:sz w:val="15"/>
                <w:szCs w:val="15"/>
                <w:color w:val="auto"/>
              </w:rPr>
            </w:pPr>
          </w:p>
        </w:tc>
        <w:tc>
          <w:tcPr>
            <w:tcW w:w="2060" w:type="dxa"/>
            <w:vAlign w:val="bottom"/>
            <w:gridSpan w:val="2"/>
          </w:tcPr>
          <w:p>
            <w:pPr>
              <w:jc w:val="center"/>
              <w:spacing w:after="0"/>
              <w:rPr>
                <w:sz w:val="20"/>
                <w:szCs w:val="20"/>
                <w:color w:val="auto"/>
              </w:rPr>
            </w:pPr>
            <w:r>
              <w:rPr>
                <w:rFonts w:ascii="Arial" w:cs="Arial" w:eastAsia="Arial" w:hAnsi="Arial"/>
                <w:sz w:val="14"/>
                <w:szCs w:val="14"/>
                <w:color w:val="auto"/>
                <w:w w:val="95"/>
              </w:rPr>
              <w:t>6.1% – 13.1% (8.1%)</w:t>
            </w:r>
          </w:p>
        </w:tc>
        <w:tc>
          <w:tcPr>
            <w:tcW w:w="0" w:type="dxa"/>
            <w:vAlign w:val="bottom"/>
          </w:tcPr>
          <w:p>
            <w:pPr>
              <w:spacing w:after="0"/>
              <w:rPr>
                <w:sz w:val="1"/>
                <w:szCs w:val="1"/>
                <w:color w:val="auto"/>
              </w:rPr>
            </w:pPr>
          </w:p>
        </w:tc>
      </w:tr>
      <w:tr>
        <w:trPr>
          <w:trHeight w:val="176"/>
        </w:trPr>
        <w:tc>
          <w:tcPr>
            <w:tcW w:w="2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Second lien</w:t>
            </w:r>
          </w:p>
        </w:tc>
        <w:tc>
          <w:tcPr>
            <w:tcW w:w="12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39,297,500</w:t>
            </w:r>
          </w:p>
        </w:tc>
        <w:tc>
          <w:tcPr>
            <w:tcW w:w="220" w:type="dxa"/>
            <w:vAlign w:val="bottom"/>
            <w:shd w:val="clear" w:color="auto" w:fill="CCECFF"/>
          </w:tcPr>
          <w:p>
            <w:pPr>
              <w:spacing w:after="0"/>
              <w:rPr>
                <w:sz w:val="15"/>
                <w:szCs w:val="15"/>
                <w:color w:val="auto"/>
              </w:rPr>
            </w:pPr>
          </w:p>
        </w:tc>
        <w:tc>
          <w:tcPr>
            <w:tcW w:w="206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2"/>
              </w:rPr>
              <w:t>Market Comparable</w:t>
            </w:r>
          </w:p>
        </w:tc>
        <w:tc>
          <w:tcPr>
            <w:tcW w:w="160" w:type="dxa"/>
            <w:vAlign w:val="bottom"/>
            <w:shd w:val="clear" w:color="auto" w:fill="CCECFF"/>
          </w:tcPr>
          <w:p>
            <w:pPr>
              <w:spacing w:after="0"/>
              <w:rPr>
                <w:sz w:val="15"/>
                <w:szCs w:val="15"/>
                <w:color w:val="auto"/>
              </w:rPr>
            </w:pPr>
          </w:p>
        </w:tc>
        <w:tc>
          <w:tcPr>
            <w:tcW w:w="20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Broker/Dealer bids or quotes</w:t>
            </w:r>
          </w:p>
        </w:tc>
        <w:tc>
          <w:tcPr>
            <w:tcW w:w="160" w:type="dxa"/>
            <w:vAlign w:val="bottom"/>
            <w:shd w:val="clear" w:color="auto" w:fill="CCECFF"/>
          </w:tcPr>
          <w:p>
            <w:pPr>
              <w:spacing w:after="0"/>
              <w:rPr>
                <w:sz w:val="15"/>
                <w:szCs w:val="15"/>
                <w:color w:val="auto"/>
              </w:rPr>
            </w:pPr>
          </w:p>
        </w:tc>
        <w:tc>
          <w:tcPr>
            <w:tcW w:w="1580" w:type="dxa"/>
            <w:vAlign w:val="bottom"/>
            <w:shd w:val="clear" w:color="auto" w:fill="CCECFF"/>
          </w:tcPr>
          <w:p>
            <w:pPr>
              <w:jc w:val="center"/>
              <w:ind w:left="408"/>
              <w:spacing w:after="0"/>
              <w:rPr>
                <w:sz w:val="20"/>
                <w:szCs w:val="20"/>
                <w:color w:val="auto"/>
              </w:rPr>
            </w:pPr>
            <w:r>
              <w:rPr>
                <w:rFonts w:ascii="Arial" w:cs="Arial" w:eastAsia="Arial" w:hAnsi="Arial"/>
                <w:sz w:val="14"/>
                <w:szCs w:val="14"/>
                <w:color w:val="auto"/>
              </w:rPr>
              <w:t>N/A</w:t>
            </w:r>
          </w:p>
        </w:tc>
        <w:tc>
          <w:tcPr>
            <w:tcW w:w="4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Arial" w:cs="Arial" w:eastAsia="Arial" w:hAnsi="Arial"/>
                <w:sz w:val="14"/>
                <w:szCs w:val="14"/>
                <w:color w:val="auto"/>
              </w:rPr>
              <w:t>Second lien</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126,509,070</w:t>
            </w:r>
          </w:p>
        </w:tc>
        <w:tc>
          <w:tcPr>
            <w:tcW w:w="2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w w:val="92"/>
              </w:rPr>
              <w:t>Market Comparable</w:t>
            </w: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5"/>
              </w:rPr>
              <w:t>Market yield</w:t>
            </w:r>
          </w:p>
        </w:tc>
        <w:tc>
          <w:tcPr>
            <w:tcW w:w="160" w:type="dxa"/>
            <w:vAlign w:val="bottom"/>
          </w:tcPr>
          <w:p>
            <w:pPr>
              <w:spacing w:after="0"/>
              <w:rPr>
                <w:sz w:val="15"/>
                <w:szCs w:val="15"/>
                <w:color w:val="auto"/>
              </w:rPr>
            </w:pPr>
          </w:p>
        </w:tc>
        <w:tc>
          <w:tcPr>
            <w:tcW w:w="2060" w:type="dxa"/>
            <w:vAlign w:val="bottom"/>
            <w:gridSpan w:val="2"/>
          </w:tcPr>
          <w:p>
            <w:pPr>
              <w:jc w:val="center"/>
              <w:spacing w:after="0"/>
              <w:rPr>
                <w:sz w:val="20"/>
                <w:szCs w:val="20"/>
                <w:color w:val="auto"/>
              </w:rPr>
            </w:pPr>
            <w:r>
              <w:rPr>
                <w:rFonts w:ascii="Arial" w:cs="Arial" w:eastAsia="Arial" w:hAnsi="Arial"/>
                <w:sz w:val="14"/>
                <w:szCs w:val="14"/>
                <w:color w:val="auto"/>
                <w:w w:val="93"/>
              </w:rPr>
              <w:t>10.3% – 11.5% (10.7%)</w:t>
            </w:r>
          </w:p>
        </w:tc>
        <w:tc>
          <w:tcPr>
            <w:tcW w:w="0" w:type="dxa"/>
            <w:vAlign w:val="bottom"/>
          </w:tcPr>
          <w:p>
            <w:pPr>
              <w:spacing w:after="0"/>
              <w:rPr>
                <w:sz w:val="1"/>
                <w:szCs w:val="1"/>
                <w:color w:val="auto"/>
              </w:rPr>
            </w:pPr>
          </w:p>
        </w:tc>
      </w:tr>
      <w:tr>
        <w:trPr>
          <w:trHeight w:val="175"/>
        </w:trPr>
        <w:tc>
          <w:tcPr>
            <w:tcW w:w="2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Second lien</w:t>
            </w:r>
          </w:p>
        </w:tc>
        <w:tc>
          <w:tcPr>
            <w:tcW w:w="12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11,086,944</w:t>
            </w:r>
          </w:p>
        </w:tc>
        <w:tc>
          <w:tcPr>
            <w:tcW w:w="220" w:type="dxa"/>
            <w:vAlign w:val="bottom"/>
            <w:shd w:val="clear" w:color="auto" w:fill="CCECFF"/>
          </w:tcPr>
          <w:p>
            <w:pPr>
              <w:spacing w:after="0"/>
              <w:rPr>
                <w:sz w:val="15"/>
                <w:szCs w:val="15"/>
                <w:color w:val="auto"/>
              </w:rPr>
            </w:pPr>
          </w:p>
        </w:tc>
        <w:tc>
          <w:tcPr>
            <w:tcW w:w="206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Enterprise Market Value</w:t>
            </w:r>
          </w:p>
        </w:tc>
        <w:tc>
          <w:tcPr>
            <w:tcW w:w="160" w:type="dxa"/>
            <w:vAlign w:val="bottom"/>
            <w:shd w:val="clear" w:color="auto" w:fill="CCECFF"/>
          </w:tcPr>
          <w:p>
            <w:pPr>
              <w:spacing w:after="0"/>
              <w:rPr>
                <w:sz w:val="15"/>
                <w:szCs w:val="15"/>
                <w:color w:val="auto"/>
              </w:rPr>
            </w:pPr>
          </w:p>
        </w:tc>
        <w:tc>
          <w:tcPr>
            <w:tcW w:w="208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EBITDA multiple</w:t>
            </w:r>
          </w:p>
        </w:tc>
        <w:tc>
          <w:tcPr>
            <w:tcW w:w="160" w:type="dxa"/>
            <w:vAlign w:val="bottom"/>
            <w:shd w:val="clear" w:color="auto" w:fill="CCECFF"/>
          </w:tcPr>
          <w:p>
            <w:pPr>
              <w:spacing w:after="0"/>
              <w:rPr>
                <w:sz w:val="15"/>
                <w:szCs w:val="15"/>
                <w:color w:val="auto"/>
              </w:rPr>
            </w:pPr>
          </w:p>
        </w:tc>
        <w:tc>
          <w:tcPr>
            <w:tcW w:w="1580" w:type="dxa"/>
            <w:vAlign w:val="bottom"/>
            <w:shd w:val="clear" w:color="auto" w:fill="CCECFF"/>
          </w:tcPr>
          <w:p>
            <w:pPr>
              <w:jc w:val="center"/>
              <w:ind w:left="408"/>
              <w:spacing w:after="0"/>
              <w:rPr>
                <w:sz w:val="20"/>
                <w:szCs w:val="20"/>
                <w:color w:val="auto"/>
              </w:rPr>
            </w:pPr>
            <w:r>
              <w:rPr>
                <w:rFonts w:ascii="Arial" w:cs="Arial" w:eastAsia="Arial" w:hAnsi="Arial"/>
                <w:sz w:val="14"/>
                <w:szCs w:val="14"/>
                <w:color w:val="auto"/>
                <w:w w:val="98"/>
              </w:rPr>
              <w:t>5.4x</w:t>
            </w:r>
          </w:p>
        </w:tc>
        <w:tc>
          <w:tcPr>
            <w:tcW w:w="4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Arial" w:cs="Arial" w:eastAsia="Arial" w:hAnsi="Arial"/>
                <w:sz w:val="14"/>
                <w:szCs w:val="14"/>
                <w:color w:val="auto"/>
              </w:rPr>
              <w:t>Subordinated debt / corporate notes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121,169,566</w:t>
            </w:r>
          </w:p>
        </w:tc>
        <w:tc>
          <w:tcPr>
            <w:tcW w:w="2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w w:val="92"/>
              </w:rPr>
              <w:t>Market Comparable</w:t>
            </w:r>
          </w:p>
        </w:tc>
        <w:tc>
          <w:tcPr>
            <w:tcW w:w="1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w w:val="95"/>
              </w:rPr>
              <w:t>Market yield</w:t>
            </w:r>
          </w:p>
        </w:tc>
        <w:tc>
          <w:tcPr>
            <w:tcW w:w="160" w:type="dxa"/>
            <w:vAlign w:val="bottom"/>
          </w:tcPr>
          <w:p>
            <w:pPr>
              <w:spacing w:after="0"/>
              <w:rPr>
                <w:sz w:val="15"/>
                <w:szCs w:val="15"/>
                <w:color w:val="auto"/>
              </w:rPr>
            </w:pPr>
          </w:p>
        </w:tc>
        <w:tc>
          <w:tcPr>
            <w:tcW w:w="2060" w:type="dxa"/>
            <w:vAlign w:val="bottom"/>
            <w:gridSpan w:val="2"/>
          </w:tcPr>
          <w:p>
            <w:pPr>
              <w:jc w:val="center"/>
              <w:spacing w:after="0"/>
              <w:rPr>
                <w:sz w:val="20"/>
                <w:szCs w:val="20"/>
                <w:color w:val="auto"/>
              </w:rPr>
            </w:pPr>
            <w:r>
              <w:rPr>
                <w:rFonts w:ascii="Arial" w:cs="Arial" w:eastAsia="Arial" w:hAnsi="Arial"/>
                <w:sz w:val="14"/>
                <w:szCs w:val="14"/>
                <w:color w:val="auto"/>
                <w:w w:val="94"/>
              </w:rPr>
              <w:t>9.6% – 17.1% (12.5%)</w:t>
            </w:r>
          </w:p>
        </w:tc>
        <w:tc>
          <w:tcPr>
            <w:tcW w:w="0" w:type="dxa"/>
            <w:vAlign w:val="bottom"/>
          </w:tcPr>
          <w:p>
            <w:pPr>
              <w:spacing w:after="0"/>
              <w:rPr>
                <w:sz w:val="1"/>
                <w:szCs w:val="1"/>
                <w:color w:val="auto"/>
              </w:rPr>
            </w:pPr>
          </w:p>
        </w:tc>
      </w:tr>
      <w:tr>
        <w:trPr>
          <w:trHeight w:val="175"/>
        </w:trPr>
        <w:tc>
          <w:tcPr>
            <w:tcW w:w="2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Equity</w:t>
            </w:r>
          </w:p>
        </w:tc>
        <w:tc>
          <w:tcPr>
            <w:tcW w:w="12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278,486,160</w:t>
            </w:r>
          </w:p>
        </w:tc>
        <w:tc>
          <w:tcPr>
            <w:tcW w:w="220" w:type="dxa"/>
            <w:vAlign w:val="bottom"/>
            <w:shd w:val="clear" w:color="auto" w:fill="CCECFF"/>
          </w:tcPr>
          <w:p>
            <w:pPr>
              <w:spacing w:after="0"/>
              <w:rPr>
                <w:sz w:val="15"/>
                <w:szCs w:val="15"/>
                <w:color w:val="auto"/>
              </w:rPr>
            </w:pPr>
          </w:p>
        </w:tc>
        <w:tc>
          <w:tcPr>
            <w:tcW w:w="206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Enterprise Market Value</w:t>
            </w:r>
          </w:p>
        </w:tc>
        <w:tc>
          <w:tcPr>
            <w:tcW w:w="160" w:type="dxa"/>
            <w:vAlign w:val="bottom"/>
            <w:shd w:val="clear" w:color="auto" w:fill="CCECFF"/>
          </w:tcPr>
          <w:p>
            <w:pPr>
              <w:spacing w:after="0"/>
              <w:rPr>
                <w:sz w:val="15"/>
                <w:szCs w:val="15"/>
                <w:color w:val="auto"/>
              </w:rPr>
            </w:pPr>
          </w:p>
        </w:tc>
        <w:tc>
          <w:tcPr>
            <w:tcW w:w="208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EBITDA multiple</w:t>
            </w:r>
          </w:p>
        </w:tc>
        <w:tc>
          <w:tcPr>
            <w:tcW w:w="160" w:type="dxa"/>
            <w:vAlign w:val="bottom"/>
            <w:shd w:val="clear" w:color="auto" w:fill="CCECFF"/>
          </w:tcPr>
          <w:p>
            <w:pPr>
              <w:spacing w:after="0"/>
              <w:rPr>
                <w:sz w:val="15"/>
                <w:szCs w:val="15"/>
                <w:color w:val="auto"/>
              </w:rPr>
            </w:pPr>
          </w:p>
        </w:tc>
        <w:tc>
          <w:tcPr>
            <w:tcW w:w="1580" w:type="dxa"/>
            <w:vAlign w:val="bottom"/>
            <w:shd w:val="clear" w:color="auto" w:fill="CCECFF"/>
          </w:tcPr>
          <w:p>
            <w:pPr>
              <w:jc w:val="center"/>
              <w:ind w:left="408"/>
              <w:spacing w:after="0"/>
              <w:rPr>
                <w:sz w:val="20"/>
                <w:szCs w:val="20"/>
                <w:color w:val="auto"/>
              </w:rPr>
            </w:pPr>
            <w:r>
              <w:rPr>
                <w:rFonts w:ascii="Arial" w:cs="Arial" w:eastAsia="Arial" w:hAnsi="Arial"/>
                <w:sz w:val="14"/>
                <w:szCs w:val="14"/>
                <w:color w:val="auto"/>
                <w:w w:val="94"/>
              </w:rPr>
              <w:t>2.6x – 18.5x (8.5x)</w:t>
            </w:r>
          </w:p>
        </w:tc>
        <w:tc>
          <w:tcPr>
            <w:tcW w:w="4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Arial" w:cs="Arial" w:eastAsia="Arial" w:hAnsi="Arial"/>
                <w:sz w:val="14"/>
                <w:szCs w:val="14"/>
                <w:color w:val="auto"/>
              </w:rPr>
              <w:t>Equity</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60,807,873</w:t>
            </w:r>
          </w:p>
        </w:tc>
        <w:tc>
          <w:tcPr>
            <w:tcW w:w="2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w w:val="94"/>
              </w:rPr>
              <w:t>Enterprise Market Value</w:t>
            </w:r>
          </w:p>
        </w:tc>
        <w:tc>
          <w:tcPr>
            <w:tcW w:w="160" w:type="dxa"/>
            <w:vAlign w:val="bottom"/>
          </w:tcPr>
          <w:p>
            <w:pPr>
              <w:spacing w:after="0"/>
              <w:rPr>
                <w:sz w:val="15"/>
                <w:szCs w:val="15"/>
                <w:color w:val="auto"/>
              </w:rPr>
            </w:pPr>
          </w:p>
        </w:tc>
        <w:tc>
          <w:tcPr>
            <w:tcW w:w="2080" w:type="dxa"/>
            <w:vAlign w:val="bottom"/>
          </w:tcPr>
          <w:p>
            <w:pPr>
              <w:jc w:val="center"/>
              <w:spacing w:after="0" w:line="175" w:lineRule="exact"/>
              <w:rPr>
                <w:sz w:val="20"/>
                <w:szCs w:val="20"/>
                <w:color w:val="auto"/>
              </w:rPr>
            </w:pPr>
            <w:r>
              <w:rPr>
                <w:rFonts w:ascii="Arial" w:cs="Arial" w:eastAsia="Arial" w:hAnsi="Arial"/>
                <w:sz w:val="14"/>
                <w:szCs w:val="14"/>
                <w:color w:val="auto"/>
                <w:w w:val="92"/>
              </w:rPr>
              <w:t>DLOM</w:t>
            </w:r>
            <w:r>
              <w:rPr>
                <w:rFonts w:ascii="Arial" w:cs="Arial" w:eastAsia="Arial" w:hAnsi="Arial"/>
                <w:sz w:val="19"/>
                <w:szCs w:val="19"/>
                <w:color w:val="auto"/>
                <w:w w:val="92"/>
                <w:vertAlign w:val="superscript"/>
              </w:rPr>
              <w:t>(2)</w:t>
            </w:r>
          </w:p>
        </w:tc>
        <w:tc>
          <w:tcPr>
            <w:tcW w:w="1740" w:type="dxa"/>
            <w:vAlign w:val="bottom"/>
            <w:gridSpan w:val="2"/>
          </w:tcPr>
          <w:p>
            <w:pPr>
              <w:jc w:val="center"/>
              <w:ind w:left="568"/>
              <w:spacing w:after="0"/>
              <w:rPr>
                <w:sz w:val="20"/>
                <w:szCs w:val="20"/>
                <w:color w:val="auto"/>
              </w:rPr>
            </w:pPr>
            <w:r>
              <w:rPr>
                <w:rFonts w:ascii="Arial" w:cs="Arial" w:eastAsia="Arial" w:hAnsi="Arial"/>
                <w:sz w:val="14"/>
                <w:szCs w:val="14"/>
                <w:color w:val="auto"/>
                <w:w w:val="93"/>
              </w:rPr>
              <w:t>9.3%</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Equity</w:t>
            </w:r>
          </w:p>
        </w:tc>
        <w:tc>
          <w:tcPr>
            <w:tcW w:w="120" w:type="dxa"/>
            <w:vAlign w:val="bottom"/>
            <w:tcBorders>
              <w:bottom w:val="single" w:sz="8" w:color="CCECFF"/>
            </w:tcBorders>
            <w:shd w:val="clear" w:color="auto" w:fill="CCECFF"/>
          </w:tcPr>
          <w:p>
            <w:pPr>
              <w:spacing w:after="0"/>
              <w:rPr>
                <w:sz w:val="15"/>
                <w:szCs w:val="15"/>
                <w:color w:val="auto"/>
              </w:rPr>
            </w:pPr>
          </w:p>
        </w:tc>
        <w:tc>
          <w:tcPr>
            <w:tcW w:w="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auto"/>
            </w:tcBorders>
            <w:shd w:val="clear" w:color="auto" w:fill="CCECFF"/>
          </w:tcPr>
          <w:p>
            <w:pPr>
              <w:spacing w:after="0"/>
              <w:rPr>
                <w:sz w:val="15"/>
                <w:szCs w:val="15"/>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21,133,488</w:t>
            </w:r>
          </w:p>
        </w:tc>
        <w:tc>
          <w:tcPr>
            <w:tcW w:w="220" w:type="dxa"/>
            <w:vAlign w:val="bottom"/>
            <w:tcBorders>
              <w:bottom w:val="single" w:sz="8" w:color="CCECFF"/>
            </w:tcBorders>
            <w:shd w:val="clear" w:color="auto" w:fill="CCECFF"/>
          </w:tcPr>
          <w:p>
            <w:pPr>
              <w:spacing w:after="0"/>
              <w:rPr>
                <w:sz w:val="15"/>
                <w:szCs w:val="15"/>
                <w:color w:val="auto"/>
              </w:rPr>
            </w:pPr>
          </w:p>
        </w:tc>
        <w:tc>
          <w:tcPr>
            <w:tcW w:w="206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4"/>
                <w:szCs w:val="14"/>
                <w:color w:val="auto"/>
                <w:w w:val="92"/>
              </w:rPr>
              <w:t>Market Comparable</w:t>
            </w:r>
          </w:p>
        </w:tc>
        <w:tc>
          <w:tcPr>
            <w:tcW w:w="160" w:type="dxa"/>
            <w:vAlign w:val="bottom"/>
            <w:tcBorders>
              <w:bottom w:val="single" w:sz="8" w:color="CCECFF"/>
            </w:tcBorders>
            <w:shd w:val="clear" w:color="auto" w:fill="CCECFF"/>
          </w:tcPr>
          <w:p>
            <w:pPr>
              <w:spacing w:after="0"/>
              <w:rPr>
                <w:sz w:val="15"/>
                <w:szCs w:val="15"/>
                <w:color w:val="auto"/>
              </w:rPr>
            </w:pPr>
          </w:p>
        </w:tc>
        <w:tc>
          <w:tcPr>
            <w:tcW w:w="208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4"/>
                <w:szCs w:val="14"/>
                <w:color w:val="auto"/>
                <w:w w:val="95"/>
              </w:rPr>
              <w:t>Market yield</w:t>
            </w:r>
          </w:p>
        </w:tc>
        <w:tc>
          <w:tcPr>
            <w:tcW w:w="1740" w:type="dxa"/>
            <w:vAlign w:val="bottom"/>
            <w:tcBorders>
              <w:bottom w:val="single" w:sz="8" w:color="CCECFF"/>
            </w:tcBorders>
            <w:gridSpan w:val="2"/>
            <w:shd w:val="clear" w:color="auto" w:fill="CCECFF"/>
          </w:tcPr>
          <w:p>
            <w:pPr>
              <w:jc w:val="center"/>
              <w:ind w:left="568"/>
              <w:spacing w:after="0"/>
              <w:rPr>
                <w:sz w:val="20"/>
                <w:szCs w:val="20"/>
                <w:color w:val="auto"/>
              </w:rPr>
            </w:pPr>
            <w:r>
              <w:rPr>
                <w:rFonts w:ascii="Arial" w:cs="Arial" w:eastAsia="Arial" w:hAnsi="Arial"/>
                <w:sz w:val="14"/>
                <w:szCs w:val="14"/>
                <w:color w:val="auto"/>
                <w:w w:val="95"/>
              </w:rPr>
              <w:t>20.4%</w:t>
            </w:r>
          </w:p>
        </w:tc>
        <w:tc>
          <w:tcPr>
            <w:tcW w:w="48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80" w:type="dxa"/>
            <w:vAlign w:val="bottom"/>
          </w:tcPr>
          <w:p>
            <w:pPr>
              <w:ind w:left="200"/>
              <w:spacing w:after="0"/>
              <w:rPr>
                <w:sz w:val="20"/>
                <w:szCs w:val="20"/>
                <w:color w:val="auto"/>
              </w:rPr>
            </w:pPr>
            <w:r>
              <w:rPr>
                <w:rFonts w:ascii="Arial" w:cs="Arial" w:eastAsia="Arial" w:hAnsi="Arial"/>
                <w:sz w:val="14"/>
                <w:szCs w:val="14"/>
                <w:color w:val="auto"/>
              </w:rPr>
              <w:t>Total Level 3 investments</w:t>
            </w:r>
          </w:p>
        </w:tc>
        <w:tc>
          <w:tcPr>
            <w:tcW w:w="180" w:type="dxa"/>
            <w:vAlign w:val="bottom"/>
            <w:gridSpan w:val="2"/>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1,211,020,669</w:t>
            </w: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CFF"/>
            </w:tcBorders>
            <w:shd w:val="clear" w:color="auto" w:fill="CCECFF"/>
          </w:tcPr>
          <w:p>
            <w:pPr>
              <w:ind w:left="20"/>
              <w:spacing w:after="0" w:line="155" w:lineRule="exact"/>
              <w:rPr>
                <w:sz w:val="20"/>
                <w:szCs w:val="20"/>
                <w:color w:val="auto"/>
              </w:rPr>
            </w:pPr>
            <w:r>
              <w:rPr>
                <w:rFonts w:ascii="Arial" w:cs="Arial" w:eastAsia="Arial" w:hAnsi="Arial"/>
                <w:sz w:val="14"/>
                <w:szCs w:val="14"/>
                <w:color w:val="auto"/>
              </w:rPr>
              <w:t>Truist Credit Facility</w:t>
            </w:r>
          </w:p>
        </w:tc>
        <w:tc>
          <w:tcPr>
            <w:tcW w:w="120" w:type="dxa"/>
            <w:vAlign w:val="bottom"/>
            <w:tcBorders>
              <w:bottom w:val="single" w:sz="8" w:color="CCECFF"/>
            </w:tcBorders>
            <w:shd w:val="clear" w:color="auto" w:fill="CCECFF"/>
          </w:tcPr>
          <w:p>
            <w:pPr>
              <w:spacing w:after="0"/>
              <w:rPr>
                <w:sz w:val="17"/>
                <w:szCs w:val="17"/>
                <w:color w:val="auto"/>
              </w:rPr>
            </w:pPr>
          </w:p>
        </w:tc>
        <w:tc>
          <w:tcPr>
            <w:tcW w:w="60" w:type="dxa"/>
            <w:vAlign w:val="bottom"/>
            <w:tcBorders>
              <w:bottom w:val="single" w:sz="8" w:color="CCECFF"/>
            </w:tcBorders>
            <w:shd w:val="clear" w:color="auto" w:fill="CCECFF"/>
          </w:tcPr>
          <w:p>
            <w:pPr>
              <w:spacing w:after="0"/>
              <w:rPr>
                <w:sz w:val="17"/>
                <w:szCs w:val="17"/>
                <w:color w:val="auto"/>
              </w:rPr>
            </w:pPr>
          </w:p>
        </w:tc>
        <w:tc>
          <w:tcPr>
            <w:tcW w:w="180" w:type="dxa"/>
            <w:vAlign w:val="bottom"/>
            <w:tcBorders>
              <w:top w:val="single" w:sz="8" w:color="auto"/>
              <w:bottom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314,813,145</w:t>
            </w:r>
          </w:p>
        </w:tc>
        <w:tc>
          <w:tcPr>
            <w:tcW w:w="220" w:type="dxa"/>
            <w:vAlign w:val="bottom"/>
            <w:tcBorders>
              <w:bottom w:val="single" w:sz="8" w:color="CCECFF"/>
            </w:tcBorders>
            <w:shd w:val="clear" w:color="auto" w:fill="CCECFF"/>
          </w:tcPr>
          <w:p>
            <w:pPr>
              <w:spacing w:after="0"/>
              <w:rPr>
                <w:sz w:val="17"/>
                <w:szCs w:val="17"/>
                <w:color w:val="auto"/>
              </w:rPr>
            </w:pPr>
          </w:p>
        </w:tc>
        <w:tc>
          <w:tcPr>
            <w:tcW w:w="2060" w:type="dxa"/>
            <w:vAlign w:val="bottom"/>
            <w:tcBorders>
              <w:bottom w:val="single" w:sz="8" w:color="CCECFF"/>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Market Comparable</w:t>
            </w:r>
          </w:p>
        </w:tc>
        <w:tc>
          <w:tcPr>
            <w:tcW w:w="160" w:type="dxa"/>
            <w:vAlign w:val="bottom"/>
            <w:tcBorders>
              <w:bottom w:val="single" w:sz="8" w:color="CCECFF"/>
            </w:tcBorders>
            <w:shd w:val="clear" w:color="auto" w:fill="CCECFF"/>
          </w:tcPr>
          <w:p>
            <w:pPr>
              <w:spacing w:after="0"/>
              <w:rPr>
                <w:sz w:val="17"/>
                <w:szCs w:val="17"/>
                <w:color w:val="auto"/>
              </w:rPr>
            </w:pPr>
          </w:p>
        </w:tc>
        <w:tc>
          <w:tcPr>
            <w:tcW w:w="2080" w:type="dxa"/>
            <w:vAlign w:val="bottom"/>
            <w:tcBorders>
              <w:bottom w:val="single" w:sz="8" w:color="CCECFF"/>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5"/>
              </w:rPr>
              <w:t>Market yield</w:t>
            </w:r>
          </w:p>
        </w:tc>
        <w:tc>
          <w:tcPr>
            <w:tcW w:w="1740" w:type="dxa"/>
            <w:vAlign w:val="bottom"/>
            <w:tcBorders>
              <w:bottom w:val="single" w:sz="8" w:color="CCECFF"/>
            </w:tcBorders>
            <w:gridSpan w:val="2"/>
            <w:shd w:val="clear" w:color="auto" w:fill="CCECFF"/>
          </w:tcPr>
          <w:p>
            <w:pPr>
              <w:jc w:val="center"/>
              <w:ind w:left="568"/>
              <w:spacing w:after="0" w:line="155" w:lineRule="exact"/>
              <w:rPr>
                <w:sz w:val="20"/>
                <w:szCs w:val="20"/>
                <w:color w:val="auto"/>
              </w:rPr>
            </w:pPr>
            <w:r>
              <w:rPr>
                <w:rFonts w:ascii="Arial" w:cs="Arial" w:eastAsia="Arial" w:hAnsi="Arial"/>
                <w:sz w:val="14"/>
                <w:szCs w:val="14"/>
                <w:color w:val="auto"/>
                <w:w w:val="93"/>
              </w:rPr>
              <w:t>2.4%</w:t>
            </w:r>
          </w:p>
        </w:tc>
        <w:tc>
          <w:tcPr>
            <w:tcW w:w="4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2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-373380</wp:posOffset>
            </wp:positionV>
            <wp:extent cx="34290"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-119380</wp:posOffset>
            </wp:positionV>
            <wp:extent cx="342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-102235</wp:posOffset>
            </wp:positionV>
            <wp:extent cx="342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8"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weighted averages disclosed in the table above were weighted by their relative fair value.</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Our investments, cash and cash equivalents, Truist Credit Facility, SBA debentures, 2024 Notes, 2026 Notes and 2026 Notes-2 were categorized as follows in the fair value hierarchy: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80" w:type="dxa"/>
            <w:vAlign w:val="bottom"/>
            <w:gridSpan w:val="6"/>
          </w:tcPr>
          <w:p>
            <w:pPr>
              <w:jc w:val="right"/>
              <w:ind w:right="108"/>
              <w:spacing w:after="0"/>
              <w:rPr>
                <w:sz w:val="20"/>
                <w:szCs w:val="20"/>
                <w:color w:val="auto"/>
              </w:rPr>
            </w:pPr>
            <w:r>
              <w:rPr>
                <w:rFonts w:ascii="Arial" w:cs="Arial" w:eastAsia="Arial" w:hAnsi="Arial"/>
                <w:sz w:val="14"/>
                <w:szCs w:val="14"/>
                <w:b w:val="1"/>
                <w:bCs w:val="1"/>
                <w:color w:val="auto"/>
              </w:rPr>
              <w:t>Fair Value at December 31, 2021</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Measured at Net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6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8"/>
              <w:spacing w:after="0" w:line="189" w:lineRule="exact"/>
              <w:rPr>
                <w:sz w:val="20"/>
                <w:szCs w:val="20"/>
                <w:color w:val="auto"/>
              </w:rPr>
            </w:pPr>
            <w:r>
              <w:rPr>
                <w:rFonts w:ascii="Arial" w:cs="Arial" w:eastAsia="Arial" w:hAnsi="Arial"/>
                <w:sz w:val="14"/>
                <w:szCs w:val="14"/>
                <w:b w:val="1"/>
                <w:bCs w:val="1"/>
                <w:color w:val="auto"/>
                <w:w w:val="97"/>
              </w:rPr>
              <w:t xml:space="preserve">Asset Value </w:t>
            </w:r>
            <w:r>
              <w:rPr>
                <w:rFonts w:ascii="Arial" w:cs="Arial" w:eastAsia="Arial" w:hAnsi="Arial"/>
                <w:sz w:val="19"/>
                <w:szCs w:val="19"/>
                <w:b w:val="1"/>
                <w:bCs w:val="1"/>
                <w:color w:val="auto"/>
                <w:w w:val="97"/>
                <w:vertAlign w:val="superscript"/>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CECFF"/>
          </w:tcPr>
          <w:p>
            <w:pPr>
              <w:ind w:left="20"/>
              <w:spacing w:after="0"/>
              <w:rPr>
                <w:sz w:val="20"/>
                <w:szCs w:val="20"/>
                <w:color w:val="auto"/>
              </w:rPr>
            </w:pPr>
            <w:r>
              <w:rPr>
                <w:rFonts w:ascii="Arial" w:cs="Arial" w:eastAsia="Arial" w:hAnsi="Arial"/>
                <w:sz w:val="14"/>
                <w:szCs w:val="14"/>
                <w:color w:val="auto"/>
              </w:rPr>
              <w:t>Debt investments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1,005,312,110</w:t>
            </w:r>
          </w:p>
        </w:tc>
        <w:tc>
          <w:tcPr>
            <w:tcW w:w="20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1,005,312,110</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Arial" w:cs="Arial" w:eastAsia="Arial" w:hAnsi="Arial"/>
                <w:sz w:val="14"/>
                <w:szCs w:val="14"/>
                <w:color w:val="auto"/>
              </w:rPr>
              <w:t>Equity investments</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440,077,632</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414,394</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398,064,296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41,598,942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CECFF"/>
          </w:tcPr>
          <w:p>
            <w:pPr>
              <w:ind w:left="380"/>
              <w:spacing w:after="0"/>
              <w:rPr>
                <w:sz w:val="20"/>
                <w:szCs w:val="20"/>
                <w:color w:val="auto"/>
              </w:rPr>
            </w:pPr>
            <w:r>
              <w:rPr>
                <w:rFonts w:ascii="Arial" w:cs="Arial" w:eastAsia="Arial" w:hAnsi="Arial"/>
                <w:sz w:val="14"/>
                <w:szCs w:val="14"/>
                <w:color w:val="auto"/>
              </w:rPr>
              <w:t>Total investments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1,445,389,742</w:t>
            </w:r>
          </w:p>
        </w:tc>
        <w:tc>
          <w:tcPr>
            <w:tcW w:w="2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414,394</w:t>
            </w:r>
          </w:p>
        </w:tc>
        <w:tc>
          <w:tcPr>
            <w:tcW w:w="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1,403,376,407</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41,598,942</w:t>
            </w: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39,581,423</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39,581,423</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60" w:type="dxa"/>
            <w:vAlign w:val="bottom"/>
            <w:tcBorders>
              <w:bottom w:val="single" w:sz="8" w:color="CCECFF"/>
            </w:tcBorders>
            <w:shd w:val="clear" w:color="auto" w:fill="CCECFF"/>
          </w:tcPr>
          <w:p>
            <w:pPr>
              <w:ind w:left="380"/>
              <w:spacing w:after="0"/>
              <w:rPr>
                <w:sz w:val="20"/>
                <w:szCs w:val="20"/>
                <w:color w:val="auto"/>
              </w:rPr>
            </w:pPr>
            <w:r>
              <w:rPr>
                <w:rFonts w:ascii="Arial" w:cs="Arial" w:eastAsia="Arial" w:hAnsi="Arial"/>
                <w:sz w:val="14"/>
                <w:szCs w:val="14"/>
                <w:color w:val="auto"/>
              </w:rPr>
              <w:t>Total investments and cash and cash equivalents</w:t>
            </w:r>
          </w:p>
        </w:tc>
        <w:tc>
          <w:tcPr>
            <w:tcW w:w="14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1,484,971,165</w:t>
            </w:r>
          </w:p>
        </w:tc>
        <w:tc>
          <w:tcPr>
            <w:tcW w:w="2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39,995,817</w:t>
            </w:r>
          </w:p>
        </w:tc>
        <w:tc>
          <w:tcPr>
            <w:tcW w:w="20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1,403,376,407</w:t>
            </w:r>
          </w:p>
        </w:tc>
        <w:tc>
          <w:tcPr>
            <w:tcW w:w="18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41,598,942</w:t>
            </w:r>
          </w:p>
        </w:tc>
        <w:tc>
          <w:tcPr>
            <w:tcW w:w="4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660" w:type="dxa"/>
            <w:vAlign w:val="bottom"/>
          </w:tcPr>
          <w:p>
            <w:pPr>
              <w:ind w:left="20"/>
              <w:spacing w:after="0" w:line="156" w:lineRule="exact"/>
              <w:rPr>
                <w:sz w:val="20"/>
                <w:szCs w:val="20"/>
                <w:color w:val="auto"/>
              </w:rPr>
            </w:pPr>
            <w:r>
              <w:rPr>
                <w:rFonts w:ascii="Arial" w:cs="Arial" w:eastAsia="Arial" w:hAnsi="Arial"/>
                <w:sz w:val="14"/>
                <w:szCs w:val="14"/>
                <w:color w:val="auto"/>
              </w:rPr>
              <w:t>Truist Credit Facility</w:t>
            </w:r>
          </w:p>
        </w:tc>
        <w:tc>
          <w:tcPr>
            <w:tcW w:w="360" w:type="dxa"/>
            <w:vAlign w:val="bottom"/>
            <w:gridSpan w:val="2"/>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6" w:lineRule="exact"/>
              <w:rPr>
                <w:sz w:val="20"/>
                <w:szCs w:val="20"/>
                <w:color w:val="auto"/>
              </w:rPr>
            </w:pPr>
            <w:r>
              <w:rPr>
                <w:rFonts w:ascii="Arial" w:cs="Arial" w:eastAsia="Arial" w:hAnsi="Arial"/>
                <w:sz w:val="14"/>
                <w:szCs w:val="14"/>
                <w:color w:val="auto"/>
              </w:rPr>
              <w:t>444,487,950</w:t>
            </w:r>
          </w:p>
        </w:tc>
        <w:tc>
          <w:tcPr>
            <w:tcW w:w="460" w:type="dxa"/>
            <w:vAlign w:val="bottom"/>
            <w:gridSpan w:val="2"/>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56" w:lineRule="exact"/>
              <w:rPr>
                <w:sz w:val="20"/>
                <w:szCs w:val="20"/>
                <w:color w:val="auto"/>
              </w:rPr>
            </w:pPr>
            <w:r>
              <w:rPr>
                <w:rFonts w:ascii="Arial" w:cs="Arial" w:eastAsia="Arial" w:hAnsi="Arial"/>
                <w:sz w:val="14"/>
                <w:szCs w:val="14"/>
                <w:color w:val="auto"/>
              </w:rPr>
              <w:t>444,487,950</w:t>
            </w:r>
          </w:p>
        </w:tc>
        <w:tc>
          <w:tcPr>
            <w:tcW w:w="2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60" w:type="dxa"/>
            <w:vAlign w:val="bottom"/>
            <w:shd w:val="clear" w:color="auto" w:fill="CCECFF"/>
          </w:tcPr>
          <w:p>
            <w:pPr>
              <w:ind w:left="20"/>
              <w:spacing w:after="0" w:line="175" w:lineRule="exact"/>
              <w:rPr>
                <w:sz w:val="20"/>
                <w:szCs w:val="20"/>
                <w:color w:val="auto"/>
              </w:rPr>
            </w:pPr>
            <w:r>
              <w:rPr>
                <w:rFonts w:ascii="Arial" w:cs="Arial" w:eastAsia="Arial" w:hAnsi="Arial"/>
                <w:sz w:val="14"/>
                <w:szCs w:val="14"/>
                <w:color w:val="auto"/>
              </w:rPr>
              <w:t>SBA Debentures</w:t>
            </w:r>
            <w:r>
              <w:rPr>
                <w:rFonts w:ascii="Arial" w:cs="Arial" w:eastAsia="Arial" w:hAnsi="Arial"/>
                <w:sz w:val="19"/>
                <w:szCs w:val="19"/>
                <w:color w:val="auto"/>
                <w:vertAlign w:val="superscript"/>
              </w:rPr>
              <w:t>(2)</w:t>
            </w:r>
          </w:p>
        </w:tc>
        <w:tc>
          <w:tcPr>
            <w:tcW w:w="1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62,207,567</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62,207,567</w:t>
            </w:r>
          </w:p>
        </w:tc>
        <w:tc>
          <w:tcPr>
            <w:tcW w:w="1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20"/>
              <w:spacing w:after="0" w:line="175" w:lineRule="exact"/>
              <w:rPr>
                <w:sz w:val="20"/>
                <w:szCs w:val="20"/>
                <w:color w:val="auto"/>
              </w:rPr>
            </w:pPr>
            <w:r>
              <w:rPr>
                <w:rFonts w:ascii="Arial" w:cs="Arial" w:eastAsia="Arial" w:hAnsi="Arial"/>
                <w:sz w:val="14"/>
                <w:szCs w:val="14"/>
                <w:color w:val="auto"/>
              </w:rPr>
              <w:t>2026 Notes</w:t>
            </w:r>
            <w:r>
              <w:rPr>
                <w:rFonts w:ascii="Arial" w:cs="Arial" w:eastAsia="Arial" w:hAnsi="Arial"/>
                <w:sz w:val="19"/>
                <w:szCs w:val="19"/>
                <w:color w:val="auto"/>
                <w:vertAlign w:val="superscript"/>
              </w:rPr>
              <w:t>(2)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146,090,709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146,090,709</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Borders>
              <w:bottom w:val="single" w:sz="8" w:color="CCECFF"/>
            </w:tcBorders>
            <w:shd w:val="clear" w:color="auto" w:fill="CCECFF"/>
          </w:tcPr>
          <w:p>
            <w:pPr>
              <w:ind w:left="20"/>
              <w:spacing w:after="0" w:line="175" w:lineRule="exact"/>
              <w:rPr>
                <w:sz w:val="20"/>
                <w:szCs w:val="20"/>
                <w:color w:val="auto"/>
              </w:rPr>
            </w:pPr>
            <w:r>
              <w:rPr>
                <w:rFonts w:ascii="Arial" w:cs="Arial" w:eastAsia="Arial" w:hAnsi="Arial"/>
                <w:sz w:val="14"/>
                <w:szCs w:val="14"/>
                <w:color w:val="auto"/>
              </w:rPr>
              <w:t>2026 Notes-2</w:t>
            </w:r>
            <w:r>
              <w:rPr>
                <w:rFonts w:ascii="Arial" w:cs="Arial" w:eastAsia="Arial" w:hAnsi="Arial"/>
                <w:sz w:val="19"/>
                <w:szCs w:val="19"/>
                <w:color w:val="auto"/>
                <w:vertAlign w:val="superscript"/>
              </w:rPr>
              <w:t>(2)</w:t>
            </w:r>
          </w:p>
        </w:tc>
        <w:tc>
          <w:tcPr>
            <w:tcW w:w="14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auto"/>
            </w:tcBorders>
            <w:shd w:val="clear" w:color="auto" w:fill="CCECFF"/>
          </w:tcPr>
          <w:p>
            <w:pPr>
              <w:spacing w:after="0"/>
              <w:rPr>
                <w:sz w:val="15"/>
                <w:szCs w:val="15"/>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160,732,762</w:t>
            </w:r>
          </w:p>
        </w:tc>
        <w:tc>
          <w:tcPr>
            <w:tcW w:w="20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160,732,762</w:t>
            </w:r>
          </w:p>
        </w:tc>
        <w:tc>
          <w:tcPr>
            <w:tcW w:w="20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spacing w:after="0"/>
              <w:rPr>
                <w:sz w:val="15"/>
                <w:szCs w:val="15"/>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tcPr>
          <w:p>
            <w:pPr>
              <w:ind w:left="380"/>
              <w:spacing w:after="0"/>
              <w:rPr>
                <w:sz w:val="20"/>
                <w:szCs w:val="20"/>
                <w:color w:val="auto"/>
              </w:rPr>
            </w:pPr>
            <w:r>
              <w:rPr>
                <w:rFonts w:ascii="Arial" w:cs="Arial" w:eastAsia="Arial" w:hAnsi="Arial"/>
                <w:sz w:val="14"/>
                <w:szCs w:val="14"/>
                <w:color w:val="auto"/>
              </w:rPr>
              <w:t>Total debt</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813,518,988</w:t>
            </w:r>
          </w:p>
        </w:tc>
        <w:tc>
          <w:tcPr>
            <w:tcW w:w="4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306,823,471</w:t>
            </w:r>
          </w:p>
        </w:tc>
        <w:tc>
          <w:tcPr>
            <w:tcW w:w="4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506,695,517</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-616585</wp:posOffset>
            </wp:positionV>
            <wp:extent cx="342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-599440</wp:posOffset>
            </wp:positionV>
            <wp:extent cx="342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-616585</wp:posOffset>
            </wp:positionV>
            <wp:extent cx="342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-599440</wp:posOffset>
            </wp:positionV>
            <wp:extent cx="342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-616585</wp:posOffset>
            </wp:positionV>
            <wp:extent cx="342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-599440</wp:posOffset>
            </wp:positionV>
            <wp:extent cx="342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-616585</wp:posOffset>
            </wp:positionV>
            <wp:extent cx="260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-599440</wp:posOffset>
            </wp:positionV>
            <wp:extent cx="260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-616585</wp:posOffset>
            </wp:positionV>
            <wp:extent cx="260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-599440</wp:posOffset>
            </wp:positionV>
            <wp:extent cx="260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-142240</wp:posOffset>
            </wp:positionV>
            <wp:extent cx="3429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-142240</wp:posOffset>
            </wp:positionV>
            <wp:extent cx="34290"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-142240</wp:posOffset>
            </wp:positionV>
            <wp:extent cx="34290"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-142240</wp:posOffset>
            </wp:positionV>
            <wp:extent cx="26035"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-142240</wp:posOffset>
            </wp:positionV>
            <wp:extent cx="26035"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6035" cy="5715"/>
                    </a:xfrm>
                    <a:prstGeom prst="rect">
                      <a:avLst/>
                    </a:prstGeom>
                    <a:noFill/>
                  </pic:spPr>
                </pic:pic>
              </a:graphicData>
            </a:graphic>
          </wp:anchor>
        </w:drawing>
      </w:r>
    </w:p>
    <w:p>
      <w:pPr>
        <w:spacing w:after="0" w:line="109" w:lineRule="exact"/>
        <w:rPr>
          <w:sz w:val="20"/>
          <w:szCs w:val="20"/>
          <w:color w:val="auto"/>
        </w:rPr>
      </w:pPr>
    </w:p>
    <w:p>
      <w:pPr>
        <w:ind w:left="480" w:right="160" w:hanging="459"/>
        <w:spacing w:after="0" w:line="231" w:lineRule="auto"/>
        <w:tabs>
          <w:tab w:leader="none" w:pos="4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 accordance with ASC Subtopic 820-10, Fair Value Measurements and Disclosures, or ASC 820-10, our equity investment in PSLF is measured using the net asset value per share (or its equivalent) as a practical expedient for fair value, and thus has not been classified in the fair value hierarchy.</w:t>
      </w:r>
    </w:p>
    <w:p>
      <w:pPr>
        <w:ind w:left="480" w:right="440" w:hanging="459"/>
        <w:spacing w:after="0" w:line="225" w:lineRule="auto"/>
        <w:tabs>
          <w:tab w:leader="none" w:pos="4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We elected not to apply ASC 825-10 to the SBA debentures, the 2026 Notes and the 2026 Notes-2, and thus the balance reported in the Consolidated Statement of Assets and Liabilities represents the carrying value. As of December 31, 2021, the carrying value of the SBA debentures approximates the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11912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80" w:type="dxa"/>
            <w:vAlign w:val="bottom"/>
            <w:gridSpan w:val="6"/>
          </w:tcPr>
          <w:p>
            <w:pPr>
              <w:jc w:val="right"/>
              <w:ind w:right="88"/>
              <w:spacing w:after="0"/>
              <w:rPr>
                <w:sz w:val="20"/>
                <w:szCs w:val="20"/>
                <w:color w:val="auto"/>
              </w:rPr>
            </w:pPr>
            <w:r>
              <w:rPr>
                <w:rFonts w:ascii="Arial" w:cs="Arial" w:eastAsia="Arial" w:hAnsi="Arial"/>
                <w:sz w:val="14"/>
                <w:szCs w:val="14"/>
                <w:b w:val="1"/>
                <w:bCs w:val="1"/>
                <w:color w:val="auto"/>
              </w:rPr>
              <w:t>Fair Value at September 30, 2021</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Measured at Net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6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8"/>
              <w:spacing w:after="0" w:line="189" w:lineRule="exact"/>
              <w:rPr>
                <w:sz w:val="20"/>
                <w:szCs w:val="20"/>
                <w:color w:val="auto"/>
              </w:rPr>
            </w:pPr>
            <w:r>
              <w:rPr>
                <w:rFonts w:ascii="Arial" w:cs="Arial" w:eastAsia="Arial" w:hAnsi="Arial"/>
                <w:sz w:val="14"/>
                <w:szCs w:val="14"/>
                <w:b w:val="1"/>
                <w:bCs w:val="1"/>
                <w:color w:val="auto"/>
                <w:w w:val="97"/>
              </w:rPr>
              <w:t xml:space="preserve">Asset Value </w:t>
            </w:r>
            <w:r>
              <w:rPr>
                <w:rFonts w:ascii="Arial" w:cs="Arial" w:eastAsia="Arial" w:hAnsi="Arial"/>
                <w:sz w:val="19"/>
                <w:szCs w:val="19"/>
                <w:b w:val="1"/>
                <w:bCs w:val="1"/>
                <w:color w:val="auto"/>
                <w:w w:val="97"/>
                <w:vertAlign w:val="superscript"/>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CECFF"/>
          </w:tcPr>
          <w:p>
            <w:pPr>
              <w:ind w:left="20"/>
              <w:spacing w:after="0"/>
              <w:rPr>
                <w:sz w:val="20"/>
                <w:szCs w:val="20"/>
                <w:color w:val="auto"/>
              </w:rPr>
            </w:pPr>
            <w:r>
              <w:rPr>
                <w:rFonts w:ascii="Arial" w:cs="Arial" w:eastAsia="Arial" w:hAnsi="Arial"/>
                <w:sz w:val="14"/>
                <w:szCs w:val="14"/>
                <w:color w:val="auto"/>
              </w:rPr>
              <w:t>Debt investments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850,593,148</w:t>
            </w:r>
          </w:p>
        </w:tc>
        <w:tc>
          <w:tcPr>
            <w:tcW w:w="20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850,593,148</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Arial" w:cs="Arial" w:eastAsia="Arial" w:hAnsi="Arial"/>
                <w:sz w:val="14"/>
                <w:szCs w:val="14"/>
                <w:color w:val="auto"/>
              </w:rPr>
              <w:t>Equity investments</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404,696,685</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3,109,539</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360,427,521</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41,159,625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CECFF"/>
          </w:tcPr>
          <w:p>
            <w:pPr>
              <w:ind w:left="380"/>
              <w:spacing w:after="0"/>
              <w:rPr>
                <w:sz w:val="20"/>
                <w:szCs w:val="20"/>
                <w:color w:val="auto"/>
              </w:rPr>
            </w:pPr>
            <w:r>
              <w:rPr>
                <w:rFonts w:ascii="Arial" w:cs="Arial" w:eastAsia="Arial" w:hAnsi="Arial"/>
                <w:sz w:val="14"/>
                <w:szCs w:val="14"/>
                <w:color w:val="auto"/>
              </w:rPr>
              <w:t>Total investments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1,255,289,833</w:t>
            </w:r>
          </w:p>
        </w:tc>
        <w:tc>
          <w:tcPr>
            <w:tcW w:w="2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3,109,539</w:t>
            </w:r>
          </w:p>
        </w:tc>
        <w:tc>
          <w:tcPr>
            <w:tcW w:w="2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1,211,020,669</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41,159,625</w:t>
            </w: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20,357,016</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20,357,016</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60" w:type="dxa"/>
            <w:vAlign w:val="bottom"/>
            <w:tcBorders>
              <w:bottom w:val="single" w:sz="8" w:color="CCECFF"/>
            </w:tcBorders>
            <w:shd w:val="clear" w:color="auto" w:fill="CCECFF"/>
          </w:tcPr>
          <w:p>
            <w:pPr>
              <w:ind w:left="380"/>
              <w:spacing w:after="0"/>
              <w:rPr>
                <w:sz w:val="20"/>
                <w:szCs w:val="20"/>
                <w:color w:val="auto"/>
              </w:rPr>
            </w:pPr>
            <w:r>
              <w:rPr>
                <w:rFonts w:ascii="Arial" w:cs="Arial" w:eastAsia="Arial" w:hAnsi="Arial"/>
                <w:sz w:val="14"/>
                <w:szCs w:val="14"/>
                <w:color w:val="auto"/>
              </w:rPr>
              <w:t>Total investments and cash and cash equivalents</w:t>
            </w:r>
          </w:p>
        </w:tc>
        <w:tc>
          <w:tcPr>
            <w:tcW w:w="14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1,275,646,849</w:t>
            </w:r>
          </w:p>
        </w:tc>
        <w:tc>
          <w:tcPr>
            <w:tcW w:w="2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23,466,555</w:t>
            </w:r>
          </w:p>
        </w:tc>
        <w:tc>
          <w:tcPr>
            <w:tcW w:w="2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1,211,020,669</w:t>
            </w:r>
          </w:p>
        </w:tc>
        <w:tc>
          <w:tcPr>
            <w:tcW w:w="18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41,159,625</w:t>
            </w:r>
          </w:p>
        </w:tc>
        <w:tc>
          <w:tcPr>
            <w:tcW w:w="4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660" w:type="dxa"/>
            <w:vAlign w:val="bottom"/>
          </w:tcPr>
          <w:p>
            <w:pPr>
              <w:ind w:left="20"/>
              <w:spacing w:after="0" w:line="156" w:lineRule="exact"/>
              <w:rPr>
                <w:sz w:val="20"/>
                <w:szCs w:val="20"/>
                <w:color w:val="auto"/>
              </w:rPr>
            </w:pPr>
            <w:r>
              <w:rPr>
                <w:rFonts w:ascii="Arial" w:cs="Arial" w:eastAsia="Arial" w:hAnsi="Arial"/>
                <w:sz w:val="14"/>
                <w:szCs w:val="14"/>
                <w:color w:val="auto"/>
              </w:rPr>
              <w:t>Truist Credit Facility</w:t>
            </w:r>
          </w:p>
        </w:tc>
        <w:tc>
          <w:tcPr>
            <w:tcW w:w="360" w:type="dxa"/>
            <w:vAlign w:val="bottom"/>
            <w:gridSpan w:val="2"/>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6" w:lineRule="exact"/>
              <w:rPr>
                <w:sz w:val="20"/>
                <w:szCs w:val="20"/>
                <w:color w:val="auto"/>
              </w:rPr>
            </w:pPr>
            <w:r>
              <w:rPr>
                <w:rFonts w:ascii="Arial" w:cs="Arial" w:eastAsia="Arial" w:hAnsi="Arial"/>
                <w:sz w:val="14"/>
                <w:szCs w:val="14"/>
                <w:color w:val="auto"/>
              </w:rPr>
              <w:t>314,813,145</w:t>
            </w:r>
          </w:p>
        </w:tc>
        <w:tc>
          <w:tcPr>
            <w:tcW w:w="460" w:type="dxa"/>
            <w:vAlign w:val="bottom"/>
            <w:gridSpan w:val="2"/>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56" w:lineRule="exact"/>
              <w:rPr>
                <w:sz w:val="20"/>
                <w:szCs w:val="20"/>
                <w:color w:val="auto"/>
              </w:rPr>
            </w:pPr>
            <w:r>
              <w:rPr>
                <w:rFonts w:ascii="Arial" w:cs="Arial" w:eastAsia="Arial" w:hAnsi="Arial"/>
                <w:sz w:val="14"/>
                <w:szCs w:val="14"/>
                <w:color w:val="auto"/>
              </w:rPr>
              <w:t>314,813,145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60" w:type="dxa"/>
            <w:vAlign w:val="bottom"/>
            <w:shd w:val="clear" w:color="auto" w:fill="CCECFF"/>
          </w:tcPr>
          <w:p>
            <w:pPr>
              <w:ind w:left="20"/>
              <w:spacing w:after="0" w:line="175" w:lineRule="exact"/>
              <w:rPr>
                <w:sz w:val="20"/>
                <w:szCs w:val="20"/>
                <w:color w:val="auto"/>
              </w:rPr>
            </w:pPr>
            <w:r>
              <w:rPr>
                <w:rFonts w:ascii="Arial" w:cs="Arial" w:eastAsia="Arial" w:hAnsi="Arial"/>
                <w:sz w:val="14"/>
                <w:szCs w:val="14"/>
                <w:color w:val="auto"/>
              </w:rPr>
              <w:t xml:space="preserve">SBA Debentures </w:t>
            </w:r>
            <w:r>
              <w:rPr>
                <w:rFonts w:ascii="Arial" w:cs="Arial" w:eastAsia="Arial" w:hAnsi="Arial"/>
                <w:sz w:val="19"/>
                <w:szCs w:val="19"/>
                <w:color w:val="auto"/>
                <w:vertAlign w:val="superscript"/>
              </w:rPr>
              <w:t>(2)</w:t>
            </w:r>
          </w:p>
        </w:tc>
        <w:tc>
          <w:tcPr>
            <w:tcW w:w="1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62,158,642</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62,158,642</w:t>
            </w:r>
          </w:p>
        </w:tc>
        <w:tc>
          <w:tcPr>
            <w:tcW w:w="1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2024 Notes </w:t>
            </w:r>
            <w:r>
              <w:rPr>
                <w:rFonts w:ascii="Arial" w:cs="Arial" w:eastAsia="Arial" w:hAnsi="Arial"/>
                <w:sz w:val="19"/>
                <w:szCs w:val="19"/>
                <w:color w:val="auto"/>
                <w:vertAlign w:val="superscript"/>
              </w:rPr>
              <w:t>(2)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84,503,061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84,503,061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tcBorders>
              <w:bottom w:val="single" w:sz="8" w:color="CCECFF"/>
            </w:tcBorders>
            <w:shd w:val="clear" w:color="auto" w:fill="CCECFF"/>
          </w:tcPr>
          <w:p>
            <w:pPr>
              <w:ind w:left="20"/>
              <w:spacing w:after="0" w:line="175" w:lineRule="exact"/>
              <w:rPr>
                <w:sz w:val="20"/>
                <w:szCs w:val="20"/>
                <w:color w:val="auto"/>
              </w:rPr>
            </w:pPr>
            <w:r>
              <w:rPr>
                <w:rFonts w:ascii="Arial" w:cs="Arial" w:eastAsia="Arial" w:hAnsi="Arial"/>
                <w:sz w:val="14"/>
                <w:szCs w:val="14"/>
                <w:color w:val="auto"/>
              </w:rPr>
              <w:t xml:space="preserve">2026 Notes </w:t>
            </w:r>
            <w:r>
              <w:rPr>
                <w:rFonts w:ascii="Arial" w:cs="Arial" w:eastAsia="Arial" w:hAnsi="Arial"/>
                <w:sz w:val="19"/>
                <w:szCs w:val="19"/>
                <w:color w:val="auto"/>
                <w:vertAlign w:val="superscript"/>
              </w:rPr>
              <w:t>(2)</w:t>
            </w:r>
          </w:p>
        </w:tc>
        <w:tc>
          <w:tcPr>
            <w:tcW w:w="14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auto"/>
            </w:tcBorders>
            <w:shd w:val="clear" w:color="auto" w:fill="CCECFF"/>
          </w:tcPr>
          <w:p>
            <w:pPr>
              <w:spacing w:after="0"/>
              <w:rPr>
                <w:sz w:val="15"/>
                <w:szCs w:val="15"/>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145,865,253</w:t>
            </w:r>
          </w:p>
        </w:tc>
        <w:tc>
          <w:tcPr>
            <w:tcW w:w="20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145,865,253</w:t>
            </w:r>
          </w:p>
        </w:tc>
        <w:tc>
          <w:tcPr>
            <w:tcW w:w="20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spacing w:after="0"/>
              <w:rPr>
                <w:sz w:val="15"/>
                <w:szCs w:val="15"/>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tcPr>
          <w:p>
            <w:pPr>
              <w:ind w:left="380"/>
              <w:spacing w:after="0"/>
              <w:rPr>
                <w:sz w:val="20"/>
                <w:szCs w:val="20"/>
                <w:color w:val="auto"/>
              </w:rPr>
            </w:pPr>
            <w:r>
              <w:rPr>
                <w:rFonts w:ascii="Arial" w:cs="Arial" w:eastAsia="Arial" w:hAnsi="Arial"/>
                <w:sz w:val="14"/>
                <w:szCs w:val="14"/>
                <w:color w:val="auto"/>
              </w:rPr>
              <w:t>Total debt</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607,340,101</w:t>
            </w:r>
          </w:p>
        </w:tc>
        <w:tc>
          <w:tcPr>
            <w:tcW w:w="4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84,503,061</w:t>
            </w:r>
          </w:p>
        </w:tc>
        <w:tc>
          <w:tcPr>
            <w:tcW w:w="4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145,865,253</w:t>
            </w:r>
          </w:p>
        </w:tc>
        <w:tc>
          <w:tcPr>
            <w:tcW w:w="4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376,971,787</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-616585</wp:posOffset>
            </wp:positionV>
            <wp:extent cx="342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-599440</wp:posOffset>
            </wp:positionV>
            <wp:extent cx="342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-616585</wp:posOffset>
            </wp:positionV>
            <wp:extent cx="342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-599440</wp:posOffset>
            </wp:positionV>
            <wp:extent cx="342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-616585</wp:posOffset>
            </wp:positionV>
            <wp:extent cx="342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-599440</wp:posOffset>
            </wp:positionV>
            <wp:extent cx="342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-616585</wp:posOffset>
            </wp:positionV>
            <wp:extent cx="260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-599440</wp:posOffset>
            </wp:positionV>
            <wp:extent cx="2603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-616585</wp:posOffset>
            </wp:positionV>
            <wp:extent cx="260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-599440</wp:posOffset>
            </wp:positionV>
            <wp:extent cx="2603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-142240</wp:posOffset>
            </wp:positionV>
            <wp:extent cx="34290"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-142240</wp:posOffset>
            </wp:positionV>
            <wp:extent cx="3429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-142240</wp:posOffset>
            </wp:positionV>
            <wp:extent cx="3429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-142240</wp:posOffset>
            </wp:positionV>
            <wp:extent cx="26035"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-142240</wp:posOffset>
            </wp:positionV>
            <wp:extent cx="26035"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6035" cy="5715"/>
                    </a:xfrm>
                    <a:prstGeom prst="rect">
                      <a:avLst/>
                    </a:prstGeom>
                    <a:noFill/>
                  </pic:spPr>
                </pic:pic>
              </a:graphicData>
            </a:graphic>
          </wp:anchor>
        </w:drawing>
      </w:r>
    </w:p>
    <w:p>
      <w:pPr>
        <w:spacing w:after="0" w:line="109" w:lineRule="exact"/>
        <w:rPr>
          <w:sz w:val="20"/>
          <w:szCs w:val="20"/>
          <w:color w:val="auto"/>
        </w:rPr>
      </w:pPr>
    </w:p>
    <w:p>
      <w:pPr>
        <w:ind w:left="480" w:right="160" w:hanging="459"/>
        <w:spacing w:after="0" w:line="231" w:lineRule="auto"/>
        <w:tabs>
          <w:tab w:leader="none" w:pos="4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 accordance with ASC Subtopic 820-10, Fair Value Measurements and Disclosures, or ASC 820-10, our equity investment in PSLF is measured using the net asset value per share (or its equivalent) as a practical expedient for fair value, and thus has not been classified in the fair value hierarchy.</w:t>
      </w:r>
    </w:p>
    <w:p>
      <w:pPr>
        <w:ind w:left="480" w:right="480" w:hanging="459"/>
        <w:spacing w:after="0" w:line="225" w:lineRule="auto"/>
        <w:tabs>
          <w:tab w:leader="none" w:pos="4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We elected not to apply ASC 825-10 to the SBA debentures or the 2024 Notes and the 2026 Notes and thus the balance reported in the Consolidated Statement of Assets and Liabilities represents the carrying value. As of September 30, 2021, the carrying value of the SBA debentures approximates the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119126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46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rPr>
              <w:t>(Unaudited)</w:t>
            </w: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10140" w:type="dxa"/>
            <w:vAlign w:val="bottom"/>
            <w:gridSpan w:val="10"/>
          </w:tcPr>
          <w:p>
            <w:pPr>
              <w:ind w:left="460"/>
              <w:spacing w:after="0"/>
              <w:rPr>
                <w:sz w:val="20"/>
                <w:szCs w:val="20"/>
                <w:color w:val="auto"/>
              </w:rPr>
            </w:pPr>
            <w:r>
              <w:rPr>
                <w:rFonts w:ascii="Arial" w:cs="Arial" w:eastAsia="Arial" w:hAnsi="Arial"/>
                <w:sz w:val="14"/>
                <w:szCs w:val="14"/>
                <w:color w:val="auto"/>
                <w:w w:val="95"/>
              </w:rPr>
              <w:t>The tables below show a reconciliation of the beginning and ending balances for investments measured at fair value using significant unobservable inputs (Level 3):</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Three Months Ended December 31, 2021</w:t>
            </w:r>
          </w:p>
        </w:tc>
        <w:tc>
          <w:tcPr>
            <w:tcW w:w="10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2"/>
          </w:tcPr>
          <w:p>
            <w:pPr>
              <w:jc w:val="right"/>
              <w:ind w:right="840"/>
              <w:spacing w:after="0" w:line="133" w:lineRule="exact"/>
              <w:rPr>
                <w:sz w:val="20"/>
                <w:szCs w:val="20"/>
                <w:color w:val="auto"/>
              </w:rPr>
            </w:pPr>
            <w:r>
              <w:rPr>
                <w:rFonts w:ascii="Arial" w:cs="Arial" w:eastAsia="Arial" w:hAnsi="Arial"/>
                <w:sz w:val="14"/>
                <w:szCs w:val="14"/>
                <w:b w:val="1"/>
                <w:bCs w:val="1"/>
                <w:color w:val="auto"/>
              </w:rPr>
              <w:t>Debt</w:t>
            </w:r>
          </w:p>
        </w:tc>
        <w:tc>
          <w:tcPr>
            <w:tcW w:w="220" w:type="dxa"/>
            <w:vAlign w:val="bottom"/>
          </w:tcPr>
          <w:p>
            <w:pPr>
              <w:spacing w:after="0"/>
              <w:rPr>
                <w:sz w:val="11"/>
                <w:szCs w:val="11"/>
                <w:color w:val="auto"/>
              </w:rPr>
            </w:pPr>
          </w:p>
        </w:tc>
        <w:tc>
          <w:tcPr>
            <w:tcW w:w="1440" w:type="dxa"/>
            <w:vAlign w:val="bottom"/>
            <w:gridSpan w:val="2"/>
          </w:tcPr>
          <w:p>
            <w:pPr>
              <w:jc w:val="right"/>
              <w:ind w:right="740"/>
              <w:spacing w:after="0" w:line="133" w:lineRule="exact"/>
              <w:rPr>
                <w:sz w:val="20"/>
                <w:szCs w:val="20"/>
                <w:color w:val="auto"/>
              </w:rPr>
            </w:pPr>
            <w:r>
              <w:rPr>
                <w:rFonts w:ascii="Arial" w:cs="Arial" w:eastAsia="Arial" w:hAnsi="Arial"/>
                <w:sz w:val="14"/>
                <w:szCs w:val="14"/>
                <w:b w:val="1"/>
                <w:bCs w:val="1"/>
                <w:color w:val="auto"/>
              </w:rPr>
              <w:t>Equity</w:t>
            </w:r>
          </w:p>
        </w:tc>
        <w:tc>
          <w:tcPr>
            <w:tcW w:w="420" w:type="dxa"/>
            <w:vAlign w:val="bottom"/>
          </w:tcPr>
          <w:p>
            <w:pPr>
              <w:spacing w:after="0"/>
              <w:rPr>
                <w:sz w:val="11"/>
                <w:szCs w:val="11"/>
                <w:color w:val="auto"/>
              </w:rPr>
            </w:pPr>
          </w:p>
        </w:tc>
        <w:tc>
          <w:tcPr>
            <w:tcW w:w="11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5"/>
        </w:trPr>
        <w:tc>
          <w:tcPr>
            <w:tcW w:w="5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investments</w:t>
            </w:r>
          </w:p>
        </w:tc>
        <w:tc>
          <w:tcPr>
            <w:tcW w:w="220" w:type="dxa"/>
            <w:vAlign w:val="bottom"/>
          </w:tcPr>
          <w:p>
            <w:pPr>
              <w:spacing w:after="0"/>
              <w:rPr>
                <w:sz w:val="9"/>
                <w:szCs w:val="9"/>
                <w:color w:val="auto"/>
              </w:rPr>
            </w:pPr>
          </w:p>
        </w:tc>
        <w:tc>
          <w:tcPr>
            <w:tcW w:w="14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investments</w:t>
            </w:r>
          </w:p>
        </w:tc>
        <w:tc>
          <w:tcPr>
            <w:tcW w:w="4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12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512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Beginning Balance</w:t>
            </w:r>
          </w:p>
        </w:tc>
        <w:tc>
          <w:tcPr>
            <w:tcW w:w="1040" w:type="dxa"/>
            <w:vAlign w:val="bottom"/>
            <w:tcBorders>
              <w:top w:val="single" w:sz="8" w:color="auto"/>
            </w:tcBorders>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850,593,148</w:t>
            </w:r>
          </w:p>
        </w:tc>
        <w:tc>
          <w:tcPr>
            <w:tcW w:w="24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360,427,521</w:t>
            </w:r>
          </w:p>
        </w:tc>
        <w:tc>
          <w:tcPr>
            <w:tcW w:w="220" w:type="dxa"/>
            <w:vAlign w:val="bottom"/>
            <w:shd w:val="clear" w:color="auto" w:fill="CCECFF"/>
          </w:tcPr>
          <w:p>
            <w:pPr>
              <w:spacing w:after="0"/>
              <w:rPr>
                <w:sz w:val="14"/>
                <w:szCs w:val="14"/>
                <w:color w:val="auto"/>
              </w:rPr>
            </w:pPr>
          </w:p>
        </w:tc>
        <w:tc>
          <w:tcPr>
            <w:tcW w:w="420" w:type="dxa"/>
            <w:vAlign w:val="bottom"/>
            <w:tcBorders>
              <w:top w:val="single" w:sz="8" w:color="auto"/>
            </w:tcBorders>
            <w:shd w:val="clear" w:color="auto" w:fill="CCEC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1,211,020,669</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380"/>
              <w:spacing w:after="0"/>
              <w:rPr>
                <w:sz w:val="20"/>
                <w:szCs w:val="20"/>
                <w:color w:val="auto"/>
              </w:rPr>
            </w:pPr>
            <w:r>
              <w:rPr>
                <w:rFonts w:ascii="Arial" w:cs="Arial" w:eastAsia="Arial" w:hAnsi="Arial"/>
                <w:sz w:val="14"/>
                <w:szCs w:val="14"/>
                <w:color w:val="auto"/>
              </w:rPr>
              <w:t>Net realized (loss) gain</w:t>
            </w: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29,891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(26,196,314 )</w:t>
            </w:r>
          </w:p>
        </w:tc>
        <w:tc>
          <w:tcPr>
            <w:tcW w:w="4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(26,166,423 )</w:t>
            </w:r>
          </w:p>
        </w:tc>
        <w:tc>
          <w:tcPr>
            <w:tcW w:w="0" w:type="dxa"/>
            <w:vAlign w:val="bottom"/>
          </w:tcPr>
          <w:p>
            <w:pPr>
              <w:spacing w:after="0"/>
              <w:rPr>
                <w:sz w:val="1"/>
                <w:szCs w:val="1"/>
                <w:color w:val="auto"/>
              </w:rPr>
            </w:pPr>
          </w:p>
        </w:tc>
      </w:tr>
      <w:tr>
        <w:trPr>
          <w:trHeight w:val="175"/>
        </w:trPr>
        <w:tc>
          <w:tcPr>
            <w:tcW w:w="5120" w:type="dxa"/>
            <w:vAlign w:val="bottom"/>
            <w:shd w:val="clear" w:color="auto" w:fill="CCECFF"/>
          </w:tcPr>
          <w:p>
            <w:pPr>
              <w:ind w:left="380"/>
              <w:spacing w:after="0"/>
              <w:rPr>
                <w:sz w:val="20"/>
                <w:szCs w:val="20"/>
                <w:color w:val="auto"/>
              </w:rPr>
            </w:pPr>
            <w:r>
              <w:rPr>
                <w:rFonts w:ascii="Arial" w:cs="Arial" w:eastAsia="Arial" w:hAnsi="Arial"/>
                <w:sz w:val="14"/>
                <w:szCs w:val="14"/>
                <w:color w:val="auto"/>
              </w:rPr>
              <w:t>Net change in unrealized appreciation</w:t>
            </w:r>
          </w:p>
        </w:tc>
        <w:tc>
          <w:tcPr>
            <w:tcW w:w="10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8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(7,013,821 )</w:t>
            </w:r>
          </w:p>
        </w:tc>
        <w:tc>
          <w:tcPr>
            <w:tcW w:w="22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53,735,934</w:t>
            </w:r>
          </w:p>
        </w:tc>
        <w:tc>
          <w:tcPr>
            <w:tcW w:w="22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46,722,113</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38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285,421,230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16,230,686</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301,651,916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shd w:val="clear" w:color="auto" w:fill="CCECFF"/>
          </w:tcPr>
          <w:p>
            <w:pPr>
              <w:ind w:left="380"/>
              <w:spacing w:after="0"/>
              <w:rPr>
                <w:sz w:val="20"/>
                <w:szCs w:val="20"/>
                <w:color w:val="auto"/>
              </w:rPr>
            </w:pPr>
            <w:r>
              <w:rPr>
                <w:rFonts w:ascii="Arial" w:cs="Arial" w:eastAsia="Arial" w:hAnsi="Arial"/>
                <w:sz w:val="14"/>
                <w:szCs w:val="14"/>
                <w:color w:val="auto"/>
              </w:rPr>
              <w:t>Sales, repayments and non-cash exchanges</w:t>
            </w:r>
          </w:p>
        </w:tc>
        <w:tc>
          <w:tcPr>
            <w:tcW w:w="10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8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(123,718,338 )</w:t>
            </w:r>
          </w:p>
        </w:tc>
        <w:tc>
          <w:tcPr>
            <w:tcW w:w="220" w:type="dxa"/>
            <w:vAlign w:val="bottom"/>
            <w:shd w:val="clear" w:color="auto" w:fill="CCECFF"/>
          </w:tcPr>
          <w:p>
            <w:pPr>
              <w:spacing w:after="0"/>
              <w:rPr>
                <w:sz w:val="15"/>
                <w:szCs w:val="15"/>
                <w:color w:val="auto"/>
              </w:rPr>
            </w:pPr>
          </w:p>
        </w:tc>
        <w:tc>
          <w:tcPr>
            <w:tcW w:w="144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(6,133,531 )</w:t>
            </w:r>
          </w:p>
        </w:tc>
        <w:tc>
          <w:tcPr>
            <w:tcW w:w="42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(129,851,869 )</w:t>
            </w:r>
          </w:p>
        </w:tc>
        <w:tc>
          <w:tcPr>
            <w:tcW w:w="0" w:type="dxa"/>
            <w:vAlign w:val="bottom"/>
          </w:tcPr>
          <w:p>
            <w:pPr>
              <w:spacing w:after="0"/>
              <w:rPr>
                <w:sz w:val="1"/>
                <w:szCs w:val="1"/>
                <w:color w:val="auto"/>
              </w:rPr>
            </w:pPr>
          </w:p>
        </w:tc>
      </w:tr>
      <w:tr>
        <w:trPr>
          <w:trHeight w:val="176"/>
        </w:trPr>
        <w:tc>
          <w:tcPr>
            <w:tcW w:w="5120" w:type="dxa"/>
            <w:vAlign w:val="bottom"/>
          </w:tcPr>
          <w:p>
            <w:pPr>
              <w:ind w:left="380"/>
              <w:spacing w:after="0"/>
              <w:rPr>
                <w:sz w:val="20"/>
                <w:szCs w:val="20"/>
                <w:color w:val="auto"/>
              </w:rPr>
            </w:pPr>
            <w:r>
              <w:rPr>
                <w:rFonts w:ascii="Arial" w:cs="Arial" w:eastAsia="Arial" w:hAnsi="Arial"/>
                <w:sz w:val="14"/>
                <w:szCs w:val="14"/>
                <w:color w:val="auto"/>
              </w:rPr>
              <w:t>Transfers in/out of Level 3</w:t>
            </w: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Ending Balance</w:t>
            </w:r>
          </w:p>
        </w:tc>
        <w:tc>
          <w:tcPr>
            <w:tcW w:w="1220" w:type="dxa"/>
            <w:vAlign w:val="bottom"/>
            <w:tcBorders>
              <w:bottom w:val="single" w:sz="8" w:color="CCECFF"/>
            </w:tcBorders>
            <w:gridSpan w:val="2"/>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1,005,312,110</w:t>
            </w:r>
          </w:p>
        </w:tc>
        <w:tc>
          <w:tcPr>
            <w:tcW w:w="24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398,064,296</w:t>
            </w:r>
          </w:p>
        </w:tc>
        <w:tc>
          <w:tcPr>
            <w:tcW w:w="220" w:type="dxa"/>
            <w:vAlign w:val="bottom"/>
            <w:tcBorders>
              <w:bottom w:val="single" w:sz="8" w:color="CCECFF"/>
            </w:tcBorders>
            <w:shd w:val="clear" w:color="auto" w:fill="CCECFF"/>
          </w:tcPr>
          <w:p>
            <w:pPr>
              <w:spacing w:after="0"/>
              <w:rPr>
                <w:sz w:val="18"/>
                <w:szCs w:val="18"/>
                <w:color w:val="auto"/>
              </w:rPr>
            </w:pPr>
          </w:p>
        </w:tc>
        <w:tc>
          <w:tcPr>
            <w:tcW w:w="420" w:type="dxa"/>
            <w:vAlign w:val="bottom"/>
            <w:tcBorders>
              <w:top w:val="single" w:sz="8" w:color="auto"/>
              <w:bottom w:val="single" w:sz="8" w:color="auto"/>
            </w:tcBorders>
            <w:shd w:val="clear" w:color="auto" w:fill="CCEC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1,403,376,407</w:t>
            </w:r>
          </w:p>
        </w:tc>
        <w:tc>
          <w:tcPr>
            <w:tcW w:w="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5120" w:type="dxa"/>
            <w:vAlign w:val="bottom"/>
          </w:tcPr>
          <w:p>
            <w:pPr>
              <w:ind w:left="20"/>
              <w:spacing w:after="0" w:line="124" w:lineRule="exact"/>
              <w:rPr>
                <w:sz w:val="20"/>
                <w:szCs w:val="20"/>
                <w:color w:val="auto"/>
              </w:rPr>
            </w:pPr>
            <w:r>
              <w:rPr>
                <w:rFonts w:ascii="Arial" w:cs="Arial" w:eastAsia="Arial" w:hAnsi="Arial"/>
                <w:sz w:val="14"/>
                <w:szCs w:val="14"/>
                <w:color w:val="auto"/>
              </w:rPr>
              <w:t>Net change in unrealized appreciation reported within the net change in</w:t>
            </w: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20"/>
              <w:spacing w:after="0" w:line="149" w:lineRule="exact"/>
              <w:rPr>
                <w:sz w:val="20"/>
                <w:szCs w:val="20"/>
                <w:color w:val="auto"/>
              </w:rPr>
            </w:pPr>
            <w:r>
              <w:rPr>
                <w:rFonts w:ascii="Arial" w:cs="Arial" w:eastAsia="Arial" w:hAnsi="Arial"/>
                <w:sz w:val="14"/>
                <w:szCs w:val="14"/>
                <w:color w:val="auto"/>
                <w:w w:val="93"/>
              </w:rPr>
              <w:t>unrealized appreciation on investments in our Consolidated Statements of Operations</w:t>
            </w:r>
          </w:p>
        </w:tc>
        <w:tc>
          <w:tcPr>
            <w:tcW w:w="1220" w:type="dxa"/>
            <w:vAlign w:val="bottom"/>
            <w:gridSpan w:val="2"/>
            <w:vMerge w:val="restart"/>
          </w:tcPr>
          <w:p>
            <w:pPr>
              <w:spacing w:after="0"/>
              <w:rPr>
                <w:sz w:val="12"/>
                <w:szCs w:val="12"/>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14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(6,125,929 )</w:t>
            </w: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53,800,417</w:t>
            </w:r>
          </w:p>
        </w:tc>
        <w:tc>
          <w:tcPr>
            <w:tcW w:w="220" w:type="dxa"/>
            <w:vAlign w:val="bottom"/>
          </w:tcPr>
          <w:p>
            <w:pPr>
              <w:spacing w:after="0"/>
              <w:rPr>
                <w:sz w:val="12"/>
                <w:szCs w:val="12"/>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47,674,488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120" w:type="dxa"/>
            <w:vAlign w:val="bottom"/>
          </w:tcPr>
          <w:p>
            <w:pPr>
              <w:ind w:left="120"/>
              <w:spacing w:after="0" w:line="121" w:lineRule="exact"/>
              <w:rPr>
                <w:sz w:val="20"/>
                <w:szCs w:val="20"/>
                <w:color w:val="auto"/>
              </w:rPr>
            </w:pPr>
            <w:r>
              <w:rPr>
                <w:rFonts w:ascii="Arial" w:cs="Arial" w:eastAsia="Arial" w:hAnsi="Arial"/>
                <w:sz w:val="13"/>
                <w:szCs w:val="13"/>
                <w:color w:val="auto"/>
              </w:rPr>
              <w:t>attributable to our Level 3 assets still held at the reporting date</w:t>
            </w:r>
          </w:p>
        </w:tc>
        <w:tc>
          <w:tcPr>
            <w:tcW w:w="122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Three Months Ended December 31, 2020</w:t>
            </w:r>
          </w:p>
        </w:tc>
        <w:tc>
          <w:tcPr>
            <w:tcW w:w="10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2"/>
          </w:tcPr>
          <w:p>
            <w:pPr>
              <w:jc w:val="right"/>
              <w:ind w:right="840"/>
              <w:spacing w:after="0" w:line="133" w:lineRule="exact"/>
              <w:rPr>
                <w:sz w:val="20"/>
                <w:szCs w:val="20"/>
                <w:color w:val="auto"/>
              </w:rPr>
            </w:pPr>
            <w:r>
              <w:rPr>
                <w:rFonts w:ascii="Arial" w:cs="Arial" w:eastAsia="Arial" w:hAnsi="Arial"/>
                <w:sz w:val="14"/>
                <w:szCs w:val="14"/>
                <w:b w:val="1"/>
                <w:bCs w:val="1"/>
                <w:color w:val="auto"/>
              </w:rPr>
              <w:t>Debt</w:t>
            </w:r>
          </w:p>
        </w:tc>
        <w:tc>
          <w:tcPr>
            <w:tcW w:w="220" w:type="dxa"/>
            <w:vAlign w:val="bottom"/>
          </w:tcPr>
          <w:p>
            <w:pPr>
              <w:spacing w:after="0"/>
              <w:rPr>
                <w:sz w:val="11"/>
                <w:szCs w:val="11"/>
                <w:color w:val="auto"/>
              </w:rPr>
            </w:pPr>
          </w:p>
        </w:tc>
        <w:tc>
          <w:tcPr>
            <w:tcW w:w="1440" w:type="dxa"/>
            <w:vAlign w:val="bottom"/>
            <w:gridSpan w:val="2"/>
          </w:tcPr>
          <w:p>
            <w:pPr>
              <w:jc w:val="right"/>
              <w:ind w:right="740"/>
              <w:spacing w:after="0" w:line="133" w:lineRule="exact"/>
              <w:rPr>
                <w:sz w:val="20"/>
                <w:szCs w:val="20"/>
                <w:color w:val="auto"/>
              </w:rPr>
            </w:pPr>
            <w:r>
              <w:rPr>
                <w:rFonts w:ascii="Arial" w:cs="Arial" w:eastAsia="Arial" w:hAnsi="Arial"/>
                <w:sz w:val="14"/>
                <w:szCs w:val="14"/>
                <w:b w:val="1"/>
                <w:bCs w:val="1"/>
                <w:color w:val="auto"/>
              </w:rPr>
              <w:t>Equity</w:t>
            </w:r>
          </w:p>
        </w:tc>
        <w:tc>
          <w:tcPr>
            <w:tcW w:w="420" w:type="dxa"/>
            <w:vAlign w:val="bottom"/>
          </w:tcPr>
          <w:p>
            <w:pPr>
              <w:spacing w:after="0"/>
              <w:rPr>
                <w:sz w:val="11"/>
                <w:szCs w:val="11"/>
                <w:color w:val="auto"/>
              </w:rPr>
            </w:pPr>
          </w:p>
        </w:tc>
        <w:tc>
          <w:tcPr>
            <w:tcW w:w="11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5"/>
        </w:trPr>
        <w:tc>
          <w:tcPr>
            <w:tcW w:w="5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investments</w:t>
            </w:r>
          </w:p>
        </w:tc>
        <w:tc>
          <w:tcPr>
            <w:tcW w:w="220" w:type="dxa"/>
            <w:vAlign w:val="bottom"/>
          </w:tcPr>
          <w:p>
            <w:pPr>
              <w:spacing w:after="0"/>
              <w:rPr>
                <w:sz w:val="9"/>
                <w:szCs w:val="9"/>
                <w:color w:val="auto"/>
              </w:rPr>
            </w:pPr>
          </w:p>
        </w:tc>
        <w:tc>
          <w:tcPr>
            <w:tcW w:w="14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investments</w:t>
            </w:r>
          </w:p>
        </w:tc>
        <w:tc>
          <w:tcPr>
            <w:tcW w:w="4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12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512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Beginning Balance</w:t>
            </w:r>
          </w:p>
        </w:tc>
        <w:tc>
          <w:tcPr>
            <w:tcW w:w="1040" w:type="dxa"/>
            <w:vAlign w:val="bottom"/>
            <w:tcBorders>
              <w:top w:val="single" w:sz="8" w:color="auto"/>
            </w:tcBorders>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773,425,971</w:t>
            </w:r>
          </w:p>
        </w:tc>
        <w:tc>
          <w:tcPr>
            <w:tcW w:w="24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270,753,946</w:t>
            </w:r>
          </w:p>
        </w:tc>
        <w:tc>
          <w:tcPr>
            <w:tcW w:w="220" w:type="dxa"/>
            <w:vAlign w:val="bottom"/>
            <w:shd w:val="clear" w:color="auto" w:fill="CCECFF"/>
          </w:tcPr>
          <w:p>
            <w:pPr>
              <w:spacing w:after="0"/>
              <w:rPr>
                <w:sz w:val="14"/>
                <w:szCs w:val="14"/>
                <w:color w:val="auto"/>
              </w:rPr>
            </w:pPr>
          </w:p>
        </w:tc>
        <w:tc>
          <w:tcPr>
            <w:tcW w:w="420" w:type="dxa"/>
            <w:vAlign w:val="bottom"/>
            <w:tcBorders>
              <w:top w:val="single" w:sz="8" w:color="auto"/>
            </w:tcBorders>
            <w:shd w:val="clear" w:color="auto" w:fill="CCEC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1,044,179,917</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380"/>
              <w:spacing w:after="0"/>
              <w:rPr>
                <w:sz w:val="20"/>
                <w:szCs w:val="20"/>
                <w:color w:val="auto"/>
              </w:rPr>
            </w:pPr>
            <w:r>
              <w:rPr>
                <w:rFonts w:ascii="Arial" w:cs="Arial" w:eastAsia="Arial" w:hAnsi="Arial"/>
                <w:sz w:val="14"/>
                <w:szCs w:val="14"/>
                <w:color w:val="auto"/>
              </w:rPr>
              <w:t>Net realized gain (loss)</w:t>
            </w: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(19,754,439 )</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2,148,373</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(17,606,066 )</w:t>
            </w:r>
          </w:p>
        </w:tc>
        <w:tc>
          <w:tcPr>
            <w:tcW w:w="0" w:type="dxa"/>
            <w:vAlign w:val="bottom"/>
          </w:tcPr>
          <w:p>
            <w:pPr>
              <w:spacing w:after="0"/>
              <w:rPr>
                <w:sz w:val="1"/>
                <w:szCs w:val="1"/>
                <w:color w:val="auto"/>
              </w:rPr>
            </w:pPr>
          </w:p>
        </w:tc>
      </w:tr>
      <w:tr>
        <w:trPr>
          <w:trHeight w:val="175"/>
        </w:trPr>
        <w:tc>
          <w:tcPr>
            <w:tcW w:w="5120" w:type="dxa"/>
            <w:vAlign w:val="bottom"/>
            <w:shd w:val="clear" w:color="auto" w:fill="CCECFF"/>
          </w:tcPr>
          <w:p>
            <w:pPr>
              <w:ind w:left="380"/>
              <w:spacing w:after="0"/>
              <w:rPr>
                <w:sz w:val="20"/>
                <w:szCs w:val="20"/>
                <w:color w:val="auto"/>
              </w:rPr>
            </w:pPr>
            <w:r>
              <w:rPr>
                <w:rFonts w:ascii="Arial" w:cs="Arial" w:eastAsia="Arial" w:hAnsi="Arial"/>
                <w:sz w:val="14"/>
                <w:szCs w:val="14"/>
                <w:color w:val="auto"/>
              </w:rPr>
              <w:t>Net change in unrealized depreciation</w:t>
            </w:r>
          </w:p>
        </w:tc>
        <w:tc>
          <w:tcPr>
            <w:tcW w:w="10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26,295,858</w:t>
            </w: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64,865,848</w:t>
            </w:r>
          </w:p>
        </w:tc>
        <w:tc>
          <w:tcPr>
            <w:tcW w:w="22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91,161,706</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38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52,096,591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19,280,062</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71,376,653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shd w:val="clear" w:color="auto" w:fill="CCECFF"/>
          </w:tcPr>
          <w:p>
            <w:pPr>
              <w:ind w:left="380"/>
              <w:spacing w:after="0"/>
              <w:rPr>
                <w:sz w:val="20"/>
                <w:szCs w:val="20"/>
                <w:color w:val="auto"/>
              </w:rPr>
            </w:pPr>
            <w:r>
              <w:rPr>
                <w:rFonts w:ascii="Arial" w:cs="Arial" w:eastAsia="Arial" w:hAnsi="Arial"/>
                <w:sz w:val="14"/>
                <w:szCs w:val="14"/>
                <w:color w:val="auto"/>
              </w:rPr>
              <w:t>Sales, repayments and non-cash exchanges</w:t>
            </w:r>
          </w:p>
        </w:tc>
        <w:tc>
          <w:tcPr>
            <w:tcW w:w="10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8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(94,703,866 )</w:t>
            </w:r>
          </w:p>
        </w:tc>
        <w:tc>
          <w:tcPr>
            <w:tcW w:w="220" w:type="dxa"/>
            <w:vAlign w:val="bottom"/>
            <w:shd w:val="clear" w:color="auto" w:fill="CCECFF"/>
          </w:tcPr>
          <w:p>
            <w:pPr>
              <w:spacing w:after="0"/>
              <w:rPr>
                <w:sz w:val="15"/>
                <w:szCs w:val="15"/>
                <w:color w:val="auto"/>
              </w:rPr>
            </w:pPr>
          </w:p>
        </w:tc>
        <w:tc>
          <w:tcPr>
            <w:tcW w:w="144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(7,886,958 )</w:t>
            </w:r>
          </w:p>
        </w:tc>
        <w:tc>
          <w:tcPr>
            <w:tcW w:w="42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(102,590,824 )</w:t>
            </w:r>
          </w:p>
        </w:tc>
        <w:tc>
          <w:tcPr>
            <w:tcW w:w="0" w:type="dxa"/>
            <w:vAlign w:val="bottom"/>
          </w:tcPr>
          <w:p>
            <w:pPr>
              <w:spacing w:after="0"/>
              <w:rPr>
                <w:sz w:val="1"/>
                <w:szCs w:val="1"/>
                <w:color w:val="auto"/>
              </w:rPr>
            </w:pPr>
          </w:p>
        </w:tc>
      </w:tr>
      <w:tr>
        <w:trPr>
          <w:trHeight w:val="176"/>
        </w:trPr>
        <w:tc>
          <w:tcPr>
            <w:tcW w:w="5120" w:type="dxa"/>
            <w:vAlign w:val="bottom"/>
          </w:tcPr>
          <w:p>
            <w:pPr>
              <w:ind w:left="380"/>
              <w:spacing w:after="0"/>
              <w:rPr>
                <w:sz w:val="20"/>
                <w:szCs w:val="20"/>
                <w:color w:val="auto"/>
              </w:rPr>
            </w:pPr>
            <w:r>
              <w:rPr>
                <w:rFonts w:ascii="Arial" w:cs="Arial" w:eastAsia="Arial" w:hAnsi="Arial"/>
                <w:sz w:val="14"/>
                <w:szCs w:val="14"/>
                <w:color w:val="auto"/>
              </w:rPr>
              <w:t>Transfers in/out of Level 3</w:t>
            </w: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Ending Balance</w:t>
            </w:r>
          </w:p>
        </w:tc>
        <w:tc>
          <w:tcPr>
            <w:tcW w:w="1220" w:type="dxa"/>
            <w:vAlign w:val="bottom"/>
            <w:tcBorders>
              <w:bottom w:val="single" w:sz="8" w:color="CCECFF"/>
            </w:tcBorders>
            <w:gridSpan w:val="2"/>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737,360,115</w:t>
            </w:r>
          </w:p>
        </w:tc>
        <w:tc>
          <w:tcPr>
            <w:tcW w:w="24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349,161,271</w:t>
            </w:r>
          </w:p>
        </w:tc>
        <w:tc>
          <w:tcPr>
            <w:tcW w:w="220" w:type="dxa"/>
            <w:vAlign w:val="bottom"/>
            <w:tcBorders>
              <w:bottom w:val="single" w:sz="8" w:color="CCECFF"/>
            </w:tcBorders>
            <w:shd w:val="clear" w:color="auto" w:fill="CCECFF"/>
          </w:tcPr>
          <w:p>
            <w:pPr>
              <w:spacing w:after="0"/>
              <w:rPr>
                <w:sz w:val="18"/>
                <w:szCs w:val="18"/>
                <w:color w:val="auto"/>
              </w:rPr>
            </w:pPr>
          </w:p>
        </w:tc>
        <w:tc>
          <w:tcPr>
            <w:tcW w:w="420" w:type="dxa"/>
            <w:vAlign w:val="bottom"/>
            <w:tcBorders>
              <w:top w:val="single" w:sz="8" w:color="auto"/>
              <w:bottom w:val="single" w:sz="8" w:color="auto"/>
            </w:tcBorders>
            <w:shd w:val="clear" w:color="auto" w:fill="CCEC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1,086,521,386</w:t>
            </w:r>
          </w:p>
        </w:tc>
        <w:tc>
          <w:tcPr>
            <w:tcW w:w="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5120" w:type="dxa"/>
            <w:vAlign w:val="bottom"/>
          </w:tcPr>
          <w:p>
            <w:pPr>
              <w:ind w:left="20"/>
              <w:spacing w:after="0" w:line="124" w:lineRule="exact"/>
              <w:rPr>
                <w:sz w:val="20"/>
                <w:szCs w:val="20"/>
                <w:color w:val="auto"/>
              </w:rPr>
            </w:pPr>
            <w:r>
              <w:rPr>
                <w:rFonts w:ascii="Arial" w:cs="Arial" w:eastAsia="Arial" w:hAnsi="Arial"/>
                <w:sz w:val="14"/>
                <w:szCs w:val="14"/>
                <w:color w:val="auto"/>
              </w:rPr>
              <w:t>Net change in unrealized depreciation reported within the net change in</w:t>
            </w: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20"/>
              <w:spacing w:after="0" w:line="149" w:lineRule="exact"/>
              <w:rPr>
                <w:sz w:val="20"/>
                <w:szCs w:val="20"/>
                <w:color w:val="auto"/>
              </w:rPr>
            </w:pPr>
            <w:r>
              <w:rPr>
                <w:rFonts w:ascii="Arial" w:cs="Arial" w:eastAsia="Arial" w:hAnsi="Arial"/>
                <w:sz w:val="14"/>
                <w:szCs w:val="14"/>
                <w:color w:val="auto"/>
                <w:w w:val="93"/>
              </w:rPr>
              <w:t>unrealized depreciation on investments in our Consolidated Statements of Operations</w:t>
            </w:r>
          </w:p>
        </w:tc>
        <w:tc>
          <w:tcPr>
            <w:tcW w:w="1460" w:type="dxa"/>
            <w:vAlign w:val="bottom"/>
            <w:gridSpan w:val="3"/>
            <w:vMerge w:val="restart"/>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25,798,887</w:t>
            </w:r>
          </w:p>
        </w:tc>
        <w:tc>
          <w:tcPr>
            <w:tcW w:w="240" w:type="dxa"/>
            <w:vAlign w:val="bottom"/>
          </w:tcPr>
          <w:p>
            <w:pPr>
              <w:spacing w:after="0"/>
              <w:rPr>
                <w:sz w:val="12"/>
                <w:szCs w:val="12"/>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65,689,444</w:t>
            </w:r>
          </w:p>
        </w:tc>
        <w:tc>
          <w:tcPr>
            <w:tcW w:w="220" w:type="dxa"/>
            <w:vAlign w:val="bottom"/>
          </w:tcPr>
          <w:p>
            <w:pPr>
              <w:spacing w:after="0"/>
              <w:rPr>
                <w:sz w:val="12"/>
                <w:szCs w:val="12"/>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91,488,331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120" w:type="dxa"/>
            <w:vAlign w:val="bottom"/>
          </w:tcPr>
          <w:p>
            <w:pPr>
              <w:ind w:left="120"/>
              <w:spacing w:after="0" w:line="121" w:lineRule="exact"/>
              <w:rPr>
                <w:sz w:val="20"/>
                <w:szCs w:val="20"/>
                <w:color w:val="auto"/>
              </w:rPr>
            </w:pPr>
            <w:r>
              <w:rPr>
                <w:rFonts w:ascii="Arial" w:cs="Arial" w:eastAsia="Arial" w:hAnsi="Arial"/>
                <w:sz w:val="13"/>
                <w:szCs w:val="13"/>
                <w:color w:val="auto"/>
              </w:rPr>
              <w:t>attributable to our Level 3 assets still held at the reporting date</w:t>
            </w:r>
          </w:p>
        </w:tc>
        <w:tc>
          <w:tcPr>
            <w:tcW w:w="1460" w:type="dxa"/>
            <w:vAlign w:val="bottom"/>
            <w:gridSpan w:val="3"/>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-1876425</wp:posOffset>
            </wp:positionV>
            <wp:extent cx="514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-1859280</wp:posOffset>
            </wp:positionV>
            <wp:extent cx="514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-1876425</wp:posOffset>
            </wp:positionV>
            <wp:extent cx="431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-1859280</wp:posOffset>
            </wp:positionV>
            <wp:extent cx="431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-1876425</wp:posOffset>
            </wp:positionV>
            <wp:extent cx="431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-1859280</wp:posOffset>
            </wp:positionV>
            <wp:extent cx="431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-325120</wp:posOffset>
            </wp:positionV>
            <wp:extent cx="514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-307975</wp:posOffset>
            </wp:positionV>
            <wp:extent cx="514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-325120</wp:posOffset>
            </wp:positionV>
            <wp:extent cx="431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-307975</wp:posOffset>
            </wp:positionV>
            <wp:extent cx="431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-325120</wp:posOffset>
            </wp:positionV>
            <wp:extent cx="431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-307975</wp:posOffset>
            </wp:positionV>
            <wp:extent cx="431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table below shows a reconciliation of the beginning and ending balances for liabilities measured at fair value using significant unobservable inputs (Level 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69"/>
        </w:trPr>
        <w:tc>
          <w:tcPr>
            <w:tcW w:w="7760" w:type="dxa"/>
            <w:vAlign w:val="bottom"/>
            <w:gridSpan w:val="3"/>
          </w:tcPr>
          <w:p>
            <w:pPr>
              <w:ind w:left="20"/>
              <w:spacing w:after="0"/>
              <w:rPr>
                <w:sz w:val="20"/>
                <w:szCs w:val="20"/>
                <w:color w:val="auto"/>
              </w:rPr>
            </w:pPr>
            <w:r>
              <w:rPr>
                <w:rFonts w:ascii="Arial" w:cs="Arial" w:eastAsia="Arial" w:hAnsi="Arial"/>
                <w:sz w:val="14"/>
                <w:szCs w:val="14"/>
                <w:b w:val="1"/>
                <w:bCs w:val="1"/>
                <w:color w:val="auto"/>
              </w:rPr>
              <w:t>Long-Term Credit Facility</w:t>
            </w:r>
          </w:p>
        </w:tc>
        <w:tc>
          <w:tcPr>
            <w:tcW w:w="3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560" w:type="dxa"/>
            <w:vAlign w:val="bottom"/>
            <w:tcBorders>
              <w:top w:val="single" w:sz="8" w:color="auto"/>
            </w:tcBorders>
            <w:gridSpan w:val="2"/>
            <w:shd w:val="clear" w:color="auto" w:fill="CCECFF"/>
          </w:tcPr>
          <w:p>
            <w:pPr>
              <w:ind w:left="20"/>
              <w:spacing w:after="0"/>
              <w:rPr>
                <w:sz w:val="20"/>
                <w:szCs w:val="20"/>
                <w:color w:val="auto"/>
              </w:rPr>
            </w:pPr>
            <w:r>
              <w:rPr>
                <w:rFonts w:ascii="Arial" w:cs="Arial" w:eastAsia="Arial" w:hAnsi="Arial"/>
                <w:sz w:val="14"/>
                <w:szCs w:val="14"/>
                <w:color w:val="auto"/>
              </w:rPr>
              <w:t>Beginning Balance (cost – $316,544,900 and $380,252,000, respectively)</w:t>
            </w:r>
          </w:p>
        </w:tc>
        <w:tc>
          <w:tcPr>
            <w:tcW w:w="20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314,813,145</w:t>
            </w:r>
          </w:p>
        </w:tc>
        <w:tc>
          <w:tcPr>
            <w:tcW w:w="26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360,701,972</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7500" w:type="dxa"/>
            <w:vAlign w:val="bottom"/>
            <w:gridSpan w:val="2"/>
          </w:tcPr>
          <w:p>
            <w:pPr>
              <w:ind w:left="120"/>
              <w:spacing w:after="0"/>
              <w:rPr>
                <w:sz w:val="20"/>
                <w:szCs w:val="20"/>
                <w:color w:val="auto"/>
              </w:rPr>
            </w:pPr>
            <w:r>
              <w:rPr>
                <w:rFonts w:ascii="Arial" w:cs="Arial" w:eastAsia="Arial" w:hAnsi="Arial"/>
                <w:sz w:val="14"/>
                <w:szCs w:val="14"/>
                <w:color w:val="auto"/>
              </w:rPr>
              <w:t>Net change in unrealized (depreciation) appreciation included in earnings</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995,805</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13,109,272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shd w:val="clear" w:color="auto" w:fill="CCECFF"/>
          </w:tcPr>
          <w:p>
            <w:pPr>
              <w:spacing w:after="0"/>
              <w:rPr>
                <w:sz w:val="15"/>
                <w:szCs w:val="15"/>
                <w:color w:val="auto"/>
              </w:rPr>
            </w:pPr>
          </w:p>
        </w:tc>
        <w:tc>
          <w:tcPr>
            <w:tcW w:w="7500" w:type="dxa"/>
            <w:vAlign w:val="bottom"/>
            <w:gridSpan w:val="2"/>
            <w:shd w:val="clear" w:color="auto" w:fill="CCECFF"/>
          </w:tcPr>
          <w:p>
            <w:pPr>
              <w:ind w:left="120"/>
              <w:spacing w:after="0" w:line="175"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19"/>
                <w:szCs w:val="19"/>
                <w:color w:val="auto"/>
                <w:vertAlign w:val="superscript"/>
              </w:rPr>
              <w:t>(1)</w:t>
            </w:r>
          </w:p>
        </w:tc>
        <w:tc>
          <w:tcPr>
            <w:tcW w:w="36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416,897,391</w:t>
            </w:r>
          </w:p>
        </w:tc>
        <w:tc>
          <w:tcPr>
            <w:tcW w:w="26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15,292,900</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7500" w:type="dxa"/>
            <w:vAlign w:val="bottom"/>
            <w:gridSpan w:val="2"/>
          </w:tcPr>
          <w:p>
            <w:pPr>
              <w:ind w:left="120"/>
              <w:spacing w:after="0" w:line="175" w:lineRule="exact"/>
              <w:rPr>
                <w:sz w:val="20"/>
                <w:szCs w:val="20"/>
                <w:color w:val="auto"/>
              </w:rPr>
            </w:pPr>
            <w:r>
              <w:rPr>
                <w:rFonts w:ascii="Arial" w:cs="Arial" w:eastAsia="Arial" w:hAnsi="Arial"/>
                <w:sz w:val="14"/>
                <w:szCs w:val="14"/>
                <w:color w:val="auto"/>
              </w:rPr>
              <w:t xml:space="preserve">Repayments </w:t>
            </w:r>
            <w:r>
              <w:rPr>
                <w:rFonts w:ascii="Arial" w:cs="Arial" w:eastAsia="Arial" w:hAnsi="Arial"/>
                <w:sz w:val="19"/>
                <w:szCs w:val="19"/>
                <w:color w:val="auto"/>
                <w:vertAlign w:val="superscript"/>
              </w:rPr>
              <w:t>(1)</w:t>
            </w:r>
          </w:p>
        </w:tc>
        <w:tc>
          <w:tcPr>
            <w:tcW w:w="360" w:type="dxa"/>
            <w:vAlign w:val="bottom"/>
          </w:tcPr>
          <w:p>
            <w:pPr>
              <w:spacing w:after="0"/>
              <w:rPr>
                <w:sz w:val="15"/>
                <w:szCs w:val="15"/>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auto"/>
              </w:rPr>
              <w:t>(288,218,391 )</w:t>
            </w:r>
          </w:p>
        </w:tc>
        <w:tc>
          <w:tcPr>
            <w:tcW w:w="3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(40,000,000 )</w:t>
            </w:r>
          </w:p>
        </w:tc>
        <w:tc>
          <w:tcPr>
            <w:tcW w:w="0" w:type="dxa"/>
            <w:vAlign w:val="bottom"/>
          </w:tcPr>
          <w:p>
            <w:pPr>
              <w:spacing w:after="0"/>
              <w:rPr>
                <w:sz w:val="1"/>
                <w:szCs w:val="1"/>
                <w:color w:val="auto"/>
              </w:rPr>
            </w:pPr>
          </w:p>
        </w:tc>
      </w:tr>
      <w:tr>
        <w:trPr>
          <w:trHeight w:val="175"/>
        </w:trPr>
        <w:tc>
          <w:tcPr>
            <w:tcW w:w="260" w:type="dxa"/>
            <w:vAlign w:val="bottom"/>
            <w:tcBorders>
              <w:bottom w:val="single" w:sz="8" w:color="auto"/>
            </w:tcBorders>
            <w:shd w:val="clear" w:color="auto" w:fill="CCECFF"/>
          </w:tcPr>
          <w:p>
            <w:pPr>
              <w:spacing w:after="0"/>
              <w:rPr>
                <w:sz w:val="15"/>
                <w:szCs w:val="15"/>
                <w:color w:val="auto"/>
              </w:rPr>
            </w:pPr>
          </w:p>
        </w:tc>
        <w:tc>
          <w:tcPr>
            <w:tcW w:w="7300" w:type="dxa"/>
            <w:vAlign w:val="bottom"/>
            <w:tcBorders>
              <w:bottom w:val="single" w:sz="8" w:color="auto"/>
            </w:tcBorders>
            <w:shd w:val="clear" w:color="auto" w:fill="CCECFF"/>
          </w:tcPr>
          <w:p>
            <w:pPr>
              <w:ind w:left="120"/>
              <w:spacing w:after="0"/>
              <w:rPr>
                <w:sz w:val="20"/>
                <w:szCs w:val="20"/>
                <w:color w:val="auto"/>
              </w:rPr>
            </w:pPr>
            <w:r>
              <w:rPr>
                <w:rFonts w:ascii="Arial" w:cs="Arial" w:eastAsia="Arial" w:hAnsi="Arial"/>
                <w:sz w:val="14"/>
                <w:szCs w:val="14"/>
                <w:color w:val="auto"/>
              </w:rPr>
              <w:t>Transfers in and/or out of Level 3</w:t>
            </w:r>
          </w:p>
        </w:tc>
        <w:tc>
          <w:tcPr>
            <w:tcW w:w="200" w:type="dxa"/>
            <w:vAlign w:val="bottom"/>
            <w:tcBorders>
              <w:bottom w:val="single" w:sz="8" w:color="CCECFF"/>
            </w:tcBorders>
            <w:shd w:val="clear" w:color="auto" w:fill="CCECFF"/>
          </w:tcPr>
          <w:p>
            <w:pPr>
              <w:spacing w:after="0"/>
              <w:rPr>
                <w:sz w:val="15"/>
                <w:szCs w:val="15"/>
                <w:color w:val="auto"/>
              </w:rPr>
            </w:pPr>
          </w:p>
        </w:tc>
        <w:tc>
          <w:tcPr>
            <w:tcW w:w="360" w:type="dxa"/>
            <w:vAlign w:val="bottom"/>
            <w:tcBorders>
              <w:bottom w:val="single" w:sz="8" w:color="auto"/>
            </w:tcBorders>
            <w:shd w:val="clear" w:color="auto" w:fill="CCECFF"/>
          </w:tcPr>
          <w:p>
            <w:pPr>
              <w:spacing w:after="0"/>
              <w:rPr>
                <w:sz w:val="15"/>
                <w:szCs w:val="15"/>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CFF"/>
            </w:tcBorders>
            <w:shd w:val="clear" w:color="auto" w:fill="CCECFF"/>
          </w:tcPr>
          <w:p>
            <w:pPr>
              <w:spacing w:after="0"/>
              <w:rPr>
                <w:sz w:val="15"/>
                <w:szCs w:val="15"/>
                <w:color w:val="auto"/>
              </w:rPr>
            </w:pPr>
          </w:p>
        </w:tc>
        <w:tc>
          <w:tcPr>
            <w:tcW w:w="360" w:type="dxa"/>
            <w:vAlign w:val="bottom"/>
            <w:tcBorders>
              <w:bottom w:val="single" w:sz="8" w:color="auto"/>
            </w:tcBorders>
            <w:shd w:val="clear" w:color="auto" w:fill="CCECFF"/>
          </w:tcPr>
          <w:p>
            <w:pPr>
              <w:spacing w:after="0"/>
              <w:rPr>
                <w:sz w:val="15"/>
                <w:szCs w:val="15"/>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60" w:type="dxa"/>
            <w:vAlign w:val="bottom"/>
            <w:gridSpan w:val="3"/>
          </w:tcPr>
          <w:p>
            <w:pPr>
              <w:ind w:left="20"/>
              <w:spacing w:after="0" w:line="155" w:lineRule="exact"/>
              <w:rPr>
                <w:sz w:val="20"/>
                <w:szCs w:val="20"/>
                <w:color w:val="auto"/>
              </w:rPr>
            </w:pPr>
            <w:r>
              <w:rPr>
                <w:rFonts w:ascii="Arial" w:cs="Arial" w:eastAsia="Arial" w:hAnsi="Arial"/>
                <w:sz w:val="14"/>
                <w:szCs w:val="14"/>
                <w:color w:val="auto"/>
              </w:rPr>
              <w:t>Ending Balance (cost – $445,223,900 and $355,544,900, respectively)</w:t>
            </w: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444,487,950</w:t>
            </w:r>
          </w:p>
        </w:tc>
        <w:tc>
          <w:tcPr>
            <w:tcW w:w="260" w:type="dxa"/>
            <w:vAlign w:val="bottom"/>
          </w:tcPr>
          <w:p>
            <w:pPr>
              <w:spacing w:after="0"/>
              <w:rPr>
                <w:sz w:val="14"/>
                <w:szCs w:val="14"/>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349,104,144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0"/>
                <w:szCs w:val="10"/>
                <w:color w:val="auto"/>
              </w:rPr>
              <w:t>(1)</w:t>
            </w:r>
          </w:p>
        </w:tc>
        <w:tc>
          <w:tcPr>
            <w:tcW w:w="7500" w:type="dxa"/>
            <w:vAlign w:val="bottom"/>
            <w:gridSpan w:val="2"/>
            <w:vMerge w:val="restart"/>
          </w:tcPr>
          <w:p>
            <w:pPr>
              <w:ind w:left="120"/>
              <w:spacing w:after="0"/>
              <w:rPr>
                <w:sz w:val="20"/>
                <w:szCs w:val="20"/>
                <w:color w:val="auto"/>
              </w:rPr>
            </w:pPr>
            <w:r>
              <w:rPr>
                <w:rFonts w:ascii="Arial" w:cs="Arial" w:eastAsia="Arial" w:hAnsi="Arial"/>
                <w:sz w:val="14"/>
                <w:szCs w:val="14"/>
                <w:color w:val="auto"/>
              </w:rPr>
              <w:t>Excludes temporary draws.</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60" w:type="dxa"/>
            <w:vAlign w:val="bottom"/>
            <w:vMerge w:val="continue"/>
          </w:tcPr>
          <w:p>
            <w:pPr>
              <w:spacing w:after="0"/>
              <w:rPr>
                <w:sz w:val="21"/>
                <w:szCs w:val="21"/>
                <w:color w:val="auto"/>
              </w:rPr>
            </w:pPr>
          </w:p>
        </w:tc>
        <w:tc>
          <w:tcPr>
            <w:tcW w:w="750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-314325</wp:posOffset>
            </wp:positionV>
            <wp:extent cx="120015"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-314325</wp:posOffset>
            </wp:positionV>
            <wp:extent cx="51435"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-314325</wp:posOffset>
            </wp:positionV>
            <wp:extent cx="43180"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2" w:lineRule="exact"/>
        <w:rPr>
          <w:sz w:val="20"/>
          <w:szCs w:val="20"/>
          <w:color w:val="auto"/>
        </w:rPr>
      </w:pPr>
    </w:p>
    <w:p>
      <w:pPr>
        <w:ind w:right="240" w:firstLine="449"/>
        <w:spacing w:after="0" w:line="273" w:lineRule="auto"/>
        <w:rPr>
          <w:sz w:val="20"/>
          <w:szCs w:val="20"/>
          <w:color w:val="auto"/>
        </w:rPr>
      </w:pPr>
      <w:r>
        <w:rPr>
          <w:rFonts w:ascii="Arial" w:cs="Arial" w:eastAsia="Arial" w:hAnsi="Arial"/>
          <w:sz w:val="14"/>
          <w:szCs w:val="14"/>
          <w:color w:val="auto"/>
        </w:rPr>
        <w:t>As of December 31, 2021, we had outstanding non-U.S. dollar borrowings on our Credit Facility. Net change in fair value on foreign currency translation on outstanding borrowings is listed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48"/>
              <w:spacing w:after="0"/>
              <w:rPr>
                <w:sz w:val="20"/>
                <w:szCs w:val="20"/>
                <w:color w:val="auto"/>
              </w:rPr>
            </w:pPr>
            <w:r>
              <w:rPr>
                <w:rFonts w:ascii="Arial" w:cs="Arial" w:eastAsia="Arial" w:hAnsi="Arial"/>
                <w:sz w:val="14"/>
                <w:szCs w:val="14"/>
                <w:b w:val="1"/>
                <w:bCs w:val="1"/>
                <w:color w:val="auto"/>
                <w:w w:val="98"/>
              </w:rPr>
              <w:t>Amount Borrowed</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68"/>
              <w:spacing w:after="0"/>
              <w:rPr>
                <w:sz w:val="20"/>
                <w:szCs w:val="20"/>
                <w:color w:val="auto"/>
              </w:rPr>
            </w:pPr>
            <w:r>
              <w:rPr>
                <w:rFonts w:ascii="Arial" w:cs="Arial" w:eastAsia="Arial" w:hAnsi="Arial"/>
                <w:sz w:val="14"/>
                <w:szCs w:val="14"/>
                <w:b w:val="1"/>
                <w:bCs w:val="1"/>
                <w:color w:val="auto"/>
              </w:rPr>
              <w:t>Current Value</w:t>
            </w:r>
          </w:p>
        </w:tc>
        <w:tc>
          <w:tcPr>
            <w:tcW w:w="2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Reset Date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93"/>
              </w:rPr>
              <w:t>Change in Fair Value</w:t>
            </w:r>
          </w:p>
        </w:tc>
      </w:tr>
      <w:tr>
        <w:trPr>
          <w:trHeight w:val="169"/>
        </w:trPr>
        <w:tc>
          <w:tcPr>
            <w:tcW w:w="192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British Pound</w:t>
            </w:r>
          </w:p>
        </w:tc>
        <w:tc>
          <w:tcPr>
            <w:tcW w:w="180" w:type="dxa"/>
            <w:vAlign w:val="bottom"/>
            <w:shd w:val="clear" w:color="auto" w:fill="CCECFF"/>
          </w:tcPr>
          <w:p>
            <w:pPr>
              <w:spacing w:after="0"/>
              <w:rPr>
                <w:sz w:val="14"/>
                <w:szCs w:val="14"/>
                <w:color w:val="auto"/>
              </w:rPr>
            </w:pPr>
          </w:p>
        </w:tc>
        <w:tc>
          <w:tcPr>
            <w:tcW w:w="160" w:type="dxa"/>
            <w:vAlign w:val="bottom"/>
            <w:tcBorders>
              <w:top w:val="single" w:sz="8" w:color="auto"/>
            </w:tcBorders>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31,000,000</w:t>
            </w:r>
          </w:p>
        </w:tc>
        <w:tc>
          <w:tcPr>
            <w:tcW w:w="30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42,723,900</w:t>
            </w:r>
          </w:p>
        </w:tc>
        <w:tc>
          <w:tcPr>
            <w:tcW w:w="28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41,987,950</w:t>
            </w:r>
          </w:p>
        </w:tc>
        <w:tc>
          <w:tcPr>
            <w:tcW w:w="280" w:type="dxa"/>
            <w:vAlign w:val="bottom"/>
            <w:shd w:val="clear" w:color="auto" w:fill="CCECFF"/>
          </w:tcPr>
          <w:p>
            <w:pPr>
              <w:spacing w:after="0"/>
              <w:rPr>
                <w:sz w:val="14"/>
                <w:szCs w:val="14"/>
                <w:color w:val="auto"/>
              </w:rPr>
            </w:pPr>
          </w:p>
        </w:tc>
        <w:tc>
          <w:tcPr>
            <w:tcW w:w="168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4"/>
                <w:szCs w:val="14"/>
                <w:color w:val="auto"/>
                <w:w w:val="94"/>
              </w:rPr>
              <w:t>March 18, 2022</w:t>
            </w:r>
          </w:p>
        </w:tc>
        <w:tc>
          <w:tcPr>
            <w:tcW w:w="16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(735,950</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4"/>
              </w:rPr>
              <w:t>)</w:t>
            </w:r>
          </w:p>
        </w:tc>
      </w:tr>
    </w:tbl>
    <w:p>
      <w:pPr>
        <w:spacing w:after="0" w:line="143" w:lineRule="exact"/>
        <w:rPr>
          <w:sz w:val="20"/>
          <w:szCs w:val="20"/>
          <w:color w:val="auto"/>
        </w:rPr>
      </w:pPr>
    </w:p>
    <w:p>
      <w:pPr>
        <w:ind w:right="660" w:firstLine="449"/>
        <w:spacing w:after="0" w:line="273" w:lineRule="auto"/>
        <w:rPr>
          <w:sz w:val="20"/>
          <w:szCs w:val="20"/>
          <w:color w:val="auto"/>
        </w:rPr>
      </w:pPr>
      <w:r>
        <w:rPr>
          <w:rFonts w:ascii="Arial" w:cs="Arial" w:eastAsia="Arial" w:hAnsi="Arial"/>
          <w:sz w:val="14"/>
          <w:szCs w:val="14"/>
          <w:color w:val="auto"/>
        </w:rPr>
        <w:t>As of September 30, 2021, we had outstanding non-U.S. dollar borrowings on our Truist Credit Facility. Net change in fair value on foreign currency translation on outstanding borrowings is listed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00" w:type="dxa"/>
            <w:vAlign w:val="bottom"/>
          </w:tcPr>
          <w:p>
            <w:pPr>
              <w:ind w:left="20"/>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Amount Borrowed</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268"/>
              <w:spacing w:after="0"/>
              <w:rPr>
                <w:sz w:val="20"/>
                <w:szCs w:val="20"/>
                <w:color w:val="auto"/>
              </w:rPr>
            </w:pPr>
            <w:r>
              <w:rPr>
                <w:rFonts w:ascii="Arial" w:cs="Arial" w:eastAsia="Arial" w:hAnsi="Arial"/>
                <w:sz w:val="14"/>
                <w:szCs w:val="14"/>
                <w:b w:val="1"/>
                <w:bCs w:val="1"/>
                <w:color w:val="auto"/>
              </w:rPr>
              <w:t>Borrowing Cost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308"/>
              <w:spacing w:after="0"/>
              <w:rPr>
                <w:sz w:val="20"/>
                <w:szCs w:val="20"/>
                <w:color w:val="auto"/>
              </w:rPr>
            </w:pPr>
            <w:r>
              <w:rPr>
                <w:rFonts w:ascii="Arial" w:cs="Arial" w:eastAsia="Arial" w:hAnsi="Arial"/>
                <w:sz w:val="14"/>
                <w:szCs w:val="14"/>
                <w:b w:val="1"/>
                <w:bCs w:val="1"/>
                <w:color w:val="auto"/>
              </w:rPr>
              <w:t>Current Value</w:t>
            </w:r>
          </w:p>
        </w:tc>
        <w:tc>
          <w:tcPr>
            <w:tcW w:w="2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8"/>
              </w:rPr>
              <w:t>Reset Date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95"/>
              </w:rPr>
              <w:t>Change in Fair Value</w:t>
            </w:r>
          </w:p>
        </w:tc>
      </w:tr>
      <w:tr>
        <w:trPr>
          <w:trHeight w:val="169"/>
        </w:trPr>
        <w:tc>
          <w:tcPr>
            <w:tcW w:w="190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British Pound</w:t>
            </w:r>
          </w:p>
        </w:tc>
        <w:tc>
          <w:tcPr>
            <w:tcW w:w="180" w:type="dxa"/>
            <w:vAlign w:val="bottom"/>
            <w:shd w:val="clear" w:color="auto" w:fill="CCECFF"/>
          </w:tcPr>
          <w:p>
            <w:pPr>
              <w:spacing w:after="0"/>
              <w:rPr>
                <w:sz w:val="14"/>
                <w:szCs w:val="14"/>
                <w:color w:val="auto"/>
              </w:rPr>
            </w:pPr>
          </w:p>
        </w:tc>
        <w:tc>
          <w:tcPr>
            <w:tcW w:w="180" w:type="dxa"/>
            <w:vAlign w:val="bottom"/>
            <w:tcBorders>
              <w:top w:val="single" w:sz="8" w:color="auto"/>
            </w:tcBorders>
            <w:shd w:val="clear" w:color="auto" w:fill="CCEC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29,000,000</w:t>
            </w:r>
          </w:p>
        </w:tc>
        <w:tc>
          <w:tcPr>
            <w:tcW w:w="24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40,044,900</w:t>
            </w:r>
          </w:p>
        </w:tc>
        <w:tc>
          <w:tcPr>
            <w:tcW w:w="24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39,102,150</w:t>
            </w:r>
          </w:p>
        </w:tc>
        <w:tc>
          <w:tcPr>
            <w:tcW w:w="200" w:type="dxa"/>
            <w:vAlign w:val="bottom"/>
            <w:shd w:val="clear" w:color="auto" w:fill="CCECFF"/>
          </w:tcPr>
          <w:p>
            <w:pPr>
              <w:spacing w:after="0"/>
              <w:rPr>
                <w:sz w:val="14"/>
                <w:szCs w:val="14"/>
                <w:color w:val="auto"/>
              </w:rPr>
            </w:pPr>
          </w:p>
        </w:tc>
        <w:tc>
          <w:tcPr>
            <w:tcW w:w="168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4"/>
                <w:szCs w:val="14"/>
                <w:color w:val="auto"/>
                <w:w w:val="91"/>
              </w:rPr>
              <w:t>December 17, 2021</w:t>
            </w:r>
          </w:p>
        </w:tc>
        <w:tc>
          <w:tcPr>
            <w:tcW w:w="16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(942,750</w:t>
            </w:r>
          </w:p>
        </w:tc>
        <w:tc>
          <w:tcPr>
            <w:tcW w:w="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4"/>
              </w:rPr>
              <w:t>)</w:t>
            </w:r>
          </w:p>
        </w:tc>
      </w:tr>
    </w:tbl>
    <w:p>
      <w:pPr>
        <w:spacing w:after="0" w:line="143" w:lineRule="exact"/>
        <w:rPr>
          <w:sz w:val="20"/>
          <w:szCs w:val="20"/>
          <w:color w:val="auto"/>
        </w:rPr>
      </w:pPr>
    </w:p>
    <w:p>
      <w:pPr>
        <w:ind w:right="20" w:firstLine="449"/>
        <w:spacing w:after="0" w:line="267" w:lineRule="auto"/>
        <w:rPr>
          <w:sz w:val="20"/>
          <w:szCs w:val="20"/>
          <w:color w:val="auto"/>
        </w:rPr>
      </w:pPr>
      <w:r>
        <w:rPr>
          <w:rFonts w:ascii="Arial" w:cs="Arial" w:eastAsia="Arial" w:hAnsi="Arial"/>
          <w:sz w:val="13"/>
          <w:szCs w:val="13"/>
          <w:color w:val="auto"/>
        </w:rPr>
        <w:t>Generally, 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Facilities. We elected to use the fair value option for the Credit Facilities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Facilities during the three months ended December 31, 2021 and 2020.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us to display the fair value of the selected assets and liabilities on the face of the Consolidated Statements of Assets and Liabilities and changes in fair value of the Credit Facilities are reported in our Consolidated Statements of Operations. We did not elect to apply ASC 825-10 to any other financial assets or liabilities, including the 2024 Notes, the 2026 Notes, 2026 Notes-2, and the SBA debentures.</w:t>
      </w:r>
    </w:p>
    <w:p>
      <w:pPr>
        <w:spacing w:after="0" w:line="128" w:lineRule="exact"/>
        <w:rPr>
          <w:sz w:val="20"/>
          <w:szCs w:val="20"/>
          <w:color w:val="auto"/>
        </w:rPr>
      </w:pPr>
    </w:p>
    <w:p>
      <w:pPr>
        <w:jc w:val="both"/>
        <w:ind w:right="60" w:firstLine="449"/>
        <w:spacing w:after="0" w:line="286" w:lineRule="auto"/>
        <w:rPr>
          <w:sz w:val="20"/>
          <w:szCs w:val="20"/>
          <w:color w:val="auto"/>
        </w:rPr>
      </w:pPr>
      <w:r>
        <w:rPr>
          <w:rFonts w:ascii="Arial" w:cs="Arial" w:eastAsia="Arial" w:hAnsi="Arial"/>
          <w:sz w:val="13"/>
          <w:szCs w:val="13"/>
          <w:color w:val="auto"/>
        </w:rPr>
        <w:t>For the three months ended December 31, 2021 and 2020, the Credit Facility had a net change in unrealized appreciation of $1.0 million and $13.1 million, respectively. As of December 31, 2021 and September 30, 2021, the net unrealized depreciation on the Credit Facility totaled $0.7 million and $1.7 million, respectively. We use a nationally recognized independent valuation service to measure the fair value of our Credit Facilities in a manner consistent with the valuation process that our board of directors uses to value our investments.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ind w:left="328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(Unaudited)</w:t>
      </w: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67" w:lineRule="exact"/>
        <w:rPr>
          <w:sz w:val="20"/>
          <w:szCs w:val="20"/>
          <w:color w:val="auto"/>
        </w:rPr>
      </w:pPr>
    </w:p>
    <w:p>
      <w:pPr>
        <w:ind w:right="420" w:firstLine="449"/>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three months ended December 31, 2021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Fair Value at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Gross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3"/>
                <w:szCs w:val="13"/>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6"/>
              </w:rPr>
              <w:t>Net Change in</w:t>
            </w:r>
          </w:p>
        </w:tc>
        <w:tc>
          <w:tcPr>
            <w:tcW w:w="80" w:type="dxa"/>
            <w:vAlign w:val="bottom"/>
          </w:tcPr>
          <w:p>
            <w:pPr>
              <w:spacing w:after="0"/>
              <w:rPr>
                <w:sz w:val="13"/>
                <w:szCs w:val="13"/>
                <w:color w:val="auto"/>
              </w:rPr>
            </w:pPr>
          </w:p>
        </w:tc>
        <w:tc>
          <w:tcPr>
            <w:tcW w:w="820" w:type="dxa"/>
            <w:vAlign w:val="bottom"/>
          </w:tcPr>
          <w:p>
            <w:pPr>
              <w:jc w:val="center"/>
              <w:ind w:right="17"/>
              <w:spacing w:after="0"/>
              <w:rPr>
                <w:sz w:val="20"/>
                <w:szCs w:val="20"/>
                <w:color w:val="auto"/>
              </w:rPr>
            </w:pPr>
            <w:r>
              <w:rPr>
                <w:rFonts w:ascii="Arial" w:cs="Arial" w:eastAsia="Arial" w:hAnsi="Arial"/>
                <w:sz w:val="13"/>
                <w:szCs w:val="13"/>
                <w:b w:val="1"/>
                <w:bCs w:val="1"/>
                <w:color w:val="auto"/>
                <w:w w:val="90"/>
              </w:rPr>
              <w:t>Fair Value at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3"/>
              </w:rPr>
              <w:t>Interest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PIK</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7"/>
              </w:rPr>
              <w:t>Dividend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77"/>
              <w:spacing w:after="0"/>
              <w:rPr>
                <w:sz w:val="20"/>
                <w:szCs w:val="20"/>
                <w:color w:val="auto"/>
              </w:rPr>
            </w:pPr>
            <w:r>
              <w:rPr>
                <w:rFonts w:ascii="Arial" w:cs="Arial" w:eastAsia="Arial" w:hAnsi="Arial"/>
                <w:sz w:val="13"/>
                <w:szCs w:val="13"/>
                <w:b w:val="1"/>
                <w:bCs w:val="1"/>
                <w:color w:val="auto"/>
                <w:w w:val="87"/>
              </w:rPr>
              <w:t>Net Realized</w:t>
            </w:r>
          </w:p>
        </w:tc>
        <w:tc>
          <w:tcPr>
            <w:tcW w:w="0" w:type="dxa"/>
            <w:vAlign w:val="bottom"/>
          </w:tcPr>
          <w:p>
            <w:pPr>
              <w:spacing w:after="0"/>
              <w:rPr>
                <w:sz w:val="1"/>
                <w:szCs w:val="1"/>
                <w:color w:val="auto"/>
              </w:rPr>
            </w:pPr>
          </w:p>
        </w:tc>
      </w:tr>
      <w:tr>
        <w:trPr>
          <w:trHeight w:val="121"/>
        </w:trPr>
        <w:tc>
          <w:tcPr>
            <w:tcW w:w="19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 of Investment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280"/>
              <w:spacing w:after="0" w:line="122" w:lineRule="exact"/>
              <w:rPr>
                <w:sz w:val="20"/>
                <w:szCs w:val="20"/>
                <w:color w:val="auto"/>
              </w:rPr>
            </w:pPr>
            <w:r>
              <w:rPr>
                <w:rFonts w:ascii="Arial" w:cs="Arial" w:eastAsia="Arial" w:hAnsi="Arial"/>
                <w:sz w:val="13"/>
                <w:szCs w:val="13"/>
                <w:b w:val="1"/>
                <w:bCs w:val="1"/>
                <w:color w:val="auto"/>
                <w:w w:val="87"/>
              </w:rPr>
              <w:t>Appreciation /</w:t>
            </w:r>
          </w:p>
        </w:tc>
        <w:tc>
          <w:tcPr>
            <w:tcW w:w="9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7"/>
              </w:rPr>
              <w:t>December 31,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88"/>
              </w:rPr>
              <w:t>Gains</w:t>
            </w:r>
          </w:p>
        </w:tc>
        <w:tc>
          <w:tcPr>
            <w:tcW w:w="0" w:type="dxa"/>
            <w:vAlign w:val="bottom"/>
          </w:tcPr>
          <w:p>
            <w:pPr>
              <w:spacing w:after="0"/>
              <w:rPr>
                <w:sz w:val="1"/>
                <w:szCs w:val="1"/>
                <w:color w:val="auto"/>
              </w:rPr>
            </w:pPr>
          </w:p>
        </w:tc>
      </w:tr>
      <w:tr>
        <w:trPr>
          <w:trHeight w:val="162"/>
        </w:trPr>
        <w:tc>
          <w:tcPr>
            <w:tcW w:w="1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b w:val="1"/>
                <w:bCs w:val="1"/>
                <w:color w:val="auto"/>
                <w:w w:val="85"/>
              </w:rPr>
              <w:t>September 30, 2021</w:t>
            </w:r>
          </w:p>
        </w:tc>
        <w:tc>
          <w:tcPr>
            <w:tcW w:w="220" w:type="dxa"/>
            <w:vAlign w:val="bottom"/>
          </w:tcPr>
          <w:p>
            <w:pPr>
              <w:spacing w:after="0"/>
              <w:rPr>
                <w:sz w:val="14"/>
                <w:szCs w:val="14"/>
                <w:color w:val="auto"/>
              </w:rPr>
            </w:pPr>
          </w:p>
        </w:tc>
        <w:tc>
          <w:tcPr>
            <w:tcW w:w="740" w:type="dxa"/>
            <w:vAlign w:val="bottom"/>
            <w:gridSpan w:val="2"/>
          </w:tcPr>
          <w:p>
            <w:pPr>
              <w:jc w:val="right"/>
              <w:spacing w:after="0" w:line="162" w:lineRule="exact"/>
              <w:rPr>
                <w:sz w:val="20"/>
                <w:szCs w:val="20"/>
                <w:color w:val="auto"/>
              </w:rPr>
            </w:pPr>
            <w:r>
              <w:rPr>
                <w:rFonts w:ascii="Arial" w:cs="Arial" w:eastAsia="Arial" w:hAnsi="Arial"/>
                <w:sz w:val="13"/>
                <w:szCs w:val="13"/>
                <w:b w:val="1"/>
                <w:bCs w:val="1"/>
                <w:color w:val="auto"/>
                <w:w w:val="90"/>
              </w:rPr>
              <w:t>Additions</w:t>
            </w:r>
            <w:r>
              <w:rPr>
                <w:rFonts w:ascii="Arial" w:cs="Arial" w:eastAsia="Arial" w:hAnsi="Arial"/>
                <w:sz w:val="16"/>
                <w:szCs w:val="16"/>
                <w:b w:val="1"/>
                <w:bCs w:val="1"/>
                <w:color w:val="auto"/>
                <w:w w:val="90"/>
                <w:vertAlign w:val="superscript"/>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84"/>
              </w:rPr>
              <w:t>Reductions</w:t>
            </w:r>
          </w:p>
        </w:tc>
        <w:tc>
          <w:tcPr>
            <w:tcW w:w="10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6"/>
              </w:rPr>
              <w:t>(Depreciation)</w:t>
            </w:r>
          </w:p>
        </w:tc>
        <w:tc>
          <w:tcPr>
            <w:tcW w:w="80" w:type="dxa"/>
            <w:vAlign w:val="bottom"/>
          </w:tcPr>
          <w:p>
            <w:pPr>
              <w:spacing w:after="0"/>
              <w:rPr>
                <w:sz w:val="14"/>
                <w:szCs w:val="14"/>
                <w:color w:val="auto"/>
              </w:rPr>
            </w:pPr>
          </w:p>
        </w:tc>
        <w:tc>
          <w:tcPr>
            <w:tcW w:w="82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2021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97"/>
              <w:spacing w:after="0"/>
              <w:rPr>
                <w:sz w:val="20"/>
                <w:szCs w:val="20"/>
                <w:color w:val="auto"/>
              </w:rPr>
            </w:pPr>
            <w:r>
              <w:rPr>
                <w:rFonts w:ascii="Arial" w:cs="Arial" w:eastAsia="Arial" w:hAnsi="Arial"/>
                <w:sz w:val="13"/>
                <w:szCs w:val="13"/>
                <w:b w:val="1"/>
                <w:bCs w:val="1"/>
                <w:color w:val="auto"/>
                <w:w w:val="92"/>
              </w:rPr>
              <w:t>Income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97"/>
              <w:spacing w:after="0"/>
              <w:rPr>
                <w:sz w:val="20"/>
                <w:szCs w:val="20"/>
                <w:color w:val="auto"/>
              </w:rPr>
            </w:pPr>
            <w:r>
              <w:rPr>
                <w:rFonts w:ascii="Arial" w:cs="Arial" w:eastAsia="Arial" w:hAnsi="Arial"/>
                <w:sz w:val="13"/>
                <w:szCs w:val="13"/>
                <w:b w:val="1"/>
                <w:bCs w:val="1"/>
                <w:color w:val="auto"/>
                <w:w w:val="92"/>
              </w:rPr>
              <w:t>Income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97"/>
              <w:spacing w:after="0"/>
              <w:rPr>
                <w:sz w:val="20"/>
                <w:szCs w:val="20"/>
                <w:color w:val="auto"/>
              </w:rPr>
            </w:pPr>
            <w:r>
              <w:rPr>
                <w:rFonts w:ascii="Arial" w:cs="Arial" w:eastAsia="Arial" w:hAnsi="Arial"/>
                <w:sz w:val="13"/>
                <w:szCs w:val="13"/>
                <w:b w:val="1"/>
                <w:bCs w:val="1"/>
                <w:color w:val="auto"/>
                <w:w w:val="96"/>
              </w:rPr>
              <w:t>Income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77"/>
              <w:spacing w:after="0"/>
              <w:rPr>
                <w:sz w:val="20"/>
                <w:szCs w:val="20"/>
                <w:color w:val="auto"/>
              </w:rPr>
            </w:pPr>
            <w:r>
              <w:rPr>
                <w:rFonts w:ascii="Arial" w:cs="Arial" w:eastAsia="Arial" w:hAnsi="Arial"/>
                <w:sz w:val="13"/>
                <w:szCs w:val="13"/>
                <w:b w:val="1"/>
                <w:bCs w:val="1"/>
                <w:color w:val="auto"/>
                <w:w w:val="82"/>
              </w:rPr>
              <w:t>(Losses)</w:t>
            </w:r>
          </w:p>
        </w:tc>
        <w:tc>
          <w:tcPr>
            <w:tcW w:w="0" w:type="dxa"/>
            <w:vAlign w:val="bottom"/>
          </w:tcPr>
          <w:p>
            <w:pPr>
              <w:spacing w:after="0"/>
              <w:rPr>
                <w:sz w:val="1"/>
                <w:szCs w:val="1"/>
                <w:color w:val="auto"/>
              </w:rPr>
            </w:pPr>
          </w:p>
        </w:tc>
      </w:tr>
      <w:tr>
        <w:trPr>
          <w:trHeight w:val="142"/>
        </w:trPr>
        <w:tc>
          <w:tcPr>
            <w:tcW w:w="1960" w:type="dxa"/>
            <w:vAlign w:val="bottom"/>
            <w:tcBorders>
              <w:top w:val="single" w:sz="8" w:color="auto"/>
            </w:tcBorders>
            <w:shd w:val="clear" w:color="auto" w:fill="CCECFF"/>
          </w:tcPr>
          <w:p>
            <w:pPr>
              <w:ind w:left="20"/>
              <w:spacing w:after="0" w:line="142" w:lineRule="exact"/>
              <w:rPr>
                <w:sz w:val="20"/>
                <w:szCs w:val="20"/>
                <w:color w:val="auto"/>
              </w:rPr>
            </w:pPr>
            <w:r>
              <w:rPr>
                <w:rFonts w:ascii="Arial" w:cs="Arial" w:eastAsia="Arial" w:hAnsi="Arial"/>
                <w:sz w:val="13"/>
                <w:szCs w:val="13"/>
                <w:b w:val="1"/>
                <w:bCs w:val="1"/>
                <w:color w:val="auto"/>
              </w:rPr>
              <w:t>Controlled Affiliates</w:t>
            </w:r>
          </w:p>
        </w:tc>
        <w:tc>
          <w:tcPr>
            <w:tcW w:w="120" w:type="dxa"/>
            <w:vAlign w:val="bottom"/>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1160" w:type="dxa"/>
            <w:vAlign w:val="bottom"/>
            <w:tcBorders>
              <w:top w:val="single" w:sz="8" w:color="auto"/>
            </w:tcBorders>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760" w:type="dxa"/>
            <w:vAlign w:val="bottom"/>
            <w:tcBorders>
              <w:top w:val="single" w:sz="8" w:color="auto"/>
            </w:tcBorders>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880" w:type="dxa"/>
            <w:vAlign w:val="bottom"/>
            <w:tcBorders>
              <w:top w:val="single" w:sz="8" w:color="auto"/>
            </w:tcBorders>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820" w:type="dxa"/>
            <w:vAlign w:val="bottom"/>
            <w:tcBorders>
              <w:top w:val="single" w:sz="8" w:color="auto"/>
            </w:tcBorders>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600" w:type="dxa"/>
            <w:vAlign w:val="bottom"/>
            <w:tcBorders>
              <w:top w:val="single" w:sz="8" w:color="auto"/>
            </w:tcBorders>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600" w:type="dxa"/>
            <w:vAlign w:val="bottom"/>
            <w:tcBorders>
              <w:top w:val="single" w:sz="8" w:color="auto"/>
            </w:tcBorders>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820" w:type="dxa"/>
            <w:vAlign w:val="bottom"/>
            <w:tcBorders>
              <w:top w:val="single" w:sz="8" w:color="auto"/>
              <w:right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rPr>
                <w:sz w:val="20"/>
                <w:szCs w:val="20"/>
                <w:color w:val="auto"/>
              </w:rPr>
            </w:pPr>
            <w:r>
              <w:rPr>
                <w:rFonts w:ascii="Arial" w:cs="Arial" w:eastAsia="Arial" w:hAnsi="Arial"/>
                <w:sz w:val="13"/>
                <w:szCs w:val="13"/>
                <w:color w:val="auto"/>
              </w:rPr>
              <w:t>AKW Holdings Limited</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41,378,951</w:t>
            </w:r>
          </w:p>
        </w:tc>
        <w:tc>
          <w:tcPr>
            <w:tcW w:w="340" w:type="dxa"/>
            <w:vAlign w:val="bottom"/>
            <w:gridSpan w:val="2"/>
          </w:tcPr>
          <w:p>
            <w:pPr>
              <w:jc w:val="right"/>
              <w:ind w:right="5"/>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3,340,475</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(22,575 )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44,696,850</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791,252</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960" w:type="dxa"/>
            <w:vAlign w:val="bottom"/>
            <w:shd w:val="clear" w:color="auto" w:fill="CCECFF"/>
          </w:tcPr>
          <w:p>
            <w:pPr>
              <w:ind w:left="20"/>
              <w:spacing w:after="0"/>
              <w:rPr>
                <w:sz w:val="20"/>
                <w:szCs w:val="20"/>
                <w:color w:val="auto"/>
              </w:rPr>
            </w:pPr>
            <w:r>
              <w:rPr>
                <w:rFonts w:ascii="Arial" w:cs="Arial" w:eastAsia="Arial" w:hAnsi="Arial"/>
                <w:sz w:val="13"/>
                <w:szCs w:val="13"/>
                <w:color w:val="auto"/>
              </w:rPr>
              <w:t>Mailsouth Inc.</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22,100,296</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419,178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(11,013,353 )</w:t>
            </w:r>
          </w:p>
        </w:tc>
        <w:tc>
          <w:tcPr>
            <w:tcW w:w="80" w:type="dxa"/>
            <w:vAlign w:val="bottom"/>
            <w:shd w:val="clear" w:color="auto" w:fill="CCECFF"/>
          </w:tcPr>
          <w:p>
            <w:pPr>
              <w:spacing w:after="0"/>
              <w:rPr>
                <w:sz w:val="12"/>
                <w:szCs w:val="12"/>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11,506,121</w:t>
            </w:r>
          </w:p>
        </w:tc>
        <w:tc>
          <w:tcPr>
            <w:tcW w:w="1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435,026</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8" w:lineRule="exact"/>
              <w:rPr>
                <w:sz w:val="20"/>
                <w:szCs w:val="20"/>
                <w:color w:val="auto"/>
              </w:rPr>
            </w:pPr>
            <w:r>
              <w:rPr>
                <w:rFonts w:ascii="Arial" w:cs="Arial" w:eastAsia="Arial" w:hAnsi="Arial"/>
                <w:sz w:val="12"/>
                <w:szCs w:val="12"/>
                <w:color w:val="auto"/>
                <w:w w:val="97"/>
              </w:rPr>
              <w:t>PennantPark Senior Loan Fund, LLC</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105,314,196</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439,317</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105,753,513</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w w:val="96"/>
              </w:rPr>
              <w:t>1,475,555</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1,815,000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960" w:type="dxa"/>
            <w:vAlign w:val="bottom"/>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60" w:type="dxa"/>
            <w:vAlign w:val="bottom"/>
            <w:shd w:val="clear" w:color="auto" w:fill="CCECFF"/>
          </w:tcPr>
          <w:p>
            <w:pPr>
              <w:ind w:left="20"/>
              <w:spacing w:after="0"/>
              <w:rPr>
                <w:sz w:val="20"/>
                <w:szCs w:val="20"/>
                <w:color w:val="auto"/>
              </w:rPr>
            </w:pPr>
            <w:r>
              <w:rPr>
                <w:rFonts w:ascii="Arial" w:cs="Arial" w:eastAsia="Arial" w:hAnsi="Arial"/>
                <w:sz w:val="13"/>
                <w:szCs w:val="13"/>
                <w:color w:val="auto"/>
              </w:rPr>
              <w:t>PT Networks, LLC</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134,124,626</w:t>
            </w: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9,916,766</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79,983,842</w:t>
            </w:r>
          </w:p>
        </w:tc>
        <w:tc>
          <w:tcPr>
            <w:tcW w:w="1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224,025,233</w:t>
            </w:r>
          </w:p>
        </w:tc>
        <w:tc>
          <w:tcPr>
            <w:tcW w:w="1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w w:val="96"/>
              </w:rPr>
              <w:t>1,691,283</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2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rPr>
                <w:sz w:val="20"/>
                <w:szCs w:val="20"/>
                <w:color w:val="auto"/>
              </w:rPr>
            </w:pPr>
            <w:r>
              <w:rPr>
                <w:rFonts w:ascii="Arial" w:cs="Arial" w:eastAsia="Arial" w:hAnsi="Arial"/>
                <w:sz w:val="13"/>
                <w:szCs w:val="13"/>
                <w:color w:val="auto"/>
              </w:rPr>
              <w:t>RAM Energy LLC</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81,710,262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(5,249,443 )</w:t>
            </w: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76,460,819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1960" w:type="dxa"/>
            <w:vAlign w:val="bottom"/>
            <w:tcBorders>
              <w:bottom w:val="single" w:sz="8" w:color="CCECFF"/>
            </w:tcBorders>
            <w:shd w:val="clear" w:color="auto" w:fill="CCECFF"/>
          </w:tcPr>
          <w:p>
            <w:pPr>
              <w:ind w:left="120"/>
              <w:spacing w:after="0" w:line="142" w:lineRule="exact"/>
              <w:rPr>
                <w:sz w:val="20"/>
                <w:szCs w:val="20"/>
                <w:color w:val="auto"/>
              </w:rPr>
            </w:pPr>
            <w:r>
              <w:rPr>
                <w:rFonts w:ascii="Arial" w:cs="Arial" w:eastAsia="Arial" w:hAnsi="Arial"/>
                <w:sz w:val="13"/>
                <w:szCs w:val="13"/>
                <w:color w:val="auto"/>
              </w:rPr>
              <w:t>Total Controlled Affiliates</w:t>
            </w:r>
          </w:p>
        </w:tc>
        <w:tc>
          <w:tcPr>
            <w:tcW w:w="12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rPr>
              <w:t>384,628,332</w:t>
            </w:r>
          </w:p>
        </w:tc>
        <w:tc>
          <w:tcPr>
            <w:tcW w:w="2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top w:val="single" w:sz="8" w:color="auto"/>
              <w:bottom w:val="single" w:sz="8" w:color="auto"/>
            </w:tcBorders>
            <w:shd w:val="clear" w:color="auto" w:fill="CCECFF"/>
          </w:tcPr>
          <w:p>
            <w:pPr>
              <w:jc w:val="right"/>
              <w:ind w:right="5"/>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w w:val="92"/>
              </w:rPr>
              <w:t>13,676,418</w:t>
            </w: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rPr>
              <w:t>64,137,787</w:t>
            </w:r>
          </w:p>
        </w:tc>
        <w:tc>
          <w:tcPr>
            <w:tcW w:w="18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rPr>
              <w:t>462,442,537</w:t>
            </w:r>
          </w:p>
        </w:tc>
        <w:tc>
          <w:tcPr>
            <w:tcW w:w="1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w w:val="96"/>
              </w:rPr>
              <w:t>2,266,807</w:t>
            </w:r>
          </w:p>
        </w:tc>
        <w:tc>
          <w:tcPr>
            <w:tcW w:w="1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w w:val="96"/>
              </w:rPr>
              <w:t>2,126,309</w:t>
            </w:r>
          </w:p>
        </w:tc>
        <w:tc>
          <w:tcPr>
            <w:tcW w:w="16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rPr>
              <w:t>1,815,000</w:t>
            </w:r>
          </w:p>
        </w:tc>
        <w:tc>
          <w:tcPr>
            <w:tcW w:w="16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right w:val="single" w:sz="8" w:color="CCECFF"/>
            </w:tcBorders>
            <w:shd w:val="clear" w:color="auto" w:fill="CCECFF"/>
          </w:tcPr>
          <w:p>
            <w:pPr>
              <w:jc w:val="right"/>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196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Non-Controlled Affiliates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CECFF"/>
          </w:tcPr>
          <w:p>
            <w:pPr>
              <w:ind w:left="20"/>
              <w:spacing w:after="0"/>
              <w:rPr>
                <w:sz w:val="20"/>
                <w:szCs w:val="20"/>
                <w:color w:val="auto"/>
              </w:rPr>
            </w:pPr>
            <w:r>
              <w:rPr>
                <w:rFonts w:ascii="Arial" w:cs="Arial" w:eastAsia="Arial" w:hAnsi="Arial"/>
                <w:sz w:val="13"/>
                <w:szCs w:val="13"/>
                <w:color w:val="auto"/>
              </w:rPr>
              <w:t>ETX Energy, LLC</w:t>
            </w:r>
          </w:p>
        </w:tc>
        <w:tc>
          <w:tcPr>
            <w:tcW w:w="20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CFF"/>
          </w:tcPr>
          <w:p>
            <w:pPr>
              <w:jc w:val="right"/>
              <w:ind w:right="5"/>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3"/>
                <w:szCs w:val="13"/>
                <w:color w:val="auto"/>
              </w:rPr>
              <w:t>(31,273,596 )</w:t>
            </w:r>
          </w:p>
        </w:tc>
        <w:tc>
          <w:tcPr>
            <w:tcW w:w="100" w:type="dxa"/>
            <w:vAlign w:val="bottom"/>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31,273,596</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3"/>
                <w:szCs w:val="13"/>
                <w:color w:val="auto"/>
              </w:rPr>
              <w:t>(31,273,597 )</w:t>
            </w: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8" w:lineRule="exact"/>
              <w:rPr>
                <w:sz w:val="20"/>
                <w:szCs w:val="20"/>
                <w:color w:val="auto"/>
              </w:rPr>
            </w:pPr>
            <w:r>
              <w:rPr>
                <w:rFonts w:ascii="Arial" w:cs="Arial" w:eastAsia="Arial" w:hAnsi="Arial"/>
                <w:sz w:val="12"/>
                <w:szCs w:val="12"/>
                <w:color w:val="auto"/>
              </w:rPr>
              <w:t>MidOcean JF Holdings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50,161,391</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960,392</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51,121,783</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960" w:type="dxa"/>
            <w:vAlign w:val="bottom"/>
          </w:tcPr>
          <w:p>
            <w:pPr>
              <w:ind w:left="120"/>
              <w:spacing w:after="0"/>
              <w:rPr>
                <w:sz w:val="20"/>
                <w:szCs w:val="20"/>
                <w:color w:val="auto"/>
              </w:rPr>
            </w:pPr>
            <w:r>
              <w:rPr>
                <w:rFonts w:ascii="Arial" w:cs="Arial" w:eastAsia="Arial" w:hAnsi="Arial"/>
                <w:sz w:val="13"/>
                <w:szCs w:val="13"/>
                <w:color w:val="auto"/>
              </w:rPr>
              <w:t>Corp.</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960" w:type="dxa"/>
            <w:vAlign w:val="bottom"/>
            <w:shd w:val="clear" w:color="auto" w:fill="CCECFF"/>
          </w:tcPr>
          <w:p>
            <w:pPr>
              <w:ind w:left="140"/>
              <w:spacing w:after="0" w:line="102" w:lineRule="exact"/>
              <w:rPr>
                <w:sz w:val="20"/>
                <w:szCs w:val="20"/>
                <w:color w:val="auto"/>
              </w:rPr>
            </w:pPr>
            <w:r>
              <w:rPr>
                <w:rFonts w:ascii="Arial" w:cs="Arial" w:eastAsia="Arial" w:hAnsi="Arial"/>
                <w:sz w:val="10"/>
                <w:szCs w:val="10"/>
                <w:color w:val="auto"/>
              </w:rPr>
              <w:t>Total Non-Controlled</w:t>
            </w:r>
          </w:p>
        </w:tc>
        <w:tc>
          <w:tcPr>
            <w:tcW w:w="120" w:type="dxa"/>
            <w:vAlign w:val="bottom"/>
            <w:vMerge w:val="restart"/>
            <w:shd w:val="clear" w:color="auto" w:fill="CCECFF"/>
          </w:tcPr>
          <w:p>
            <w:pPr>
              <w:spacing w:after="0"/>
              <w:rPr>
                <w:sz w:val="8"/>
                <w:szCs w:val="8"/>
                <w:color w:val="auto"/>
              </w:rPr>
            </w:pPr>
          </w:p>
        </w:tc>
        <w:tc>
          <w:tcPr>
            <w:tcW w:w="8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50,161,391</w:t>
            </w:r>
          </w:p>
        </w:tc>
        <w:tc>
          <w:tcPr>
            <w:tcW w:w="220" w:type="dxa"/>
            <w:vAlign w:val="bottom"/>
            <w:vMerge w:val="restart"/>
            <w:shd w:val="clear" w:color="auto" w:fill="CCECFF"/>
          </w:tcPr>
          <w:p>
            <w:pPr>
              <w:spacing w:after="0"/>
              <w:rPr>
                <w:sz w:val="8"/>
                <w:szCs w:val="8"/>
                <w:color w:val="auto"/>
              </w:rPr>
            </w:pPr>
          </w:p>
        </w:tc>
        <w:tc>
          <w:tcPr>
            <w:tcW w:w="120" w:type="dxa"/>
            <w:vAlign w:val="bottom"/>
            <w:vMerge w:val="restart"/>
            <w:shd w:val="clear" w:color="auto" w:fill="CCECFF"/>
          </w:tcPr>
          <w:p>
            <w:pPr>
              <w:jc w:val="right"/>
              <w:ind w:right="5"/>
              <w:spacing w:after="0"/>
              <w:rPr>
                <w:sz w:val="20"/>
                <w:szCs w:val="20"/>
                <w:color w:val="auto"/>
              </w:rPr>
            </w:pPr>
            <w:r>
              <w:rPr>
                <w:rFonts w:ascii="Arial" w:cs="Arial" w:eastAsia="Arial" w:hAnsi="Arial"/>
                <w:sz w:val="10"/>
                <w:szCs w:val="10"/>
                <w:color w:val="auto"/>
                <w:w w:val="71"/>
              </w:rPr>
              <w:t>$</w:t>
            </w:r>
          </w:p>
        </w:tc>
        <w:tc>
          <w:tcPr>
            <w:tcW w:w="62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CECFF"/>
          </w:tcPr>
          <w:p>
            <w:pPr>
              <w:spacing w:after="0"/>
              <w:rPr>
                <w:sz w:val="8"/>
                <w:szCs w:val="8"/>
                <w:color w:val="auto"/>
              </w:rPr>
            </w:pPr>
          </w:p>
        </w:tc>
        <w:tc>
          <w:tcPr>
            <w:tcW w:w="10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vMerge w:val="restart"/>
            <w:shd w:val="clear" w:color="auto" w:fill="CCECFF"/>
          </w:tcPr>
          <w:p>
            <w:pPr>
              <w:jc w:val="right"/>
              <w:ind w:right="140"/>
              <w:spacing w:after="0"/>
              <w:rPr>
                <w:sz w:val="20"/>
                <w:szCs w:val="20"/>
                <w:color w:val="auto"/>
              </w:rPr>
            </w:pPr>
            <w:r>
              <w:rPr>
                <w:rFonts w:ascii="Arial" w:cs="Arial" w:eastAsia="Arial" w:hAnsi="Arial"/>
                <w:sz w:val="13"/>
                <w:szCs w:val="13"/>
                <w:color w:val="auto"/>
              </w:rPr>
              <w:t>(31,273,596 )</w:t>
            </w:r>
          </w:p>
        </w:tc>
        <w:tc>
          <w:tcPr>
            <w:tcW w:w="10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32,233,988</w:t>
            </w:r>
          </w:p>
        </w:tc>
        <w:tc>
          <w:tcPr>
            <w:tcW w:w="180" w:type="dxa"/>
            <w:vAlign w:val="bottom"/>
            <w:shd w:val="clear" w:color="auto" w:fill="CCECFF"/>
          </w:tcPr>
          <w:p>
            <w:pPr>
              <w:spacing w:after="0"/>
              <w:rPr>
                <w:sz w:val="8"/>
                <w:szCs w:val="8"/>
                <w:color w:val="auto"/>
              </w:rPr>
            </w:pPr>
          </w:p>
        </w:tc>
        <w:tc>
          <w:tcPr>
            <w:tcW w:w="8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51,121,783</w:t>
            </w:r>
          </w:p>
        </w:tc>
        <w:tc>
          <w:tcPr>
            <w:tcW w:w="260" w:type="dxa"/>
            <w:vAlign w:val="bottom"/>
            <w:gridSpan w:val="2"/>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CCECFF"/>
            </w:tcBorders>
            <w:vMerge w:val="restart"/>
            <w:shd w:val="clear" w:color="auto" w:fill="CCECFF"/>
          </w:tcPr>
          <w:p>
            <w:pPr>
              <w:jc w:val="right"/>
              <w:spacing w:after="0"/>
              <w:rPr>
                <w:sz w:val="20"/>
                <w:szCs w:val="20"/>
                <w:color w:val="auto"/>
              </w:rPr>
            </w:pPr>
            <w:r>
              <w:rPr>
                <w:rFonts w:ascii="Arial" w:cs="Arial" w:eastAsia="Arial" w:hAnsi="Arial"/>
                <w:sz w:val="13"/>
                <w:szCs w:val="13"/>
                <w:color w:val="auto"/>
              </w:rPr>
              <w:t>(31,273,597 )</w:t>
            </w:r>
          </w:p>
        </w:tc>
        <w:tc>
          <w:tcPr>
            <w:tcW w:w="0" w:type="dxa"/>
            <w:vAlign w:val="bottom"/>
          </w:tcPr>
          <w:p>
            <w:pPr>
              <w:spacing w:after="0"/>
              <w:rPr>
                <w:sz w:val="1"/>
                <w:szCs w:val="1"/>
                <w:color w:val="auto"/>
              </w:rPr>
            </w:pPr>
          </w:p>
        </w:tc>
      </w:tr>
      <w:tr>
        <w:trPr>
          <w:trHeight w:val="149"/>
        </w:trPr>
        <w:tc>
          <w:tcPr>
            <w:tcW w:w="1960" w:type="dxa"/>
            <w:vAlign w:val="bottom"/>
            <w:shd w:val="clear" w:color="auto" w:fill="CCECFF"/>
          </w:tcPr>
          <w:p>
            <w:pPr>
              <w:ind w:left="200"/>
              <w:spacing w:after="0"/>
              <w:rPr>
                <w:sz w:val="20"/>
                <w:szCs w:val="20"/>
                <w:color w:val="auto"/>
              </w:rPr>
            </w:pPr>
            <w:r>
              <w:rPr>
                <w:rFonts w:ascii="Arial" w:cs="Arial" w:eastAsia="Arial" w:hAnsi="Arial"/>
                <w:sz w:val="13"/>
                <w:szCs w:val="13"/>
                <w:color w:val="auto"/>
              </w:rPr>
              <w:t>Affiliates</w:t>
            </w:r>
          </w:p>
        </w:tc>
        <w:tc>
          <w:tcPr>
            <w:tcW w:w="120" w:type="dxa"/>
            <w:vAlign w:val="bottom"/>
            <w:vMerge w:val="continue"/>
            <w:shd w:val="clear" w:color="auto" w:fill="CCECFF"/>
          </w:tcPr>
          <w:p>
            <w:pPr>
              <w:spacing w:after="0"/>
              <w:rPr>
                <w:sz w:val="12"/>
                <w:szCs w:val="12"/>
                <w:color w:val="auto"/>
              </w:rPr>
            </w:pPr>
          </w:p>
        </w:tc>
        <w:tc>
          <w:tcPr>
            <w:tcW w:w="80" w:type="dxa"/>
            <w:vAlign w:val="bottom"/>
            <w:vMerge w:val="continue"/>
            <w:shd w:val="clear" w:color="auto" w:fill="CCECFF"/>
          </w:tcPr>
          <w:p>
            <w:pPr>
              <w:spacing w:after="0"/>
              <w:rPr>
                <w:sz w:val="12"/>
                <w:szCs w:val="12"/>
                <w:color w:val="auto"/>
              </w:rPr>
            </w:pPr>
          </w:p>
        </w:tc>
        <w:tc>
          <w:tcPr>
            <w:tcW w:w="1160" w:type="dxa"/>
            <w:vAlign w:val="bottom"/>
            <w:vMerge w:val="continue"/>
            <w:shd w:val="clear" w:color="auto" w:fill="CCECFF"/>
          </w:tcPr>
          <w:p>
            <w:pPr>
              <w:spacing w:after="0"/>
              <w:rPr>
                <w:sz w:val="12"/>
                <w:szCs w:val="12"/>
                <w:color w:val="auto"/>
              </w:rPr>
            </w:pPr>
          </w:p>
        </w:tc>
        <w:tc>
          <w:tcPr>
            <w:tcW w:w="220" w:type="dxa"/>
            <w:vAlign w:val="bottom"/>
            <w:vMerge w:val="continue"/>
            <w:shd w:val="clear" w:color="auto" w:fill="CCECFF"/>
          </w:tcPr>
          <w:p>
            <w:pPr>
              <w:spacing w:after="0"/>
              <w:rPr>
                <w:sz w:val="12"/>
                <w:szCs w:val="12"/>
                <w:color w:val="auto"/>
              </w:rPr>
            </w:pPr>
          </w:p>
        </w:tc>
        <w:tc>
          <w:tcPr>
            <w:tcW w:w="120" w:type="dxa"/>
            <w:vAlign w:val="bottom"/>
            <w:vMerge w:val="continue"/>
            <w:shd w:val="clear" w:color="auto" w:fill="CCECFF"/>
          </w:tcPr>
          <w:p>
            <w:pPr>
              <w:spacing w:after="0"/>
              <w:rPr>
                <w:sz w:val="12"/>
                <w:szCs w:val="12"/>
                <w:color w:val="auto"/>
              </w:rPr>
            </w:pPr>
          </w:p>
        </w:tc>
        <w:tc>
          <w:tcPr>
            <w:tcW w:w="620" w:type="dxa"/>
            <w:vAlign w:val="bottom"/>
            <w:vMerge w:val="continue"/>
            <w:shd w:val="clear" w:color="auto" w:fill="CCECFF"/>
          </w:tcPr>
          <w:p>
            <w:pPr>
              <w:spacing w:after="0"/>
              <w:rPr>
                <w:sz w:val="12"/>
                <w:szCs w:val="12"/>
                <w:color w:val="auto"/>
              </w:rPr>
            </w:pPr>
          </w:p>
        </w:tc>
        <w:tc>
          <w:tcPr>
            <w:tcW w:w="220" w:type="dxa"/>
            <w:vAlign w:val="bottom"/>
            <w:vMerge w:val="continue"/>
            <w:shd w:val="clear" w:color="auto" w:fill="CCECFF"/>
          </w:tcPr>
          <w:p>
            <w:pPr>
              <w:spacing w:after="0"/>
              <w:rPr>
                <w:sz w:val="12"/>
                <w:szCs w:val="12"/>
                <w:color w:val="auto"/>
              </w:rPr>
            </w:pPr>
          </w:p>
        </w:tc>
        <w:tc>
          <w:tcPr>
            <w:tcW w:w="100" w:type="dxa"/>
            <w:vAlign w:val="bottom"/>
            <w:vMerge w:val="continue"/>
            <w:shd w:val="clear" w:color="auto" w:fill="CCECFF"/>
          </w:tcPr>
          <w:p>
            <w:pPr>
              <w:spacing w:after="0"/>
              <w:rPr>
                <w:sz w:val="12"/>
                <w:szCs w:val="12"/>
                <w:color w:val="auto"/>
              </w:rPr>
            </w:pPr>
          </w:p>
        </w:tc>
        <w:tc>
          <w:tcPr>
            <w:tcW w:w="940" w:type="dxa"/>
            <w:vAlign w:val="bottom"/>
            <w:gridSpan w:val="2"/>
            <w:vMerge w:val="continue"/>
            <w:shd w:val="clear" w:color="auto" w:fill="CCECFF"/>
          </w:tcPr>
          <w:p>
            <w:pPr>
              <w:spacing w:after="0"/>
              <w:rPr>
                <w:sz w:val="12"/>
                <w:szCs w:val="12"/>
                <w:color w:val="auto"/>
              </w:rPr>
            </w:pPr>
          </w:p>
        </w:tc>
        <w:tc>
          <w:tcPr>
            <w:tcW w:w="100" w:type="dxa"/>
            <w:vAlign w:val="bottom"/>
            <w:vMerge w:val="continue"/>
            <w:shd w:val="clear" w:color="auto" w:fill="CCECFF"/>
          </w:tcPr>
          <w:p>
            <w:pPr>
              <w:spacing w:after="0"/>
              <w:rPr>
                <w:sz w:val="12"/>
                <w:szCs w:val="12"/>
                <w:color w:val="auto"/>
              </w:rPr>
            </w:pPr>
          </w:p>
        </w:tc>
        <w:tc>
          <w:tcPr>
            <w:tcW w:w="880" w:type="dxa"/>
            <w:vAlign w:val="bottom"/>
            <w:vMerge w:val="continue"/>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0" w:type="dxa"/>
            <w:vAlign w:val="bottom"/>
            <w:vMerge w:val="continue"/>
            <w:shd w:val="clear" w:color="auto" w:fill="CCECFF"/>
          </w:tcPr>
          <w:p>
            <w:pPr>
              <w:spacing w:after="0"/>
              <w:rPr>
                <w:sz w:val="12"/>
                <w:szCs w:val="12"/>
                <w:color w:val="auto"/>
              </w:rPr>
            </w:pPr>
          </w:p>
        </w:tc>
        <w:tc>
          <w:tcPr>
            <w:tcW w:w="820" w:type="dxa"/>
            <w:vAlign w:val="bottom"/>
            <w:vMerge w:val="continue"/>
            <w:shd w:val="clear" w:color="auto" w:fill="CCECFF"/>
          </w:tcPr>
          <w:p>
            <w:pPr>
              <w:spacing w:after="0"/>
              <w:rPr>
                <w:sz w:val="12"/>
                <w:szCs w:val="12"/>
                <w:color w:val="auto"/>
              </w:rPr>
            </w:pPr>
          </w:p>
        </w:tc>
        <w:tc>
          <w:tcPr>
            <w:tcW w:w="260" w:type="dxa"/>
            <w:vAlign w:val="bottom"/>
            <w:gridSpan w:val="2"/>
            <w:vMerge w:val="continue"/>
            <w:shd w:val="clear" w:color="auto" w:fill="CCECFF"/>
          </w:tcPr>
          <w:p>
            <w:pPr>
              <w:spacing w:after="0"/>
              <w:rPr>
                <w:sz w:val="12"/>
                <w:szCs w:val="12"/>
                <w:color w:val="auto"/>
              </w:rPr>
            </w:pPr>
          </w:p>
        </w:tc>
        <w:tc>
          <w:tcPr>
            <w:tcW w:w="600" w:type="dxa"/>
            <w:vAlign w:val="bottom"/>
            <w:vMerge w:val="continue"/>
            <w:shd w:val="clear" w:color="auto" w:fill="CCECFF"/>
          </w:tcPr>
          <w:p>
            <w:pPr>
              <w:spacing w:after="0"/>
              <w:rPr>
                <w:sz w:val="12"/>
                <w:szCs w:val="12"/>
                <w:color w:val="auto"/>
              </w:rPr>
            </w:pPr>
          </w:p>
        </w:tc>
        <w:tc>
          <w:tcPr>
            <w:tcW w:w="260" w:type="dxa"/>
            <w:vAlign w:val="bottom"/>
            <w:gridSpan w:val="2"/>
            <w:vMerge w:val="continue"/>
            <w:shd w:val="clear" w:color="auto" w:fill="CCECFF"/>
          </w:tcPr>
          <w:p>
            <w:pPr>
              <w:spacing w:after="0"/>
              <w:rPr>
                <w:sz w:val="12"/>
                <w:szCs w:val="12"/>
                <w:color w:val="auto"/>
              </w:rPr>
            </w:pPr>
          </w:p>
        </w:tc>
        <w:tc>
          <w:tcPr>
            <w:tcW w:w="600" w:type="dxa"/>
            <w:vAlign w:val="bottom"/>
            <w:vMerge w:val="continue"/>
            <w:shd w:val="clear" w:color="auto" w:fill="CCECFF"/>
          </w:tcPr>
          <w:p>
            <w:pPr>
              <w:spacing w:after="0"/>
              <w:rPr>
                <w:sz w:val="12"/>
                <w:szCs w:val="12"/>
                <w:color w:val="auto"/>
              </w:rPr>
            </w:pPr>
          </w:p>
        </w:tc>
        <w:tc>
          <w:tcPr>
            <w:tcW w:w="240" w:type="dxa"/>
            <w:vAlign w:val="bottom"/>
            <w:gridSpan w:val="2"/>
            <w:vMerge w:val="continue"/>
            <w:shd w:val="clear" w:color="auto" w:fill="CCECFF"/>
          </w:tcPr>
          <w:p>
            <w:pPr>
              <w:spacing w:after="0"/>
              <w:rPr>
                <w:sz w:val="12"/>
                <w:szCs w:val="12"/>
                <w:color w:val="auto"/>
              </w:rPr>
            </w:pPr>
          </w:p>
        </w:tc>
        <w:tc>
          <w:tcPr>
            <w:tcW w:w="620" w:type="dxa"/>
            <w:vAlign w:val="bottom"/>
            <w:vMerge w:val="continue"/>
            <w:shd w:val="clear" w:color="auto" w:fill="CCECFF"/>
          </w:tcPr>
          <w:p>
            <w:pPr>
              <w:spacing w:after="0"/>
              <w:rPr>
                <w:sz w:val="12"/>
                <w:szCs w:val="12"/>
                <w:color w:val="auto"/>
              </w:rPr>
            </w:pPr>
          </w:p>
        </w:tc>
        <w:tc>
          <w:tcPr>
            <w:tcW w:w="240" w:type="dxa"/>
            <w:vAlign w:val="bottom"/>
            <w:gridSpan w:val="2"/>
            <w:vMerge w:val="continue"/>
            <w:shd w:val="clear" w:color="auto" w:fill="CCECFF"/>
          </w:tcPr>
          <w:p>
            <w:pPr>
              <w:spacing w:after="0"/>
              <w:rPr>
                <w:sz w:val="12"/>
                <w:szCs w:val="12"/>
                <w:color w:val="auto"/>
              </w:rPr>
            </w:pPr>
          </w:p>
        </w:tc>
        <w:tc>
          <w:tcPr>
            <w:tcW w:w="820" w:type="dxa"/>
            <w:vAlign w:val="bottom"/>
            <w:tcBorders>
              <w:right w:val="single" w:sz="8" w:color="CCECFF"/>
            </w:tcBorders>
            <w:vMerge w:val="continue"/>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tcBorders>
              <w:right w:val="single" w:sz="8" w:color="CCEC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96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Total Controlled and</w:t>
            </w:r>
          </w:p>
        </w:tc>
        <w:tc>
          <w:tcPr>
            <w:tcW w:w="120" w:type="dxa"/>
            <w:vAlign w:val="bottom"/>
            <w:vMerge w:val="restart"/>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434,789,723</w:t>
            </w:r>
          </w:p>
        </w:tc>
        <w:tc>
          <w:tcPr>
            <w:tcW w:w="220" w:type="dxa"/>
            <w:vAlign w:val="bottom"/>
            <w:vMerge w:val="restart"/>
          </w:tcPr>
          <w:p>
            <w:pPr>
              <w:spacing w:after="0"/>
              <w:rPr>
                <w:sz w:val="8"/>
                <w:szCs w:val="8"/>
                <w:color w:val="auto"/>
              </w:rPr>
            </w:pPr>
          </w:p>
        </w:tc>
        <w:tc>
          <w:tcPr>
            <w:tcW w:w="120" w:type="dxa"/>
            <w:vAlign w:val="bottom"/>
            <w:vMerge w:val="restart"/>
          </w:tcPr>
          <w:p>
            <w:pPr>
              <w:jc w:val="right"/>
              <w:ind w:right="5"/>
              <w:spacing w:after="0"/>
              <w:rPr>
                <w:sz w:val="20"/>
                <w:szCs w:val="20"/>
                <w:color w:val="auto"/>
              </w:rPr>
            </w:pPr>
            <w:r>
              <w:rPr>
                <w:rFonts w:ascii="Arial" w:cs="Arial" w:eastAsia="Arial" w:hAnsi="Arial"/>
                <w:sz w:val="10"/>
                <w:szCs w:val="10"/>
                <w:color w:val="auto"/>
                <w:w w:val="71"/>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w w:val="92"/>
              </w:rPr>
              <w:t>13,676,418</w:t>
            </w:r>
          </w:p>
        </w:tc>
        <w:tc>
          <w:tcPr>
            <w:tcW w:w="220" w:type="dxa"/>
            <w:vAlign w:val="bottom"/>
            <w:vMerge w:val="restart"/>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(31,273,596 )</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96,371,775</w:t>
            </w:r>
          </w:p>
        </w:tc>
        <w:tc>
          <w:tcPr>
            <w:tcW w:w="1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513,564,320</w:t>
            </w:r>
          </w:p>
        </w:tc>
        <w:tc>
          <w:tcPr>
            <w:tcW w:w="26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w w:val="96"/>
              </w:rPr>
              <w:t>2,266,807</w:t>
            </w:r>
          </w:p>
        </w:tc>
        <w:tc>
          <w:tcPr>
            <w:tcW w:w="26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w w:val="96"/>
              </w:rPr>
              <w:t>2,126,309</w:t>
            </w:r>
          </w:p>
        </w:tc>
        <w:tc>
          <w:tcPr>
            <w:tcW w:w="2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1,815,000</w:t>
            </w:r>
          </w:p>
        </w:tc>
        <w:tc>
          <w:tcPr>
            <w:tcW w:w="2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(31,273,597 )</w:t>
            </w:r>
          </w:p>
        </w:tc>
        <w:tc>
          <w:tcPr>
            <w:tcW w:w="0" w:type="dxa"/>
            <w:vAlign w:val="bottom"/>
          </w:tcPr>
          <w:p>
            <w:pPr>
              <w:spacing w:after="0"/>
              <w:rPr>
                <w:sz w:val="1"/>
                <w:szCs w:val="1"/>
                <w:color w:val="auto"/>
              </w:rPr>
            </w:pPr>
          </w:p>
        </w:tc>
      </w:tr>
      <w:tr>
        <w:trPr>
          <w:trHeight w:val="122"/>
        </w:trPr>
        <w:tc>
          <w:tcPr>
            <w:tcW w:w="1960" w:type="dxa"/>
            <w:vAlign w:val="bottom"/>
          </w:tcPr>
          <w:p>
            <w:pPr>
              <w:ind w:left="120"/>
              <w:spacing w:after="0" w:line="102" w:lineRule="exact"/>
              <w:rPr>
                <w:sz w:val="20"/>
                <w:szCs w:val="20"/>
                <w:color w:val="auto"/>
              </w:rPr>
            </w:pPr>
            <w:r>
              <w:rPr>
                <w:rFonts w:ascii="Arial" w:cs="Arial" w:eastAsia="Arial" w:hAnsi="Arial"/>
                <w:sz w:val="10"/>
                <w:szCs w:val="10"/>
                <w:b w:val="1"/>
                <w:bCs w:val="1"/>
                <w:color w:val="auto"/>
              </w:rPr>
              <w:t>Non-Controlled Affiliates</w:t>
            </w:r>
          </w:p>
        </w:tc>
        <w:tc>
          <w:tcPr>
            <w:tcW w:w="12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-708025</wp:posOffset>
            </wp:positionV>
            <wp:extent cx="60325"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-708025</wp:posOffset>
            </wp:positionV>
            <wp:extent cx="60325"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-708025</wp:posOffset>
            </wp:positionV>
            <wp:extent cx="4318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-708025</wp:posOffset>
            </wp:positionV>
            <wp:extent cx="4318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-708025</wp:posOffset>
            </wp:positionV>
            <wp:extent cx="25400"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-708025</wp:posOffset>
            </wp:positionV>
            <wp:extent cx="2540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-708025</wp:posOffset>
            </wp:positionV>
            <wp:extent cx="26035"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-708025</wp:posOffset>
            </wp:positionV>
            <wp:extent cx="26035"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-708025</wp:posOffset>
            </wp:positionV>
            <wp:extent cx="34290"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-176530</wp:posOffset>
            </wp:positionV>
            <wp:extent cx="60325"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-176530</wp:posOffset>
            </wp:positionV>
            <wp:extent cx="60325"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-176530</wp:posOffset>
            </wp:positionV>
            <wp:extent cx="43180"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-176530</wp:posOffset>
            </wp:positionV>
            <wp:extent cx="43180"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-176530</wp:posOffset>
            </wp:positionV>
            <wp:extent cx="25400"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-176530</wp:posOffset>
            </wp:positionV>
            <wp:extent cx="25400"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-176530</wp:posOffset>
            </wp:positionV>
            <wp:extent cx="26035"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-176530</wp:posOffset>
            </wp:positionV>
            <wp:extent cx="26035"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-176530</wp:posOffset>
            </wp:positionV>
            <wp:extent cx="34290"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11912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6"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4"/>
          <w:szCs w:val="14"/>
          <w:b w:val="1"/>
          <w:bCs w:val="1"/>
          <w:color w:val="auto"/>
          <w:vertAlign w:val="superscript"/>
        </w:rPr>
      </w:pPr>
      <w:r>
        <w:rPr>
          <w:rFonts w:ascii="Arial" w:cs="Arial" w:eastAsia="Arial" w:hAnsi="Arial"/>
          <w:sz w:val="11"/>
          <w:szCs w:val="11"/>
          <w:color w:val="auto"/>
        </w:rPr>
        <w:t>Includes PIK.</w:t>
      </w:r>
    </w:p>
    <w:p>
      <w:pPr>
        <w:ind w:left="380" w:right="440" w:hanging="372"/>
        <w:spacing w:after="0" w:line="267" w:lineRule="auto"/>
        <w:tabs>
          <w:tab w:leader="none" w:pos="380" w:val="left"/>
        </w:tabs>
        <w:numPr>
          <w:ilvl w:val="0"/>
          <w:numId w:val="25"/>
        </w:numPr>
        <w:rPr>
          <w:rFonts w:ascii="Arial" w:cs="Arial" w:eastAsia="Arial" w:hAnsi="Arial"/>
          <w:sz w:val="10"/>
          <w:szCs w:val="10"/>
          <w:color w:val="auto"/>
        </w:rPr>
      </w:pPr>
      <w:r>
        <w:rPr>
          <w:rFonts w:ascii="Arial" w:cs="Arial" w:eastAsia="Arial" w:hAnsi="Arial"/>
          <w:sz w:val="10"/>
          <w:szCs w:val="10"/>
          <w:color w:val="auto"/>
        </w:rPr>
        <w:t>We 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decisions regarding PSLF must be submitted to PSLF’s four-person Member Designees’ Committee, which is comprised of two members appointed by each of us and Pantheon. Because management of PSLF is shared equally between us and Pantheon, we do not believe we control PSLF for purposes of the 1940 Act or otherwise.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7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69"/>
        </w:trPr>
        <w:tc>
          <w:tcPr>
            <w:tcW w:w="7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7520" w:type="dxa"/>
            <w:vAlign w:val="bottom"/>
            <w:shd w:val="clear" w:color="auto" w:fill="CCECFF"/>
          </w:tcPr>
          <w:p>
            <w:pPr>
              <w:ind w:left="20"/>
              <w:spacing w:after="0"/>
              <w:rPr>
                <w:sz w:val="20"/>
                <w:szCs w:val="20"/>
                <w:color w:val="auto"/>
              </w:rPr>
            </w:pPr>
            <w:r>
              <w:rPr>
                <w:rFonts w:ascii="Arial" w:cs="Arial" w:eastAsia="Arial" w:hAnsi="Arial"/>
                <w:sz w:val="14"/>
                <w:szCs w:val="14"/>
                <w:color w:val="auto"/>
              </w:rPr>
              <w:t>Numerator for net increase (decrease) in net assets resulting from operations</w:t>
            </w:r>
          </w:p>
        </w:tc>
        <w:tc>
          <w:tcPr>
            <w:tcW w:w="1020" w:type="dxa"/>
            <w:vAlign w:val="bottom"/>
            <w:tcBorders>
              <w:top w:val="single" w:sz="8" w:color="auto"/>
            </w:tcBorders>
            <w:shd w:val="clear" w:color="auto" w:fill="CCECFF"/>
          </w:tcPr>
          <w:p>
            <w:pPr>
              <w:jc w:val="right"/>
              <w:ind w:right="86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91"/>
              </w:rPr>
              <w:t>25,510,697</w:t>
            </w:r>
          </w:p>
        </w:tc>
        <w:tc>
          <w:tcPr>
            <w:tcW w:w="260" w:type="dxa"/>
            <w:vAlign w:val="bottom"/>
            <w:shd w:val="clear" w:color="auto" w:fill="CCECFF"/>
          </w:tcPr>
          <w:p>
            <w:pPr>
              <w:spacing w:after="0"/>
              <w:rPr>
                <w:sz w:val="14"/>
                <w:szCs w:val="14"/>
                <w:color w:val="auto"/>
              </w:rPr>
            </w:pPr>
          </w:p>
        </w:tc>
        <w:tc>
          <w:tcPr>
            <w:tcW w:w="1020" w:type="dxa"/>
            <w:vAlign w:val="bottom"/>
            <w:tcBorders>
              <w:top w:val="single" w:sz="8" w:color="auto"/>
            </w:tcBorders>
            <w:shd w:val="clear" w:color="auto" w:fill="CCECFF"/>
          </w:tcPr>
          <w:p>
            <w:pPr>
              <w:jc w:val="right"/>
              <w:ind w:right="86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94"/>
              </w:rPr>
              <w:t>71,133,751</w:t>
            </w:r>
          </w:p>
        </w:tc>
        <w:tc>
          <w:tcPr>
            <w:tcW w:w="40" w:type="dxa"/>
            <w:vAlign w:val="bottom"/>
            <w:shd w:val="clear" w:color="auto" w:fill="CCECFF"/>
          </w:tcPr>
          <w:p>
            <w:pPr>
              <w:spacing w:after="0"/>
              <w:rPr>
                <w:sz w:val="14"/>
                <w:szCs w:val="14"/>
                <w:color w:val="auto"/>
              </w:rPr>
            </w:pPr>
          </w:p>
        </w:tc>
      </w:tr>
      <w:tr>
        <w:trPr>
          <w:trHeight w:val="175"/>
        </w:trPr>
        <w:tc>
          <w:tcPr>
            <w:tcW w:w="7520" w:type="dxa"/>
            <w:vAlign w:val="bottom"/>
          </w:tcPr>
          <w:p>
            <w:pPr>
              <w:ind w:left="20"/>
              <w:spacing w:after="0"/>
              <w:rPr>
                <w:sz w:val="20"/>
                <w:szCs w:val="20"/>
                <w:color w:val="auto"/>
              </w:rPr>
            </w:pPr>
            <w:r>
              <w:rPr>
                <w:rFonts w:ascii="Arial" w:cs="Arial" w:eastAsia="Arial" w:hAnsi="Arial"/>
                <w:sz w:val="14"/>
                <w:szCs w:val="14"/>
                <w:color w:val="auto"/>
              </w:rPr>
              <w:t>Denominator for basic and diluted weighted average shares</w:t>
            </w:r>
          </w:p>
        </w:tc>
        <w:tc>
          <w:tcPr>
            <w:tcW w:w="10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1"/>
              </w:rPr>
              <w:t>67,045,105</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4"/>
              </w:rPr>
              <w:t>67,045,105</w:t>
            </w:r>
          </w:p>
        </w:tc>
        <w:tc>
          <w:tcPr>
            <w:tcW w:w="40" w:type="dxa"/>
            <w:vAlign w:val="bottom"/>
          </w:tcPr>
          <w:p>
            <w:pPr>
              <w:spacing w:after="0"/>
              <w:rPr>
                <w:sz w:val="15"/>
                <w:szCs w:val="15"/>
                <w:color w:val="auto"/>
              </w:rPr>
            </w:pPr>
          </w:p>
        </w:tc>
      </w:tr>
      <w:tr>
        <w:trPr>
          <w:trHeight w:val="175"/>
        </w:trPr>
        <w:tc>
          <w:tcPr>
            <w:tcW w:w="7520" w:type="dxa"/>
            <w:vAlign w:val="bottom"/>
            <w:shd w:val="clear" w:color="auto" w:fill="CCECFF"/>
          </w:tcPr>
          <w:p>
            <w:pPr>
              <w:ind w:left="20"/>
              <w:spacing w:after="0"/>
              <w:rPr>
                <w:sz w:val="20"/>
                <w:szCs w:val="20"/>
                <w:color w:val="auto"/>
              </w:rPr>
            </w:pPr>
            <w:r>
              <w:rPr>
                <w:rFonts w:ascii="Arial" w:cs="Arial" w:eastAsia="Arial" w:hAnsi="Arial"/>
                <w:sz w:val="14"/>
                <w:szCs w:val="14"/>
                <w:color w:val="auto"/>
              </w:rPr>
              <w:t>Basic and diluted net increase (decrease) in net assets per share resulting from operations</w:t>
            </w:r>
          </w:p>
        </w:tc>
        <w:tc>
          <w:tcPr>
            <w:tcW w:w="1020" w:type="dxa"/>
            <w:vAlign w:val="bottom"/>
            <w:shd w:val="clear" w:color="auto" w:fill="CCECFF"/>
          </w:tcPr>
          <w:p>
            <w:pPr>
              <w:jc w:val="right"/>
              <w:ind w:right="86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0.38</w:t>
            </w:r>
          </w:p>
        </w:tc>
        <w:tc>
          <w:tcPr>
            <w:tcW w:w="1280" w:type="dxa"/>
            <w:vAlign w:val="bottom"/>
            <w:gridSpan w:val="2"/>
            <w:shd w:val="clear" w:color="auto" w:fill="CCECFF"/>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w:t>
            </w:r>
          </w:p>
        </w:tc>
        <w:tc>
          <w:tcPr>
            <w:tcW w:w="40" w:type="dxa"/>
            <w:vAlign w:val="bottom"/>
            <w:shd w:val="clear" w:color="auto" w:fill="CCECFF"/>
          </w:tcPr>
          <w:p>
            <w:pPr>
              <w:spacing w:after="0"/>
              <w:rPr>
                <w:sz w:val="15"/>
                <w:szCs w:val="15"/>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54" w:lineRule="exact"/>
        <w:rPr>
          <w:sz w:val="20"/>
          <w:szCs w:val="20"/>
          <w:color w:val="auto"/>
        </w:rPr>
      </w:pPr>
    </w:p>
    <w:p>
      <w:pPr>
        <w:ind w:right="100" w:firstLine="449"/>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Facilities,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2021 and September 30, 2021, cash and cash equivalents consisted of money market funds in the amounts of $39.6 million and $20.4 million at fair value, respectively.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ind w:left="328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324"/>
        </w:trPr>
        <w:tc>
          <w:tcPr>
            <w:tcW w:w="6780" w:type="dxa"/>
            <w:vAlign w:val="bottom"/>
          </w:tcPr>
          <w:p>
            <w:pPr>
              <w:ind w:left="460"/>
              <w:spacing w:after="0"/>
              <w:rPr>
                <w:sz w:val="20"/>
                <w:szCs w:val="20"/>
                <w:color w:val="auto"/>
              </w:rPr>
            </w:pPr>
            <w:r>
              <w:rPr>
                <w:rFonts w:ascii="Arial" w:cs="Arial" w:eastAsia="Arial" w:hAnsi="Arial"/>
                <w:sz w:val="14"/>
                <w:szCs w:val="14"/>
                <w:color w:val="auto"/>
              </w:rPr>
              <w:t>Below are the financial highlights:</w:t>
            </w: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67"/>
        </w:trPr>
        <w:tc>
          <w:tcPr>
            <w:tcW w:w="6780" w:type="dxa"/>
            <w:vAlign w:val="bottom"/>
          </w:tcPr>
          <w:p>
            <w:pPr>
              <w:spacing w:after="0"/>
              <w:rPr>
                <w:sz w:val="24"/>
                <w:szCs w:val="24"/>
                <w:color w:val="auto"/>
              </w:rPr>
            </w:pPr>
          </w:p>
        </w:tc>
        <w:tc>
          <w:tcPr>
            <w:tcW w:w="352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Three Months Ended December 31,</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5"/>
        </w:trPr>
        <w:tc>
          <w:tcPr>
            <w:tcW w:w="678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678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Per Share Data:</w:t>
            </w:r>
          </w:p>
        </w:tc>
        <w:tc>
          <w:tcPr>
            <w:tcW w:w="116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r>
      <w:tr>
        <w:trPr>
          <w:trHeight w:val="176"/>
        </w:trPr>
        <w:tc>
          <w:tcPr>
            <w:tcW w:w="6780" w:type="dxa"/>
            <w:vAlign w:val="bottom"/>
          </w:tcPr>
          <w:p>
            <w:pPr>
              <w:ind w:left="20"/>
              <w:spacing w:after="0"/>
              <w:rPr>
                <w:sz w:val="20"/>
                <w:szCs w:val="20"/>
                <w:color w:val="auto"/>
              </w:rPr>
            </w:pPr>
            <w:r>
              <w:rPr>
                <w:rFonts w:ascii="Arial" w:cs="Arial" w:eastAsia="Arial" w:hAnsi="Arial"/>
                <w:sz w:val="14"/>
                <w:szCs w:val="14"/>
                <w:color w:val="auto"/>
              </w:rPr>
              <w:t>Net asset value, beginning of period</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9.85</w:t>
            </w:r>
          </w:p>
        </w:tc>
        <w:tc>
          <w:tcPr>
            <w:tcW w:w="420" w:type="dxa"/>
            <w:vAlign w:val="bottom"/>
          </w:tcPr>
          <w:p>
            <w:pPr>
              <w:spacing w:after="0"/>
              <w:rPr>
                <w:sz w:val="15"/>
                <w:szCs w:val="15"/>
                <w:color w:val="auto"/>
              </w:rPr>
            </w:pP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7.84</w:t>
            </w:r>
          </w:p>
        </w:tc>
        <w:tc>
          <w:tcPr>
            <w:tcW w:w="180" w:type="dxa"/>
            <w:vAlign w:val="bottom"/>
          </w:tcPr>
          <w:p>
            <w:pPr>
              <w:spacing w:after="0"/>
              <w:rPr>
                <w:sz w:val="15"/>
                <w:szCs w:val="15"/>
                <w:color w:val="auto"/>
              </w:rPr>
            </w:pPr>
          </w:p>
        </w:tc>
      </w:tr>
      <w:tr>
        <w:trPr>
          <w:trHeight w:val="175"/>
        </w:trPr>
        <w:tc>
          <w:tcPr>
            <w:tcW w:w="6780" w:type="dxa"/>
            <w:vAlign w:val="bottom"/>
            <w:shd w:val="clear" w:color="auto" w:fill="CCECFF"/>
          </w:tcPr>
          <w:p>
            <w:pPr>
              <w:ind w:left="20"/>
              <w:spacing w:after="0" w:line="175"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9"/>
                <w:szCs w:val="19"/>
                <w:color w:val="auto"/>
                <w:vertAlign w:val="superscript"/>
              </w:rPr>
              <w:t>(1)</w:t>
            </w:r>
          </w:p>
        </w:tc>
        <w:tc>
          <w:tcPr>
            <w:tcW w:w="116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0.19</w:t>
            </w:r>
          </w:p>
        </w:tc>
        <w:tc>
          <w:tcPr>
            <w:tcW w:w="420" w:type="dxa"/>
            <w:vAlign w:val="bottom"/>
            <w:shd w:val="clear" w:color="auto" w:fill="CCECFF"/>
          </w:tcPr>
          <w:p>
            <w:pPr>
              <w:spacing w:after="0"/>
              <w:rPr>
                <w:sz w:val="15"/>
                <w:szCs w:val="15"/>
                <w:color w:val="auto"/>
              </w:rPr>
            </w:pPr>
          </w:p>
        </w:tc>
        <w:tc>
          <w:tcPr>
            <w:tcW w:w="116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0.12</w:t>
            </w:r>
          </w:p>
        </w:tc>
        <w:tc>
          <w:tcPr>
            <w:tcW w:w="180" w:type="dxa"/>
            <w:vAlign w:val="bottom"/>
            <w:shd w:val="clear" w:color="auto" w:fill="CCECFF"/>
          </w:tcPr>
          <w:p>
            <w:pPr>
              <w:spacing w:after="0"/>
              <w:rPr>
                <w:sz w:val="15"/>
                <w:szCs w:val="15"/>
                <w:color w:val="auto"/>
              </w:rPr>
            </w:pPr>
          </w:p>
        </w:tc>
      </w:tr>
      <w:tr>
        <w:trPr>
          <w:trHeight w:val="176"/>
        </w:trPr>
        <w:tc>
          <w:tcPr>
            <w:tcW w:w="678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Net change in realized and unrealized (loss) gain </w:t>
            </w:r>
            <w:r>
              <w:rPr>
                <w:rFonts w:ascii="Arial" w:cs="Arial" w:eastAsia="Arial" w:hAnsi="Arial"/>
                <w:sz w:val="19"/>
                <w:szCs w:val="19"/>
                <w:color w:val="auto"/>
                <w:vertAlign w:val="superscript"/>
              </w:rPr>
              <w:t>(1)</w:t>
            </w:r>
          </w:p>
        </w:tc>
        <w:tc>
          <w:tcPr>
            <w:tcW w:w="1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0.19</w:t>
            </w:r>
          </w:p>
        </w:tc>
        <w:tc>
          <w:tcPr>
            <w:tcW w:w="4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0.94</w:t>
            </w:r>
          </w:p>
        </w:tc>
        <w:tc>
          <w:tcPr>
            <w:tcW w:w="180" w:type="dxa"/>
            <w:vAlign w:val="bottom"/>
          </w:tcPr>
          <w:p>
            <w:pPr>
              <w:spacing w:after="0"/>
              <w:rPr>
                <w:sz w:val="15"/>
                <w:szCs w:val="15"/>
                <w:color w:val="auto"/>
              </w:rPr>
            </w:pPr>
          </w:p>
        </w:tc>
      </w:tr>
      <w:tr>
        <w:trPr>
          <w:trHeight w:val="169"/>
        </w:trPr>
        <w:tc>
          <w:tcPr>
            <w:tcW w:w="6780" w:type="dxa"/>
            <w:vAlign w:val="bottom"/>
            <w:shd w:val="clear" w:color="auto" w:fill="CCECFF"/>
          </w:tcPr>
          <w:p>
            <w:pPr>
              <w:ind w:left="20"/>
              <w:spacing w:after="0" w:line="169"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9"/>
                <w:szCs w:val="19"/>
                <w:color w:val="auto"/>
                <w:vertAlign w:val="superscript"/>
              </w:rPr>
              <w:t>(1)</w:t>
            </w:r>
          </w:p>
        </w:tc>
        <w:tc>
          <w:tcPr>
            <w:tcW w:w="116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0.38</w:t>
            </w:r>
          </w:p>
        </w:tc>
        <w:tc>
          <w:tcPr>
            <w:tcW w:w="42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w:t>
            </w:r>
          </w:p>
        </w:tc>
        <w:tc>
          <w:tcPr>
            <w:tcW w:w="180" w:type="dxa"/>
            <w:vAlign w:val="bottom"/>
            <w:shd w:val="clear" w:color="auto" w:fill="CCECFF"/>
          </w:tcPr>
          <w:p>
            <w:pPr>
              <w:spacing w:after="0"/>
              <w:rPr>
                <w:sz w:val="14"/>
                <w:szCs w:val="14"/>
                <w:color w:val="auto"/>
              </w:rPr>
            </w:pPr>
          </w:p>
        </w:tc>
      </w:tr>
      <w:tr>
        <w:trPr>
          <w:trHeight w:val="175"/>
        </w:trPr>
        <w:tc>
          <w:tcPr>
            <w:tcW w:w="678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9"/>
                <w:szCs w:val="19"/>
                <w:color w:val="auto"/>
                <w:vertAlign w:val="superscript"/>
              </w:rPr>
              <w:t>(1), (2)</w:t>
            </w:r>
          </w:p>
        </w:tc>
        <w:tc>
          <w:tcPr>
            <w:tcW w:w="1160" w:type="dxa"/>
            <w:vAlign w:val="bottom"/>
          </w:tcPr>
          <w:p>
            <w:pPr>
              <w:spacing w:after="0"/>
              <w:rPr>
                <w:sz w:val="15"/>
                <w:szCs w:val="15"/>
                <w:color w:val="auto"/>
              </w:rPr>
            </w:pPr>
          </w:p>
        </w:tc>
        <w:tc>
          <w:tcPr>
            <w:tcW w:w="1200" w:type="dxa"/>
            <w:vAlign w:val="bottom"/>
            <w:gridSpan w:val="2"/>
          </w:tcPr>
          <w:p>
            <w:pPr>
              <w:jc w:val="right"/>
              <w:ind w:right="268"/>
              <w:spacing w:after="0"/>
              <w:rPr>
                <w:sz w:val="20"/>
                <w:szCs w:val="20"/>
                <w:color w:val="auto"/>
              </w:rPr>
            </w:pPr>
            <w:r>
              <w:rPr>
                <w:rFonts w:ascii="Arial" w:cs="Arial" w:eastAsia="Arial" w:hAnsi="Arial"/>
                <w:sz w:val="14"/>
                <w:szCs w:val="14"/>
                <w:color w:val="auto"/>
              </w:rPr>
              <w:t>(0.12 )</w:t>
            </w:r>
          </w:p>
        </w:tc>
        <w:tc>
          <w:tcPr>
            <w:tcW w:w="1160" w:type="dxa"/>
            <w:vAlign w:val="bottom"/>
          </w:tcPr>
          <w:p>
            <w:pPr>
              <w:spacing w:after="0"/>
              <w:rPr>
                <w:sz w:val="15"/>
                <w:szCs w:val="15"/>
                <w:color w:val="auto"/>
              </w:rPr>
            </w:pP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(0.12 )</w:t>
            </w:r>
          </w:p>
        </w:tc>
      </w:tr>
      <w:tr>
        <w:trPr>
          <w:trHeight w:val="209"/>
        </w:trPr>
        <w:tc>
          <w:tcPr>
            <w:tcW w:w="67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Net asset value, end of period</w:t>
            </w:r>
          </w:p>
        </w:tc>
        <w:tc>
          <w:tcPr>
            <w:tcW w:w="1160" w:type="dxa"/>
            <w:vAlign w:val="bottom"/>
            <w:tcBorders>
              <w:top w:val="single" w:sz="8" w:color="auto"/>
              <w:bottom w:val="single" w:sz="8" w:color="auto"/>
            </w:tcBorders>
            <w:shd w:val="clear" w:color="auto" w:fill="CCECFF"/>
          </w:tcPr>
          <w:p>
            <w:pPr>
              <w:jc w:val="right"/>
              <w:ind w:right="9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10.11</w:t>
            </w:r>
          </w:p>
        </w:tc>
        <w:tc>
          <w:tcPr>
            <w:tcW w:w="420" w:type="dxa"/>
            <w:vAlign w:val="bottom"/>
            <w:tcBorders>
              <w:bottom w:val="single" w:sz="8" w:color="CCECFF"/>
            </w:tcBorders>
            <w:shd w:val="clear" w:color="auto" w:fill="CCECFF"/>
          </w:tcPr>
          <w:p>
            <w:pPr>
              <w:spacing w:after="0"/>
              <w:rPr>
                <w:sz w:val="18"/>
                <w:szCs w:val="18"/>
                <w:color w:val="auto"/>
              </w:rPr>
            </w:pPr>
          </w:p>
        </w:tc>
        <w:tc>
          <w:tcPr>
            <w:tcW w:w="1160" w:type="dxa"/>
            <w:vAlign w:val="bottom"/>
            <w:tcBorders>
              <w:top w:val="single" w:sz="8" w:color="auto"/>
              <w:bottom w:val="single" w:sz="8" w:color="auto"/>
            </w:tcBorders>
            <w:shd w:val="clear" w:color="auto" w:fill="CCECFF"/>
          </w:tcPr>
          <w:p>
            <w:pPr>
              <w:jc w:val="right"/>
              <w:ind w:right="9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8.78</w:t>
            </w:r>
          </w:p>
        </w:tc>
        <w:tc>
          <w:tcPr>
            <w:tcW w:w="180" w:type="dxa"/>
            <w:vAlign w:val="bottom"/>
            <w:tcBorders>
              <w:bottom w:val="single" w:sz="8" w:color="CCECFF"/>
            </w:tcBorders>
            <w:shd w:val="clear" w:color="auto" w:fill="CCECFF"/>
          </w:tcPr>
          <w:p>
            <w:pPr>
              <w:spacing w:after="0"/>
              <w:rPr>
                <w:sz w:val="18"/>
                <w:szCs w:val="18"/>
                <w:color w:val="auto"/>
              </w:rPr>
            </w:pPr>
          </w:p>
        </w:tc>
      </w:tr>
      <w:tr>
        <w:trPr>
          <w:trHeight w:val="156"/>
        </w:trPr>
        <w:tc>
          <w:tcPr>
            <w:tcW w:w="6780" w:type="dxa"/>
            <w:vAlign w:val="bottom"/>
          </w:tcPr>
          <w:p>
            <w:pPr>
              <w:ind w:left="20"/>
              <w:spacing w:after="0" w:line="156" w:lineRule="exact"/>
              <w:rPr>
                <w:sz w:val="20"/>
                <w:szCs w:val="20"/>
                <w:color w:val="auto"/>
              </w:rPr>
            </w:pPr>
            <w:r>
              <w:rPr>
                <w:rFonts w:ascii="Arial" w:cs="Arial" w:eastAsia="Arial" w:hAnsi="Arial"/>
                <w:sz w:val="14"/>
                <w:szCs w:val="14"/>
                <w:color w:val="auto"/>
              </w:rPr>
              <w:t>Per share market value, end of period</w:t>
            </w:r>
          </w:p>
        </w:tc>
        <w:tc>
          <w:tcPr>
            <w:tcW w:w="1160" w:type="dxa"/>
            <w:vAlign w:val="bottom"/>
            <w:tcBorders>
              <w:bottom w:val="single" w:sz="8" w:color="auto"/>
            </w:tcBorders>
          </w:tcPr>
          <w:p>
            <w:pPr>
              <w:jc w:val="right"/>
              <w:ind w:right="988"/>
              <w:spacing w:after="0" w:line="156"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6.93</w:t>
            </w:r>
          </w:p>
        </w:tc>
        <w:tc>
          <w:tcPr>
            <w:tcW w:w="420" w:type="dxa"/>
            <w:vAlign w:val="bottom"/>
          </w:tcPr>
          <w:p>
            <w:pPr>
              <w:spacing w:after="0"/>
              <w:rPr>
                <w:sz w:val="13"/>
                <w:szCs w:val="13"/>
                <w:color w:val="auto"/>
              </w:rPr>
            </w:pPr>
          </w:p>
        </w:tc>
        <w:tc>
          <w:tcPr>
            <w:tcW w:w="1160" w:type="dxa"/>
            <w:vAlign w:val="bottom"/>
            <w:tcBorders>
              <w:bottom w:val="single" w:sz="8" w:color="auto"/>
            </w:tcBorders>
          </w:tcPr>
          <w:p>
            <w:pPr>
              <w:jc w:val="right"/>
              <w:ind w:right="988"/>
              <w:spacing w:after="0" w:line="156"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4.61</w:t>
            </w:r>
          </w:p>
        </w:tc>
        <w:tc>
          <w:tcPr>
            <w:tcW w:w="180" w:type="dxa"/>
            <w:vAlign w:val="bottom"/>
          </w:tcPr>
          <w:p>
            <w:pPr>
              <w:spacing w:after="0"/>
              <w:rPr>
                <w:sz w:val="13"/>
                <w:szCs w:val="13"/>
                <w:color w:val="auto"/>
              </w:rPr>
            </w:pPr>
          </w:p>
        </w:tc>
      </w:tr>
      <w:tr>
        <w:trPr>
          <w:trHeight w:val="20"/>
        </w:trPr>
        <w:tc>
          <w:tcPr>
            <w:tcW w:w="6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56"/>
        </w:trPr>
        <w:tc>
          <w:tcPr>
            <w:tcW w:w="6780" w:type="dxa"/>
            <w:vAlign w:val="bottom"/>
            <w:shd w:val="clear" w:color="auto" w:fill="CCECFF"/>
          </w:tcPr>
          <w:p>
            <w:pPr>
              <w:ind w:left="20"/>
              <w:spacing w:after="0" w:line="156" w:lineRule="exact"/>
              <w:rPr>
                <w:sz w:val="20"/>
                <w:szCs w:val="20"/>
                <w:color w:val="auto"/>
              </w:rPr>
            </w:pPr>
            <w:r>
              <w:rPr>
                <w:rFonts w:ascii="Arial" w:cs="Arial" w:eastAsia="Arial" w:hAnsi="Arial"/>
                <w:sz w:val="14"/>
                <w:szCs w:val="14"/>
                <w:color w:val="auto"/>
              </w:rPr>
              <w:t>Total return</w:t>
            </w:r>
            <w:r>
              <w:rPr>
                <w:rFonts w:ascii="Arial" w:cs="Arial" w:eastAsia="Arial" w:hAnsi="Arial"/>
                <w:sz w:val="18"/>
                <w:szCs w:val="18"/>
                <w:color w:val="auto"/>
                <w:vertAlign w:val="superscript"/>
              </w:rPr>
              <w:t>* (3)</w:t>
            </w:r>
          </w:p>
        </w:tc>
        <w:tc>
          <w:tcPr>
            <w:tcW w:w="116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8.57</w:t>
            </w:r>
          </w:p>
        </w:tc>
        <w:tc>
          <w:tcPr>
            <w:tcW w:w="420" w:type="dxa"/>
            <w:vAlign w:val="bottom"/>
            <w:shd w:val="clear" w:color="auto" w:fill="CCECFF"/>
          </w:tcPr>
          <w:p>
            <w:pPr>
              <w:jc w:val="right"/>
              <w:ind w:right="208"/>
              <w:spacing w:after="0" w:line="156" w:lineRule="exact"/>
              <w:rPr>
                <w:sz w:val="20"/>
                <w:szCs w:val="20"/>
                <w:color w:val="auto"/>
              </w:rPr>
            </w:pPr>
            <w:r>
              <w:rPr>
                <w:rFonts w:ascii="Arial" w:cs="Arial" w:eastAsia="Arial" w:hAnsi="Arial"/>
                <w:sz w:val="14"/>
                <w:szCs w:val="14"/>
                <w:color w:val="auto"/>
                <w:w w:val="96"/>
              </w:rPr>
              <w:t>%</w:t>
            </w:r>
          </w:p>
        </w:tc>
        <w:tc>
          <w:tcPr>
            <w:tcW w:w="1160" w:type="dxa"/>
            <w:vAlign w:val="bottom"/>
            <w:tcBorders>
              <w:top w:val="single" w:sz="8" w:color="auto"/>
            </w:tcBorders>
            <w:shd w:val="clear" w:color="auto" w:fill="CCECFF"/>
          </w:tcPr>
          <w:p>
            <w:pPr>
              <w:spacing w:after="0"/>
              <w:rPr>
                <w:sz w:val="13"/>
                <w:szCs w:val="13"/>
                <w:color w:val="auto"/>
              </w:rPr>
            </w:pPr>
          </w:p>
        </w:tc>
        <w:tc>
          <w:tcPr>
            <w:tcW w:w="76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48.38</w:t>
            </w:r>
          </w:p>
        </w:tc>
        <w:tc>
          <w:tcPr>
            <w:tcW w:w="180" w:type="dxa"/>
            <w:vAlign w:val="bottom"/>
            <w:shd w:val="clear" w:color="auto" w:fill="CCECFF"/>
          </w:tcPr>
          <w:p>
            <w:pPr>
              <w:jc w:val="right"/>
              <w:spacing w:after="0" w:line="156" w:lineRule="exact"/>
              <w:rPr>
                <w:sz w:val="20"/>
                <w:szCs w:val="20"/>
                <w:color w:val="auto"/>
              </w:rPr>
            </w:pPr>
            <w:r>
              <w:rPr>
                <w:rFonts w:ascii="Arial" w:cs="Arial" w:eastAsia="Arial" w:hAnsi="Arial"/>
                <w:sz w:val="14"/>
                <w:szCs w:val="14"/>
                <w:color w:val="auto"/>
                <w:w w:val="96"/>
              </w:rPr>
              <w:t>%</w:t>
            </w:r>
          </w:p>
        </w:tc>
      </w:tr>
      <w:tr>
        <w:trPr>
          <w:trHeight w:val="176"/>
        </w:trPr>
        <w:tc>
          <w:tcPr>
            <w:tcW w:w="6780" w:type="dxa"/>
            <w:vAlign w:val="bottom"/>
          </w:tcPr>
          <w:p>
            <w:pPr>
              <w:ind w:left="20"/>
              <w:spacing w:after="0"/>
              <w:rPr>
                <w:sz w:val="20"/>
                <w:szCs w:val="20"/>
                <w:color w:val="auto"/>
              </w:rPr>
            </w:pPr>
            <w:r>
              <w:rPr>
                <w:rFonts w:ascii="Arial" w:cs="Arial" w:eastAsia="Arial" w:hAnsi="Arial"/>
                <w:sz w:val="14"/>
                <w:szCs w:val="14"/>
                <w:color w:val="auto"/>
              </w:rPr>
              <w:t>Shares outstanding at end of period</w:t>
            </w:r>
          </w:p>
        </w:tc>
        <w:tc>
          <w:tcPr>
            <w:tcW w:w="1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67,045,105</w:t>
            </w:r>
          </w:p>
        </w:tc>
        <w:tc>
          <w:tcPr>
            <w:tcW w:w="4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67,045,105</w:t>
            </w:r>
          </w:p>
        </w:tc>
        <w:tc>
          <w:tcPr>
            <w:tcW w:w="180" w:type="dxa"/>
            <w:vAlign w:val="bottom"/>
          </w:tcPr>
          <w:p>
            <w:pPr>
              <w:spacing w:after="0"/>
              <w:rPr>
                <w:sz w:val="15"/>
                <w:szCs w:val="15"/>
                <w:color w:val="auto"/>
              </w:rPr>
            </w:pPr>
          </w:p>
        </w:tc>
      </w:tr>
      <w:tr>
        <w:trPr>
          <w:trHeight w:val="169"/>
        </w:trPr>
        <w:tc>
          <w:tcPr>
            <w:tcW w:w="6780" w:type="dxa"/>
            <w:vAlign w:val="bottom"/>
            <w:shd w:val="clear" w:color="auto" w:fill="CCECFF"/>
          </w:tcPr>
          <w:p>
            <w:pPr>
              <w:ind w:left="20"/>
              <w:spacing w:after="0" w:line="169" w:lineRule="exact"/>
              <w:rPr>
                <w:sz w:val="20"/>
                <w:szCs w:val="20"/>
                <w:color w:val="auto"/>
              </w:rPr>
            </w:pPr>
            <w:r>
              <w:rPr>
                <w:rFonts w:ascii="Arial" w:cs="Arial" w:eastAsia="Arial" w:hAnsi="Arial"/>
                <w:sz w:val="14"/>
                <w:szCs w:val="14"/>
                <w:b w:val="1"/>
                <w:bCs w:val="1"/>
                <w:color w:val="auto"/>
              </w:rPr>
              <w:t>Ratios</w:t>
            </w:r>
            <w:r>
              <w:rPr>
                <w:rFonts w:ascii="Arial" w:cs="Arial" w:eastAsia="Arial" w:hAnsi="Arial"/>
                <w:sz w:val="19"/>
                <w:szCs w:val="19"/>
                <w:b w:val="1"/>
                <w:bCs w:val="1"/>
                <w:color w:val="auto"/>
                <w:vertAlign w:val="superscript"/>
              </w:rPr>
              <w:t>**</w:t>
            </w:r>
            <w:r>
              <w:rPr>
                <w:rFonts w:ascii="Arial" w:cs="Arial" w:eastAsia="Arial" w:hAnsi="Arial"/>
                <w:sz w:val="14"/>
                <w:szCs w:val="14"/>
                <w:b w:val="1"/>
                <w:bCs w:val="1"/>
                <w:color w:val="auto"/>
              </w:rPr>
              <w:t xml:space="preserve"> / Supplemental Data:</w:t>
            </w:r>
          </w:p>
        </w:tc>
        <w:tc>
          <w:tcPr>
            <w:tcW w:w="116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r>
      <w:tr>
        <w:trPr>
          <w:trHeight w:val="175"/>
        </w:trPr>
        <w:tc>
          <w:tcPr>
            <w:tcW w:w="678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9"/>
                <w:szCs w:val="19"/>
                <w:color w:val="auto"/>
                <w:vertAlign w:val="superscript"/>
              </w:rPr>
              <w:t>(4)</w:t>
            </w:r>
          </w:p>
        </w:tc>
        <w:tc>
          <w:tcPr>
            <w:tcW w:w="1160" w:type="dxa"/>
            <w:vAlign w:val="bottom"/>
          </w:tcPr>
          <w:p>
            <w:pPr>
              <w:spacing w:after="0"/>
              <w:rPr>
                <w:sz w:val="15"/>
                <w:szCs w:val="15"/>
                <w:color w:val="auto"/>
              </w:rPr>
            </w:pPr>
          </w:p>
        </w:tc>
        <w:tc>
          <w:tcPr>
            <w:tcW w:w="1200" w:type="dxa"/>
            <w:vAlign w:val="bottom"/>
            <w:gridSpan w:val="2"/>
          </w:tcPr>
          <w:p>
            <w:pPr>
              <w:jc w:val="right"/>
              <w:ind w:right="208"/>
              <w:spacing w:after="0"/>
              <w:rPr>
                <w:sz w:val="20"/>
                <w:szCs w:val="20"/>
                <w:color w:val="auto"/>
              </w:rPr>
            </w:pPr>
            <w:r>
              <w:rPr>
                <w:rFonts w:ascii="Arial" w:cs="Arial" w:eastAsia="Arial" w:hAnsi="Arial"/>
                <w:sz w:val="14"/>
                <w:szCs w:val="14"/>
                <w:color w:val="auto"/>
              </w:rPr>
              <w:t>5.40 %</w:t>
            </w:r>
          </w:p>
        </w:tc>
        <w:tc>
          <w:tcPr>
            <w:tcW w:w="11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3.97 %</w:t>
            </w:r>
          </w:p>
        </w:tc>
      </w:tr>
      <w:tr>
        <w:trPr>
          <w:trHeight w:val="176"/>
        </w:trPr>
        <w:tc>
          <w:tcPr>
            <w:tcW w:w="6780" w:type="dxa"/>
            <w:vAlign w:val="bottom"/>
            <w:shd w:val="clear" w:color="auto" w:fill="CCECFF"/>
          </w:tcPr>
          <w:p>
            <w:pPr>
              <w:ind w:left="20"/>
              <w:spacing w:after="0" w:line="175" w:lineRule="exact"/>
              <w:rPr>
                <w:sz w:val="20"/>
                <w:szCs w:val="20"/>
                <w:color w:val="auto"/>
              </w:rPr>
            </w:pPr>
            <w:r>
              <w:rPr>
                <w:rFonts w:ascii="Arial" w:cs="Arial" w:eastAsia="Arial" w:hAnsi="Arial"/>
                <w:sz w:val="14"/>
                <w:szCs w:val="14"/>
                <w:color w:val="auto"/>
              </w:rPr>
              <w:t xml:space="preserve">Ratio of debt related expenses to average net assets </w:t>
            </w:r>
            <w:r>
              <w:rPr>
                <w:rFonts w:ascii="Arial" w:cs="Arial" w:eastAsia="Arial" w:hAnsi="Arial"/>
                <w:sz w:val="19"/>
                <w:szCs w:val="19"/>
                <w:color w:val="auto"/>
                <w:vertAlign w:val="superscript"/>
              </w:rPr>
              <w:t>(5)</w:t>
            </w:r>
          </w:p>
        </w:tc>
        <w:tc>
          <w:tcPr>
            <w:tcW w:w="116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208"/>
              <w:spacing w:after="0"/>
              <w:rPr>
                <w:sz w:val="20"/>
                <w:szCs w:val="20"/>
                <w:color w:val="auto"/>
              </w:rPr>
            </w:pPr>
            <w:r>
              <w:rPr>
                <w:rFonts w:ascii="Arial" w:cs="Arial" w:eastAsia="Arial" w:hAnsi="Arial"/>
                <w:sz w:val="14"/>
                <w:szCs w:val="14"/>
                <w:color w:val="auto"/>
              </w:rPr>
              <w:t>4.16 %</w:t>
            </w:r>
          </w:p>
        </w:tc>
        <w:tc>
          <w:tcPr>
            <w:tcW w:w="1160" w:type="dxa"/>
            <w:vAlign w:val="bottom"/>
            <w:shd w:val="clear" w:color="auto" w:fill="CCECFF"/>
          </w:tcPr>
          <w:p>
            <w:pPr>
              <w:spacing w:after="0"/>
              <w:rPr>
                <w:sz w:val="15"/>
                <w:szCs w:val="15"/>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3.67 %</w:t>
            </w:r>
          </w:p>
        </w:tc>
      </w:tr>
      <w:tr>
        <w:trPr>
          <w:trHeight w:val="20"/>
        </w:trPr>
        <w:tc>
          <w:tcPr>
            <w:tcW w:w="678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CCEC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r>
      <w:tr>
        <w:trPr>
          <w:trHeight w:val="169"/>
        </w:trPr>
        <w:tc>
          <w:tcPr>
            <w:tcW w:w="6780" w:type="dxa"/>
            <w:vAlign w:val="bottom"/>
          </w:tcPr>
          <w:p>
            <w:pPr>
              <w:ind w:left="20"/>
              <w:spacing w:after="0" w:line="169" w:lineRule="exact"/>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9"/>
                <w:szCs w:val="19"/>
                <w:color w:val="auto"/>
                <w:vertAlign w:val="superscript"/>
              </w:rPr>
              <w:t>(5)</w:t>
            </w:r>
          </w:p>
        </w:tc>
        <w:tc>
          <w:tcPr>
            <w:tcW w:w="1160" w:type="dxa"/>
            <w:vAlign w:val="bottom"/>
          </w:tcPr>
          <w:p>
            <w:pPr>
              <w:spacing w:after="0"/>
              <w:rPr>
                <w:sz w:val="14"/>
                <w:szCs w:val="14"/>
                <w:color w:val="auto"/>
              </w:rPr>
            </w:pPr>
          </w:p>
        </w:tc>
        <w:tc>
          <w:tcPr>
            <w:tcW w:w="1200" w:type="dxa"/>
            <w:vAlign w:val="bottom"/>
            <w:gridSpan w:val="2"/>
          </w:tcPr>
          <w:p>
            <w:pPr>
              <w:jc w:val="right"/>
              <w:ind w:right="208"/>
              <w:spacing w:after="0"/>
              <w:rPr>
                <w:sz w:val="20"/>
                <w:szCs w:val="20"/>
                <w:color w:val="auto"/>
              </w:rPr>
            </w:pPr>
            <w:r>
              <w:rPr>
                <w:rFonts w:ascii="Arial" w:cs="Arial" w:eastAsia="Arial" w:hAnsi="Arial"/>
                <w:sz w:val="14"/>
                <w:szCs w:val="14"/>
                <w:color w:val="auto"/>
              </w:rPr>
              <w:t>9.56 %</w:t>
            </w:r>
          </w:p>
        </w:tc>
        <w:tc>
          <w:tcPr>
            <w:tcW w:w="1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7.64 %</w:t>
            </w:r>
          </w:p>
        </w:tc>
      </w:tr>
      <w:tr>
        <w:trPr>
          <w:trHeight w:val="175"/>
        </w:trPr>
        <w:tc>
          <w:tcPr>
            <w:tcW w:w="6780" w:type="dxa"/>
            <w:vAlign w:val="bottom"/>
            <w:shd w:val="clear" w:color="auto" w:fill="CCECFF"/>
          </w:tcPr>
          <w:p>
            <w:pPr>
              <w:ind w:left="20"/>
              <w:spacing w:after="0" w:line="175" w:lineRule="exact"/>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9"/>
                <w:szCs w:val="19"/>
                <w:color w:val="auto"/>
                <w:vertAlign w:val="superscript"/>
              </w:rPr>
              <w:t>(5)</w:t>
            </w:r>
          </w:p>
        </w:tc>
        <w:tc>
          <w:tcPr>
            <w:tcW w:w="116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208"/>
              <w:spacing w:after="0"/>
              <w:rPr>
                <w:sz w:val="20"/>
                <w:szCs w:val="20"/>
                <w:color w:val="auto"/>
              </w:rPr>
            </w:pPr>
            <w:r>
              <w:rPr>
                <w:rFonts w:ascii="Arial" w:cs="Arial" w:eastAsia="Arial" w:hAnsi="Arial"/>
                <w:sz w:val="14"/>
                <w:szCs w:val="14"/>
                <w:color w:val="auto"/>
              </w:rPr>
              <w:t>7.57 %</w:t>
            </w:r>
          </w:p>
        </w:tc>
        <w:tc>
          <w:tcPr>
            <w:tcW w:w="1160" w:type="dxa"/>
            <w:vAlign w:val="bottom"/>
            <w:shd w:val="clear" w:color="auto" w:fill="CCECFF"/>
          </w:tcPr>
          <w:p>
            <w:pPr>
              <w:spacing w:after="0"/>
              <w:rPr>
                <w:sz w:val="15"/>
                <w:szCs w:val="15"/>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6.10 %</w:t>
            </w:r>
          </w:p>
        </w:tc>
      </w:tr>
      <w:tr>
        <w:trPr>
          <w:trHeight w:val="176"/>
        </w:trPr>
        <w:tc>
          <w:tcPr>
            <w:tcW w:w="6780" w:type="dxa"/>
            <w:vAlign w:val="bottom"/>
          </w:tcPr>
          <w:p>
            <w:pPr>
              <w:ind w:left="20"/>
              <w:spacing w:after="0"/>
              <w:rPr>
                <w:sz w:val="20"/>
                <w:szCs w:val="20"/>
                <w:color w:val="auto"/>
              </w:rPr>
            </w:pPr>
            <w:r>
              <w:rPr>
                <w:rFonts w:ascii="Arial" w:cs="Arial" w:eastAsia="Arial" w:hAnsi="Arial"/>
                <w:sz w:val="14"/>
                <w:szCs w:val="14"/>
                <w:color w:val="auto"/>
              </w:rPr>
              <w:t>Net assets at end of period</w:t>
            </w:r>
          </w:p>
        </w:tc>
        <w:tc>
          <w:tcPr>
            <w:tcW w:w="116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677,609,391</w:t>
            </w:r>
          </w:p>
        </w:tc>
        <w:tc>
          <w:tcPr>
            <w:tcW w:w="420" w:type="dxa"/>
            <w:vAlign w:val="bottom"/>
          </w:tcPr>
          <w:p>
            <w:pPr>
              <w:spacing w:after="0"/>
              <w:rPr>
                <w:sz w:val="15"/>
                <w:szCs w:val="15"/>
                <w:color w:val="auto"/>
              </w:rPr>
            </w:pPr>
          </w:p>
        </w:tc>
        <w:tc>
          <w:tcPr>
            <w:tcW w:w="116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588,797,190</w:t>
            </w:r>
          </w:p>
        </w:tc>
        <w:tc>
          <w:tcPr>
            <w:tcW w:w="180" w:type="dxa"/>
            <w:vAlign w:val="bottom"/>
          </w:tcPr>
          <w:p>
            <w:pPr>
              <w:spacing w:after="0"/>
              <w:rPr>
                <w:sz w:val="15"/>
                <w:szCs w:val="15"/>
                <w:color w:val="auto"/>
              </w:rPr>
            </w:pPr>
          </w:p>
        </w:tc>
      </w:tr>
      <w:tr>
        <w:trPr>
          <w:trHeight w:val="169"/>
        </w:trPr>
        <w:tc>
          <w:tcPr>
            <w:tcW w:w="67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Weighted average debt outstanding</w:t>
            </w:r>
          </w:p>
        </w:tc>
        <w:tc>
          <w:tcPr>
            <w:tcW w:w="1160" w:type="dxa"/>
            <w:vAlign w:val="bottom"/>
            <w:tcBorders>
              <w:bottom w:val="single" w:sz="8" w:color="auto"/>
            </w:tcBorders>
            <w:shd w:val="clear" w:color="auto" w:fill="CCECFF"/>
          </w:tcPr>
          <w:p>
            <w:pPr>
              <w:jc w:val="right"/>
              <w:ind w:right="9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97"/>
              </w:rPr>
              <w:t>697,267,478</w:t>
            </w:r>
          </w:p>
        </w:tc>
        <w:tc>
          <w:tcPr>
            <w:tcW w:w="420" w:type="dxa"/>
            <w:vAlign w:val="bottom"/>
            <w:tcBorders>
              <w:bottom w:val="single" w:sz="8" w:color="CCECFF"/>
            </w:tcBorders>
            <w:shd w:val="clear" w:color="auto" w:fill="CCECFF"/>
          </w:tcPr>
          <w:p>
            <w:pPr>
              <w:spacing w:after="0"/>
              <w:rPr>
                <w:sz w:val="14"/>
                <w:szCs w:val="14"/>
                <w:color w:val="auto"/>
              </w:rPr>
            </w:pPr>
          </w:p>
        </w:tc>
        <w:tc>
          <w:tcPr>
            <w:tcW w:w="1160" w:type="dxa"/>
            <w:vAlign w:val="bottom"/>
            <w:tcBorders>
              <w:bottom w:val="single" w:sz="8" w:color="auto"/>
            </w:tcBorders>
            <w:shd w:val="clear" w:color="auto" w:fill="CCECFF"/>
          </w:tcPr>
          <w:p>
            <w:pPr>
              <w:jc w:val="right"/>
              <w:ind w:right="9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95"/>
              </w:rPr>
              <w:t>584,745,097</w:t>
            </w:r>
          </w:p>
        </w:tc>
        <w:tc>
          <w:tcPr>
            <w:tcW w:w="180" w:type="dxa"/>
            <w:vAlign w:val="bottom"/>
            <w:tcBorders>
              <w:bottom w:val="single" w:sz="8" w:color="CCECFF"/>
            </w:tcBorders>
            <w:shd w:val="clear" w:color="auto" w:fill="CCECFF"/>
          </w:tcPr>
          <w:p>
            <w:pPr>
              <w:spacing w:after="0"/>
              <w:rPr>
                <w:sz w:val="14"/>
                <w:szCs w:val="14"/>
                <w:color w:val="auto"/>
              </w:rPr>
            </w:pPr>
          </w:p>
        </w:tc>
      </w:tr>
      <w:tr>
        <w:trPr>
          <w:trHeight w:val="169"/>
        </w:trPr>
        <w:tc>
          <w:tcPr>
            <w:tcW w:w="6780" w:type="dxa"/>
            <w:vAlign w:val="bottom"/>
          </w:tcPr>
          <w:p>
            <w:pPr>
              <w:ind w:left="20"/>
              <w:spacing w:after="0" w:line="169"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9"/>
                <w:szCs w:val="19"/>
                <w:color w:val="auto"/>
                <w:vertAlign w:val="superscript"/>
              </w:rPr>
              <w:t>(1)</w:t>
            </w: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10.40</w:t>
            </w:r>
          </w:p>
        </w:tc>
        <w:tc>
          <w:tcPr>
            <w:tcW w:w="420" w:type="dxa"/>
            <w:vAlign w:val="bottom"/>
          </w:tcPr>
          <w:p>
            <w:pPr>
              <w:spacing w:after="0"/>
              <w:rPr>
                <w:sz w:val="14"/>
                <w:szCs w:val="14"/>
                <w:color w:val="auto"/>
              </w:rPr>
            </w:pPr>
          </w:p>
        </w:tc>
        <w:tc>
          <w:tcPr>
            <w:tcW w:w="11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8.72</w:t>
            </w:r>
          </w:p>
        </w:tc>
        <w:tc>
          <w:tcPr>
            <w:tcW w:w="180" w:type="dxa"/>
            <w:vAlign w:val="bottom"/>
          </w:tcPr>
          <w:p>
            <w:pPr>
              <w:spacing w:after="0"/>
              <w:rPr>
                <w:sz w:val="14"/>
                <w:szCs w:val="14"/>
                <w:color w:val="auto"/>
              </w:rPr>
            </w:pPr>
          </w:p>
        </w:tc>
      </w:tr>
      <w:tr>
        <w:trPr>
          <w:trHeight w:val="176"/>
        </w:trPr>
        <w:tc>
          <w:tcPr>
            <w:tcW w:w="6780" w:type="dxa"/>
            <w:vAlign w:val="bottom"/>
            <w:shd w:val="clear" w:color="auto" w:fill="CCECFF"/>
          </w:tcPr>
          <w:p>
            <w:pPr>
              <w:ind w:left="20"/>
              <w:spacing w:after="0" w:line="175"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9"/>
                <w:szCs w:val="19"/>
                <w:color w:val="auto"/>
                <w:vertAlign w:val="superscript"/>
              </w:rPr>
              <w:t>(6)</w:t>
            </w:r>
          </w:p>
        </w:tc>
        <w:tc>
          <w:tcPr>
            <w:tcW w:w="1160" w:type="dxa"/>
            <w:vAlign w:val="bottom"/>
            <w:shd w:val="clear" w:color="auto" w:fill="CCECFF"/>
          </w:tcPr>
          <w:p>
            <w:pPr>
              <w:jc w:val="right"/>
              <w:ind w:right="9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1,902</w:t>
            </w:r>
          </w:p>
        </w:tc>
        <w:tc>
          <w:tcPr>
            <w:tcW w:w="420" w:type="dxa"/>
            <w:vAlign w:val="bottom"/>
            <w:shd w:val="clear" w:color="auto" w:fill="CCECFF"/>
          </w:tcPr>
          <w:p>
            <w:pPr>
              <w:spacing w:after="0"/>
              <w:rPr>
                <w:sz w:val="15"/>
                <w:szCs w:val="15"/>
                <w:color w:val="auto"/>
              </w:rPr>
            </w:pPr>
          </w:p>
        </w:tc>
        <w:tc>
          <w:tcPr>
            <w:tcW w:w="1160" w:type="dxa"/>
            <w:vAlign w:val="bottom"/>
            <w:shd w:val="clear" w:color="auto" w:fill="CCECFF"/>
          </w:tcPr>
          <w:p>
            <w:pPr>
              <w:jc w:val="right"/>
              <w:ind w:right="9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2,320</w:t>
            </w:r>
          </w:p>
        </w:tc>
        <w:tc>
          <w:tcPr>
            <w:tcW w:w="180" w:type="dxa"/>
            <w:vAlign w:val="bottom"/>
            <w:shd w:val="clear" w:color="auto" w:fill="CCECFF"/>
          </w:tcPr>
          <w:p>
            <w:pPr>
              <w:spacing w:after="0"/>
              <w:rPr>
                <w:sz w:val="15"/>
                <w:szCs w:val="15"/>
                <w:color w:val="auto"/>
              </w:rPr>
            </w:pPr>
          </w:p>
        </w:tc>
      </w:tr>
      <w:tr>
        <w:trPr>
          <w:trHeight w:val="174"/>
        </w:trPr>
        <w:tc>
          <w:tcPr>
            <w:tcW w:w="6780" w:type="dxa"/>
            <w:vAlign w:val="bottom"/>
          </w:tcPr>
          <w:p>
            <w:pPr>
              <w:ind w:left="20"/>
              <w:spacing w:after="0"/>
              <w:rPr>
                <w:sz w:val="20"/>
                <w:szCs w:val="20"/>
                <w:color w:val="auto"/>
              </w:rPr>
            </w:pPr>
            <w:r>
              <w:rPr>
                <w:rFonts w:ascii="Arial" w:cs="Arial" w:eastAsia="Arial" w:hAnsi="Arial"/>
                <w:sz w:val="14"/>
                <w:szCs w:val="14"/>
                <w:color w:val="auto"/>
              </w:rPr>
              <w:t>Portfolio turnover ratio</w:t>
            </w:r>
          </w:p>
        </w:tc>
        <w:tc>
          <w:tcPr>
            <w:tcW w:w="1160" w:type="dxa"/>
            <w:vAlign w:val="bottom"/>
          </w:tcPr>
          <w:p>
            <w:pPr>
              <w:spacing w:after="0"/>
              <w:rPr>
                <w:sz w:val="15"/>
                <w:szCs w:val="15"/>
                <w:color w:val="auto"/>
              </w:rPr>
            </w:pPr>
          </w:p>
        </w:tc>
        <w:tc>
          <w:tcPr>
            <w:tcW w:w="1200" w:type="dxa"/>
            <w:vAlign w:val="bottom"/>
            <w:gridSpan w:val="2"/>
          </w:tcPr>
          <w:p>
            <w:pPr>
              <w:jc w:val="right"/>
              <w:ind w:right="208"/>
              <w:spacing w:after="0"/>
              <w:rPr>
                <w:sz w:val="20"/>
                <w:szCs w:val="20"/>
                <w:color w:val="auto"/>
              </w:rPr>
            </w:pPr>
            <w:r>
              <w:rPr>
                <w:rFonts w:ascii="Arial" w:cs="Arial" w:eastAsia="Arial" w:hAnsi="Arial"/>
                <w:sz w:val="14"/>
                <w:szCs w:val="14"/>
                <w:color w:val="auto"/>
              </w:rPr>
              <w:t>9.73 %</w:t>
            </w:r>
          </w:p>
        </w:tc>
        <w:tc>
          <w:tcPr>
            <w:tcW w:w="11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-1532890</wp:posOffset>
            </wp:positionV>
            <wp:extent cx="12001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-1515745</wp:posOffset>
            </wp:positionV>
            <wp:extent cx="12001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-1532890</wp:posOffset>
            </wp:positionV>
            <wp:extent cx="1117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-1515745</wp:posOffset>
            </wp:positionV>
            <wp:extent cx="11176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-801370</wp:posOffset>
            </wp:positionV>
            <wp:extent cx="120015"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-801370</wp:posOffset>
            </wp:positionV>
            <wp:extent cx="111760"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-338455</wp:posOffset>
            </wp:positionV>
            <wp:extent cx="120015"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-338455</wp:posOffset>
            </wp:positionV>
            <wp:extent cx="111760"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11760" cy="5715"/>
                    </a:xfrm>
                    <a:prstGeom prst="rect">
                      <a:avLst/>
                    </a:prstGeom>
                    <a:noFill/>
                  </pic:spPr>
                </pic:pic>
              </a:graphicData>
            </a:graphic>
          </wp:anchor>
        </w:drawing>
      </w:r>
    </w:p>
    <w:p>
      <w:pPr>
        <w:ind w:right="9180" w:firstLine="8"/>
        <w:spacing w:after="0" w:line="281" w:lineRule="auto"/>
        <w:tabs>
          <w:tab w:leader="none" w:pos="81" w:val="left"/>
        </w:tabs>
        <w:numPr>
          <w:ilvl w:val="0"/>
          <w:numId w:val="26"/>
        </w:numPr>
        <w:rPr>
          <w:rFonts w:ascii="Arial" w:cs="Arial" w:eastAsia="Arial" w:hAnsi="Arial"/>
          <w:sz w:val="9"/>
          <w:szCs w:val="9"/>
          <w:b w:val="1"/>
          <w:bCs w:val="1"/>
          <w:color w:val="auto"/>
        </w:rPr>
      </w:pPr>
      <w:r>
        <w:rPr>
          <w:rFonts w:ascii="Arial" w:cs="Arial" w:eastAsia="Arial" w:hAnsi="Arial"/>
          <w:sz w:val="9"/>
          <w:szCs w:val="9"/>
          <w:color w:val="auto"/>
        </w:rPr>
        <w:t xml:space="preserve">Not annualized for periods less than one year. </w:t>
      </w:r>
      <w:r>
        <w:rPr>
          <w:rFonts w:ascii="Arial" w:cs="Arial" w:eastAsia="Arial" w:hAnsi="Arial"/>
          <w:sz w:val="9"/>
          <w:szCs w:val="9"/>
          <w:b w:val="1"/>
          <w:bCs w:val="1"/>
          <w:color w:val="auto"/>
        </w:rPr>
        <w:t xml:space="preserve">** </w:t>
      </w:r>
      <w:r>
        <w:rPr>
          <w:rFonts w:ascii="Arial" w:cs="Arial" w:eastAsia="Arial" w:hAnsi="Arial"/>
          <w:sz w:val="9"/>
          <w:szCs w:val="9"/>
          <w:color w:val="auto"/>
        </w:rPr>
        <w:t>Annualized for periods less than one year.</w:t>
      </w:r>
    </w:p>
    <w:p>
      <w:pPr>
        <w:ind w:left="380" w:hanging="372"/>
        <w:spacing w:after="0" w:line="182" w:lineRule="auto"/>
        <w:tabs>
          <w:tab w:leader="none" w:pos="380" w:val="left"/>
        </w:tabs>
        <w:numPr>
          <w:ilvl w:val="0"/>
          <w:numId w:val="27"/>
        </w:numPr>
        <w:rPr>
          <w:rFonts w:ascii="Arial" w:cs="Arial" w:eastAsia="Arial" w:hAnsi="Arial"/>
          <w:sz w:val="14"/>
          <w:szCs w:val="14"/>
          <w:color w:val="auto"/>
          <w:vertAlign w:val="superscript"/>
        </w:rPr>
      </w:pPr>
      <w:r>
        <w:rPr>
          <w:rFonts w:ascii="Arial" w:cs="Arial" w:eastAsia="Arial" w:hAnsi="Arial"/>
          <w:sz w:val="11"/>
          <w:szCs w:val="11"/>
          <w:color w:val="auto"/>
        </w:rPr>
        <w:t>Based on the weighted average shares outstanding for the respective periods.</w:t>
      </w:r>
    </w:p>
    <w:p>
      <w:pPr>
        <w:ind w:left="380" w:hanging="372"/>
        <w:spacing w:after="0" w:line="181" w:lineRule="auto"/>
        <w:tabs>
          <w:tab w:leader="none" w:pos="380" w:val="left"/>
        </w:tabs>
        <w:numPr>
          <w:ilvl w:val="0"/>
          <w:numId w:val="27"/>
        </w:numPr>
        <w:rPr>
          <w:rFonts w:ascii="Arial" w:cs="Arial" w:eastAsia="Arial" w:hAnsi="Arial"/>
          <w:sz w:val="14"/>
          <w:szCs w:val="14"/>
          <w:color w:val="auto"/>
          <w:vertAlign w:val="superscript"/>
        </w:rPr>
      </w:pPr>
      <w:r>
        <w:rPr>
          <w:rFonts w:ascii="Arial" w:cs="Arial" w:eastAsia="Arial" w:hAnsi="Arial"/>
          <w:sz w:val="11"/>
          <w:szCs w:val="11"/>
          <w:color w:val="auto"/>
        </w:rPr>
        <w:t>The tax status of distributions is calculated in accordance with income tax regulations, which may differ from amounts determined under GAAP, and reported on Form 1099-DIV each calendar year.</w:t>
      </w:r>
    </w:p>
    <w:p>
      <w:pPr>
        <w:ind w:left="380" w:hanging="372"/>
        <w:spacing w:after="0" w:line="181" w:lineRule="auto"/>
        <w:tabs>
          <w:tab w:leader="none" w:pos="380" w:val="left"/>
        </w:tabs>
        <w:numPr>
          <w:ilvl w:val="0"/>
          <w:numId w:val="27"/>
        </w:numPr>
        <w:rPr>
          <w:rFonts w:ascii="Arial" w:cs="Arial" w:eastAsia="Arial" w:hAnsi="Arial"/>
          <w:sz w:val="14"/>
          <w:szCs w:val="14"/>
          <w:color w:val="auto"/>
          <w:vertAlign w:val="superscript"/>
        </w:rPr>
      </w:pPr>
      <w:r>
        <w:rPr>
          <w:rFonts w:ascii="Arial" w:cs="Arial" w:eastAsia="Arial" w:hAnsi="Arial"/>
          <w:sz w:val="11"/>
          <w:szCs w:val="11"/>
          <w:color w:val="auto"/>
        </w:rPr>
        <w:t>Based on the change in market price per share during the periods and assumes distributions, if any, are reinvested.</w:t>
      </w:r>
    </w:p>
    <w:p>
      <w:pPr>
        <w:ind w:left="380" w:hanging="372"/>
        <w:spacing w:after="0" w:line="181" w:lineRule="auto"/>
        <w:tabs>
          <w:tab w:leader="none" w:pos="380" w:val="left"/>
        </w:tabs>
        <w:numPr>
          <w:ilvl w:val="0"/>
          <w:numId w:val="27"/>
        </w:numPr>
        <w:rPr>
          <w:rFonts w:ascii="Arial" w:cs="Arial" w:eastAsia="Arial" w:hAnsi="Arial"/>
          <w:sz w:val="14"/>
          <w:szCs w:val="14"/>
          <w:color w:val="auto"/>
          <w:vertAlign w:val="superscript"/>
        </w:rPr>
      </w:pPr>
      <w:r>
        <w:rPr>
          <w:rFonts w:ascii="Arial" w:cs="Arial" w:eastAsia="Arial" w:hAnsi="Arial"/>
          <w:sz w:val="11"/>
          <w:szCs w:val="11"/>
          <w:color w:val="auto"/>
        </w:rPr>
        <w:t>Excludes debt-related costs.</w:t>
      </w:r>
    </w:p>
    <w:p>
      <w:pPr>
        <w:ind w:left="380" w:hanging="372"/>
        <w:spacing w:after="0" w:line="181" w:lineRule="auto"/>
        <w:tabs>
          <w:tab w:leader="none" w:pos="380" w:val="left"/>
        </w:tabs>
        <w:numPr>
          <w:ilvl w:val="0"/>
          <w:numId w:val="27"/>
        </w:numPr>
        <w:rPr>
          <w:rFonts w:ascii="Arial" w:cs="Arial" w:eastAsia="Arial" w:hAnsi="Arial"/>
          <w:sz w:val="14"/>
          <w:szCs w:val="14"/>
          <w:color w:val="auto"/>
          <w:vertAlign w:val="superscript"/>
        </w:rPr>
      </w:pPr>
      <w:r>
        <w:rPr>
          <w:rFonts w:ascii="Arial" w:cs="Arial" w:eastAsia="Arial" w:hAnsi="Arial"/>
          <w:sz w:val="11"/>
          <w:szCs w:val="11"/>
          <w:color w:val="auto"/>
        </w:rPr>
        <w:t>Includes interest and expenses on debt (annualized) as well as Credit Facility amendmentt, debt issuance costs and excludes debt extinguishment cost, if any, (not annualized).</w:t>
      </w:r>
    </w:p>
    <w:p>
      <w:pPr>
        <w:ind w:left="380" w:hanging="372"/>
        <w:spacing w:after="0" w:line="181" w:lineRule="auto"/>
        <w:tabs>
          <w:tab w:leader="none" w:pos="380" w:val="left"/>
        </w:tabs>
        <w:numPr>
          <w:ilvl w:val="0"/>
          <w:numId w:val="27"/>
        </w:numPr>
        <w:rPr>
          <w:rFonts w:ascii="Arial" w:cs="Arial" w:eastAsia="Arial" w:hAnsi="Arial"/>
          <w:sz w:val="14"/>
          <w:szCs w:val="14"/>
          <w:color w:val="auto"/>
          <w:vertAlign w:val="superscript"/>
        </w:rPr>
      </w:pPr>
      <w:r>
        <w:rPr>
          <w:rFonts w:ascii="Arial" w:cs="Arial" w:eastAsia="Arial" w:hAnsi="Arial"/>
          <w:sz w:val="11"/>
          <w:szCs w:val="11"/>
          <w:color w:val="auto"/>
        </w:rPr>
        <w:t>Includes SBA debentures outstanding.</w:t>
      </w:r>
    </w:p>
    <w:p>
      <w:pPr>
        <w:ind w:left="380" w:right="220" w:hanging="372"/>
        <w:spacing w:after="0" w:line="215" w:lineRule="auto"/>
        <w:tabs>
          <w:tab w:leader="none" w:pos="380" w:val="left"/>
        </w:tabs>
        <w:numPr>
          <w:ilvl w:val="0"/>
          <w:numId w:val="27"/>
        </w:numPr>
        <w:rPr>
          <w:rFonts w:ascii="Arial" w:cs="Arial" w:eastAsia="Arial" w:hAnsi="Arial"/>
          <w:sz w:val="14"/>
          <w:szCs w:val="14"/>
          <w:color w:val="auto"/>
          <w:vertAlign w:val="superscript"/>
        </w:rPr>
      </w:pPr>
      <w:r>
        <w:rPr>
          <w:rFonts w:ascii="Arial" w:cs="Arial" w:eastAsia="Arial" w:hAnsi="Arial"/>
          <w:sz w:val="11"/>
          <w:szCs w:val="11"/>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67" w:lineRule="exact"/>
        <w:rPr>
          <w:sz w:val="20"/>
          <w:szCs w:val="20"/>
          <w:color w:val="auto"/>
        </w:rPr>
      </w:pPr>
    </w:p>
    <w:p>
      <w:pPr>
        <w:ind w:right="140" w:firstLine="449"/>
        <w:spacing w:after="0" w:line="252" w:lineRule="auto"/>
        <w:rPr>
          <w:sz w:val="20"/>
          <w:szCs w:val="20"/>
          <w:color w:val="auto"/>
        </w:rPr>
      </w:pPr>
      <w:r>
        <w:rPr>
          <w:rFonts w:ascii="Arial" w:cs="Arial" w:eastAsia="Arial" w:hAnsi="Arial"/>
          <w:sz w:val="14"/>
          <w:szCs w:val="14"/>
          <w:color w:val="auto"/>
        </w:rPr>
        <w:t>The annualized weighted average cost of debt for the three months ended December 31, 2021 and 2020, inclusive of the fee on the undrawn commitment under the Truist Credit Facility and amortized upfront fees on SBA debentures, 2024 Notes, 2026 Notes and 2026 Notes-2, was 4.0% and 3.4%, respectively. As of December 31, 2021, in accordance with the 1940 Act, with certain limited exceptions, we were only allowed to borrow amounts such that we are in compliance with a 150% asset coverage ratio requirement after such borrowing, excluding SBA debentures, pursuant to exemptive relief from the SEC received in June 2011.</w:t>
      </w:r>
    </w:p>
    <w:p>
      <w:pPr>
        <w:spacing w:after="0" w:line="134"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On February 5, 2019, our stockholders approved the application of the modified asset coverage requirements set forth in Section 61(a)(2) of the 1940 Act, as amended by the Consolidated Appropriations Act of 2018 (which includes the Small Business Credit Availability Act, or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December 31, 2021 and September 30, 2021, our asset coverage ratio, as computed in accordance with the 1940 Act, was 190% and 221%,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Truist Credit Facility</w:t>
      </w:r>
    </w:p>
    <w:p>
      <w:pPr>
        <w:spacing w:after="0" w:line="163" w:lineRule="exact"/>
        <w:rPr>
          <w:sz w:val="20"/>
          <w:szCs w:val="20"/>
          <w:color w:val="auto"/>
        </w:rPr>
      </w:pPr>
    </w:p>
    <w:p>
      <w:pPr>
        <w:ind w:right="20" w:firstLine="449"/>
        <w:spacing w:after="0" w:line="246" w:lineRule="auto"/>
        <w:rPr>
          <w:sz w:val="20"/>
          <w:szCs w:val="20"/>
          <w:color w:val="auto"/>
        </w:rPr>
      </w:pPr>
      <w:r>
        <w:rPr>
          <w:rFonts w:ascii="Arial" w:cs="Arial" w:eastAsia="Arial" w:hAnsi="Arial"/>
          <w:sz w:val="14"/>
          <w:szCs w:val="14"/>
          <w:color w:val="auto"/>
        </w:rPr>
        <w:t>As of December 31, 2021, we had the multi-currency Truist Credit Facility for up to $465.0 million (increased from $435.0 million in December 2021) in borrowings with certain lenders and Truist Bank (formerly SunTrust Bank), acting as administrative agent, and JPMorgan Chase Bank, N.A., acting as syndication agent for the lenders. As of December 31, 2021 and September 30, 2021, we had $445.2 million and $316.5 million, respectively, in outstanding borrowings under the Truist Credit Facility. The Truist Credit Facility had a weighted average interest rate of 2.4% and 2.4%, respectively, exclusive of the fee on undrawn commitment, as of December 31, 2021 and September 30, 2021. The Truist Credit Facility is a revolving facility with a stated maturity date of September 4, 2024, a one-year term-out period on September 4, 2023 and pricing set at 225 basis points over LIBOR (or an alternative risk-free floating interest rate index). As of December 31, 2021 and September 30, 2021, we had $19.8 million and $118.5 million of unused borrowing capacity under the Truist Credit Facility, respectively, subject to leverage and borrowing base restrictions. The Truist Credit Facility is secured by substantially all of our assets, excluding assets held by SBIC II. As of December 31, 2021, we were in compliance with the terms of the Truist Credit Facility.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163" w:lineRule="exact"/>
        <w:rPr>
          <w:sz w:val="20"/>
          <w:szCs w:val="20"/>
          <w:color w:val="auto"/>
        </w:rPr>
      </w:pPr>
    </w:p>
    <w:p>
      <w:pPr>
        <w:ind w:right="20" w:firstLine="449"/>
        <w:spacing w:after="0" w:line="273" w:lineRule="auto"/>
        <w:rPr>
          <w:sz w:val="20"/>
          <w:szCs w:val="20"/>
          <w:color w:val="auto"/>
        </w:rPr>
      </w:pPr>
      <w:r>
        <w:rPr>
          <w:rFonts w:ascii="Arial" w:cs="Arial" w:eastAsia="Arial" w:hAnsi="Arial"/>
          <w:sz w:val="13"/>
          <w:szCs w:val="13"/>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$63.5 million as of December 31, 2021 and September 30, 2021, respectively.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 million in the aggregate.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ind w:left="328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(Unaudited)</w:t>
      </w:r>
    </w:p>
    <w:p>
      <w:pPr>
        <w:spacing w:after="0" w:line="151" w:lineRule="exact"/>
        <w:rPr>
          <w:sz w:val="20"/>
          <w:szCs w:val="20"/>
          <w:color w:val="auto"/>
        </w:rPr>
      </w:pPr>
    </w:p>
    <w:p>
      <w:pPr>
        <w:jc w:val="both"/>
        <w:ind w:right="180" w:firstLine="449"/>
        <w:spacing w:after="0" w:line="286" w:lineRule="auto"/>
        <w:rPr>
          <w:sz w:val="20"/>
          <w:szCs w:val="20"/>
          <w:color w:val="auto"/>
        </w:rPr>
      </w:pPr>
      <w:r>
        <w:rPr>
          <w:rFonts w:ascii="Arial" w:cs="Arial" w:eastAsia="Arial" w:hAnsi="Arial"/>
          <w:sz w:val="13"/>
          <w:szCs w:val="13"/>
          <w:color w:val="auto"/>
        </w:rPr>
        <w:t>As of both December 31, 2021 and September 30, 2021, SBIC II had an initial $150.0 million in debt commitments, all of which were drawn. During the three months ended December 31, 2021 and 2020 there were zero repayments to the SBA debentures. As of both December 31, 2021 and September 30, 2021, the unamortized fees on the SBA debentures was $1.3 million, respectively. The SBA debentures’ upfront fees of 3.4% consist of a commitment fee of 1.0% and an issuance discount of 2.4%, which are being amortized.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80" w:type="dxa"/>
            <w:vAlign w:val="bottom"/>
          </w:tcPr>
          <w:p>
            <w:pPr>
              <w:ind w:left="460"/>
              <w:spacing w:after="0"/>
              <w:rPr>
                <w:sz w:val="20"/>
                <w:szCs w:val="20"/>
                <w:color w:val="auto"/>
              </w:rPr>
            </w:pPr>
            <w:r>
              <w:rPr>
                <w:rFonts w:ascii="Arial" w:cs="Arial" w:eastAsia="Arial" w:hAnsi="Arial"/>
                <w:sz w:val="14"/>
                <w:szCs w:val="14"/>
                <w:color w:val="auto"/>
              </w:rPr>
              <w:t>Our fixed-rate SBA debentures were as follows:</w:t>
            </w:r>
          </w:p>
        </w:tc>
        <w:tc>
          <w:tcPr>
            <w:tcW w:w="2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0"/>
        </w:trPr>
        <w:tc>
          <w:tcPr>
            <w:tcW w:w="35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tcPr>
          <w:p>
            <w:pPr>
              <w:spacing w:after="0"/>
              <w:rPr>
                <w:sz w:val="24"/>
                <w:szCs w:val="24"/>
                <w:color w:val="auto"/>
              </w:rPr>
            </w:pPr>
          </w:p>
        </w:tc>
        <w:tc>
          <w:tcPr>
            <w:tcW w:w="21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Maturity</w:t>
            </w:r>
          </w:p>
        </w:tc>
        <w:tc>
          <w:tcPr>
            <w:tcW w:w="260" w:type="dxa"/>
            <w:vAlign w:val="bottom"/>
          </w:tcPr>
          <w:p>
            <w:pPr>
              <w:spacing w:after="0"/>
              <w:rPr>
                <w:sz w:val="24"/>
                <w:szCs w:val="24"/>
                <w:color w:val="auto"/>
              </w:rPr>
            </w:pPr>
          </w:p>
        </w:tc>
        <w:tc>
          <w:tcPr>
            <w:tcW w:w="2440" w:type="dxa"/>
            <w:vAlign w:val="bottom"/>
            <w:gridSpan w:val="2"/>
            <w:vMerge w:val="restart"/>
          </w:tcPr>
          <w:p>
            <w:pPr>
              <w:jc w:val="right"/>
              <w:ind w:right="508"/>
              <w:spacing w:after="0"/>
              <w:rPr>
                <w:sz w:val="20"/>
                <w:szCs w:val="20"/>
                <w:color w:val="auto"/>
              </w:rPr>
            </w:pPr>
            <w:r>
              <w:rPr>
                <w:rFonts w:ascii="Arial" w:cs="Arial" w:eastAsia="Arial" w:hAnsi="Arial"/>
                <w:sz w:val="14"/>
                <w:szCs w:val="14"/>
                <w:b w:val="1"/>
                <w:bCs w:val="1"/>
                <w:color w:val="auto"/>
                <w:w w:val="98"/>
              </w:rPr>
              <w:t xml:space="preserve">Fixed All-in Coupon Rate </w:t>
            </w:r>
            <w:r>
              <w:rPr>
                <w:rFonts w:ascii="Arial" w:cs="Arial" w:eastAsia="Arial" w:hAnsi="Arial"/>
                <w:sz w:val="19"/>
                <w:szCs w:val="19"/>
                <w:b w:val="1"/>
                <w:bCs w:val="1"/>
                <w:color w:val="auto"/>
                <w:w w:val="98"/>
                <w:vertAlign w:val="superscript"/>
              </w:rPr>
              <w:t>(1)</w:t>
            </w:r>
          </w:p>
        </w:tc>
        <w:tc>
          <w:tcPr>
            <w:tcW w:w="300" w:type="dxa"/>
            <w:vAlign w:val="bottom"/>
          </w:tcPr>
          <w:p>
            <w:pPr>
              <w:spacing w:after="0"/>
              <w:rPr>
                <w:sz w:val="24"/>
                <w:szCs w:val="24"/>
                <w:color w:val="auto"/>
              </w:rPr>
            </w:pPr>
          </w:p>
        </w:tc>
        <w:tc>
          <w:tcPr>
            <w:tcW w:w="2220" w:type="dxa"/>
            <w:vAlign w:val="bottom"/>
          </w:tcPr>
          <w:p>
            <w:pPr>
              <w:jc w:val="center"/>
              <w:ind w:right="228"/>
              <w:spacing w:after="0"/>
              <w:rPr>
                <w:sz w:val="20"/>
                <w:szCs w:val="20"/>
                <w:color w:val="auto"/>
              </w:rPr>
            </w:pPr>
            <w:r>
              <w:rPr>
                <w:rFonts w:ascii="Arial" w:cs="Arial" w:eastAsia="Arial" w:hAnsi="Arial"/>
                <w:sz w:val="14"/>
                <w:szCs w:val="14"/>
                <w:b w:val="1"/>
                <w:bCs w:val="1"/>
                <w:color w:val="auto"/>
                <w:w w:val="92"/>
              </w:rPr>
              <w:t>As of December 31, 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5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tcPr>
          <w:p>
            <w:pPr>
              <w:jc w:val="center"/>
              <w:ind w:right="228"/>
              <w:spacing w:after="0"/>
              <w:rPr>
                <w:sz w:val="20"/>
                <w:szCs w:val="20"/>
                <w:color w:val="auto"/>
              </w:rPr>
            </w:pPr>
            <w:r>
              <w:rPr>
                <w:rFonts w:ascii="Arial" w:cs="Arial" w:eastAsia="Arial" w:hAnsi="Arial"/>
                <w:sz w:val="14"/>
                <w:szCs w:val="14"/>
                <w:b w:val="1"/>
                <w:bCs w:val="1"/>
                <w:color w:val="auto"/>
                <w:w w:val="92"/>
              </w:rPr>
              <w:t>Principal Balance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8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September 20, 2017</w:t>
            </w:r>
          </w:p>
        </w:tc>
        <w:tc>
          <w:tcPr>
            <w:tcW w:w="240" w:type="dxa"/>
            <w:vAlign w:val="bottom"/>
            <w:shd w:val="clear" w:color="auto" w:fill="CCECFF"/>
          </w:tcPr>
          <w:p>
            <w:pPr>
              <w:spacing w:after="0"/>
              <w:rPr>
                <w:sz w:val="14"/>
                <w:szCs w:val="14"/>
                <w:color w:val="auto"/>
              </w:rPr>
            </w:pPr>
          </w:p>
        </w:tc>
        <w:tc>
          <w:tcPr>
            <w:tcW w:w="21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60" w:type="dxa"/>
            <w:vAlign w:val="bottom"/>
            <w:shd w:val="clear" w:color="auto" w:fill="CCECFF"/>
          </w:tcPr>
          <w:p>
            <w:pPr>
              <w:spacing w:after="0"/>
              <w:rPr>
                <w:sz w:val="14"/>
                <w:szCs w:val="14"/>
                <w:color w:val="auto"/>
              </w:rPr>
            </w:pPr>
          </w:p>
        </w:tc>
        <w:tc>
          <w:tcPr>
            <w:tcW w:w="20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2.9</w:t>
            </w:r>
          </w:p>
        </w:tc>
        <w:tc>
          <w:tcPr>
            <w:tcW w:w="420" w:type="dxa"/>
            <w:vAlign w:val="bottom"/>
            <w:shd w:val="clear" w:color="auto" w:fill="CCECFF"/>
          </w:tcPr>
          <w:p>
            <w:pPr>
              <w:jc w:val="right"/>
              <w:ind w:right="228"/>
              <w:spacing w:after="0"/>
              <w:rPr>
                <w:sz w:val="20"/>
                <w:szCs w:val="20"/>
                <w:color w:val="auto"/>
              </w:rPr>
            </w:pPr>
            <w:r>
              <w:rPr>
                <w:rFonts w:ascii="Arial" w:cs="Arial" w:eastAsia="Arial" w:hAnsi="Arial"/>
                <w:sz w:val="14"/>
                <w:szCs w:val="14"/>
                <w:color w:val="auto"/>
                <w:w w:val="79"/>
              </w:rPr>
              <w:t>%</w:t>
            </w:r>
          </w:p>
        </w:tc>
        <w:tc>
          <w:tcPr>
            <w:tcW w:w="300" w:type="dxa"/>
            <w:vAlign w:val="bottom"/>
            <w:tcBorders>
              <w:top w:val="single" w:sz="8" w:color="auto"/>
            </w:tcBorders>
            <w:shd w:val="clear" w:color="auto" w:fill="CCECFF"/>
          </w:tcPr>
          <w:p>
            <w:pPr>
              <w:spacing w:after="0"/>
              <w:rPr>
                <w:sz w:val="14"/>
                <w:szCs w:val="14"/>
                <w:color w:val="auto"/>
              </w:rPr>
            </w:pPr>
          </w:p>
        </w:tc>
        <w:tc>
          <w:tcPr>
            <w:tcW w:w="2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27,500,000</w:t>
            </w: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20"/>
              <w:spacing w:after="0"/>
              <w:rPr>
                <w:sz w:val="20"/>
                <w:szCs w:val="20"/>
                <w:color w:val="auto"/>
              </w:rPr>
            </w:pPr>
            <w:r>
              <w:rPr>
                <w:rFonts w:ascii="Arial" w:cs="Arial" w:eastAsia="Arial" w:hAnsi="Arial"/>
                <w:sz w:val="14"/>
                <w:szCs w:val="14"/>
                <w:color w:val="auto"/>
              </w:rPr>
              <w:t>March 21, 2018</w:t>
            </w:r>
          </w:p>
        </w:tc>
        <w:tc>
          <w:tcPr>
            <w:tcW w:w="2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March 1, 2028</w:t>
            </w: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36,000,000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Weighted Average Rate / Total</w:t>
            </w:r>
          </w:p>
        </w:tc>
        <w:tc>
          <w:tcPr>
            <w:tcW w:w="240" w:type="dxa"/>
            <w:vAlign w:val="bottom"/>
            <w:tcBorders>
              <w:bottom w:val="single" w:sz="8" w:color="CCECFF"/>
            </w:tcBorders>
            <w:shd w:val="clear" w:color="auto" w:fill="CCECFF"/>
          </w:tcPr>
          <w:p>
            <w:pPr>
              <w:spacing w:after="0"/>
              <w:rPr>
                <w:sz w:val="18"/>
                <w:szCs w:val="18"/>
                <w:color w:val="auto"/>
              </w:rPr>
            </w:pPr>
          </w:p>
        </w:tc>
        <w:tc>
          <w:tcPr>
            <w:tcW w:w="216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2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3.2</w:t>
            </w:r>
          </w:p>
        </w:tc>
        <w:tc>
          <w:tcPr>
            <w:tcW w:w="420" w:type="dxa"/>
            <w:vAlign w:val="bottom"/>
            <w:tcBorders>
              <w:bottom w:val="single" w:sz="8" w:color="CCECFF"/>
            </w:tcBorders>
            <w:shd w:val="clear" w:color="auto" w:fill="CCECFF"/>
          </w:tcPr>
          <w:p>
            <w:pPr>
              <w:jc w:val="right"/>
              <w:ind w:right="228"/>
              <w:spacing w:after="0"/>
              <w:rPr>
                <w:sz w:val="20"/>
                <w:szCs w:val="20"/>
                <w:color w:val="auto"/>
              </w:rPr>
            </w:pPr>
            <w:r>
              <w:rPr>
                <w:rFonts w:ascii="Arial" w:cs="Arial" w:eastAsia="Arial" w:hAnsi="Arial"/>
                <w:sz w:val="14"/>
                <w:szCs w:val="14"/>
                <w:color w:val="auto"/>
                <w:w w:val="79"/>
              </w:rPr>
              <w:t>%</w:t>
            </w:r>
          </w:p>
        </w:tc>
        <w:tc>
          <w:tcPr>
            <w:tcW w:w="300" w:type="dxa"/>
            <w:vAlign w:val="bottom"/>
            <w:tcBorders>
              <w:top w:val="single" w:sz="8" w:color="auto"/>
              <w:bottom w:val="single" w:sz="8" w:color="auto"/>
            </w:tcBorders>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2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63,500,000</w:t>
            </w:r>
          </w:p>
        </w:tc>
        <w:tc>
          <w:tcPr>
            <w:tcW w:w="4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35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tcPr>
          <w:p>
            <w:pPr>
              <w:spacing w:after="0"/>
              <w:rPr>
                <w:sz w:val="24"/>
                <w:szCs w:val="24"/>
                <w:color w:val="auto"/>
              </w:rPr>
            </w:pPr>
          </w:p>
        </w:tc>
        <w:tc>
          <w:tcPr>
            <w:tcW w:w="21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Maturity</w:t>
            </w:r>
          </w:p>
        </w:tc>
        <w:tc>
          <w:tcPr>
            <w:tcW w:w="260" w:type="dxa"/>
            <w:vAlign w:val="bottom"/>
          </w:tcPr>
          <w:p>
            <w:pPr>
              <w:spacing w:after="0"/>
              <w:rPr>
                <w:sz w:val="24"/>
                <w:szCs w:val="24"/>
                <w:color w:val="auto"/>
              </w:rPr>
            </w:pPr>
          </w:p>
        </w:tc>
        <w:tc>
          <w:tcPr>
            <w:tcW w:w="2440" w:type="dxa"/>
            <w:vAlign w:val="bottom"/>
            <w:gridSpan w:val="2"/>
            <w:vMerge w:val="restart"/>
          </w:tcPr>
          <w:p>
            <w:pPr>
              <w:jc w:val="right"/>
              <w:ind w:right="508"/>
              <w:spacing w:after="0"/>
              <w:rPr>
                <w:sz w:val="20"/>
                <w:szCs w:val="20"/>
                <w:color w:val="auto"/>
              </w:rPr>
            </w:pPr>
            <w:r>
              <w:rPr>
                <w:rFonts w:ascii="Arial" w:cs="Arial" w:eastAsia="Arial" w:hAnsi="Arial"/>
                <w:sz w:val="14"/>
                <w:szCs w:val="14"/>
                <w:b w:val="1"/>
                <w:bCs w:val="1"/>
                <w:color w:val="auto"/>
                <w:w w:val="98"/>
              </w:rPr>
              <w:t xml:space="preserve">Fixed All-in Coupon Rate </w:t>
            </w:r>
            <w:r>
              <w:rPr>
                <w:rFonts w:ascii="Arial" w:cs="Arial" w:eastAsia="Arial" w:hAnsi="Arial"/>
                <w:sz w:val="19"/>
                <w:szCs w:val="19"/>
                <w:b w:val="1"/>
                <w:bCs w:val="1"/>
                <w:color w:val="auto"/>
                <w:w w:val="98"/>
                <w:vertAlign w:val="superscript"/>
              </w:rPr>
              <w:t>(1)</w:t>
            </w:r>
          </w:p>
        </w:tc>
        <w:tc>
          <w:tcPr>
            <w:tcW w:w="300" w:type="dxa"/>
            <w:vAlign w:val="bottom"/>
          </w:tcPr>
          <w:p>
            <w:pPr>
              <w:spacing w:after="0"/>
              <w:rPr>
                <w:sz w:val="24"/>
                <w:szCs w:val="24"/>
                <w:color w:val="auto"/>
              </w:rPr>
            </w:pPr>
          </w:p>
        </w:tc>
        <w:tc>
          <w:tcPr>
            <w:tcW w:w="2220" w:type="dxa"/>
            <w:vAlign w:val="bottom"/>
          </w:tcPr>
          <w:p>
            <w:pPr>
              <w:jc w:val="center"/>
              <w:ind w:right="228"/>
              <w:spacing w:after="0"/>
              <w:rPr>
                <w:sz w:val="20"/>
                <w:szCs w:val="20"/>
                <w:color w:val="auto"/>
              </w:rPr>
            </w:pPr>
            <w:r>
              <w:rPr>
                <w:rFonts w:ascii="Arial" w:cs="Arial" w:eastAsia="Arial" w:hAnsi="Arial"/>
                <w:sz w:val="14"/>
                <w:szCs w:val="14"/>
                <w:b w:val="1"/>
                <w:bCs w:val="1"/>
                <w:color w:val="auto"/>
                <w:w w:val="91"/>
              </w:rPr>
              <w:t>As of September 30, 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5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tcPr>
          <w:p>
            <w:pPr>
              <w:jc w:val="center"/>
              <w:ind w:right="228"/>
              <w:spacing w:after="0"/>
              <w:rPr>
                <w:sz w:val="20"/>
                <w:szCs w:val="20"/>
                <w:color w:val="auto"/>
              </w:rPr>
            </w:pPr>
            <w:r>
              <w:rPr>
                <w:rFonts w:ascii="Arial" w:cs="Arial" w:eastAsia="Arial" w:hAnsi="Arial"/>
                <w:sz w:val="14"/>
                <w:szCs w:val="14"/>
                <w:b w:val="1"/>
                <w:bCs w:val="1"/>
                <w:color w:val="auto"/>
                <w:w w:val="92"/>
              </w:rPr>
              <w:t>Principal Balance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8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September 20, 2017</w:t>
            </w:r>
          </w:p>
        </w:tc>
        <w:tc>
          <w:tcPr>
            <w:tcW w:w="240" w:type="dxa"/>
            <w:vAlign w:val="bottom"/>
            <w:shd w:val="clear" w:color="auto" w:fill="CCECFF"/>
          </w:tcPr>
          <w:p>
            <w:pPr>
              <w:spacing w:after="0"/>
              <w:rPr>
                <w:sz w:val="14"/>
                <w:szCs w:val="14"/>
                <w:color w:val="auto"/>
              </w:rPr>
            </w:pPr>
          </w:p>
        </w:tc>
        <w:tc>
          <w:tcPr>
            <w:tcW w:w="21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60" w:type="dxa"/>
            <w:vAlign w:val="bottom"/>
            <w:shd w:val="clear" w:color="auto" w:fill="CCECFF"/>
          </w:tcPr>
          <w:p>
            <w:pPr>
              <w:spacing w:after="0"/>
              <w:rPr>
                <w:sz w:val="14"/>
                <w:szCs w:val="14"/>
                <w:color w:val="auto"/>
              </w:rPr>
            </w:pPr>
          </w:p>
        </w:tc>
        <w:tc>
          <w:tcPr>
            <w:tcW w:w="20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2.9</w:t>
            </w:r>
          </w:p>
        </w:tc>
        <w:tc>
          <w:tcPr>
            <w:tcW w:w="420" w:type="dxa"/>
            <w:vAlign w:val="bottom"/>
            <w:shd w:val="clear" w:color="auto" w:fill="CCECFF"/>
          </w:tcPr>
          <w:p>
            <w:pPr>
              <w:jc w:val="right"/>
              <w:ind w:right="228"/>
              <w:spacing w:after="0"/>
              <w:rPr>
                <w:sz w:val="20"/>
                <w:szCs w:val="20"/>
                <w:color w:val="auto"/>
              </w:rPr>
            </w:pPr>
            <w:r>
              <w:rPr>
                <w:rFonts w:ascii="Arial" w:cs="Arial" w:eastAsia="Arial" w:hAnsi="Arial"/>
                <w:sz w:val="14"/>
                <w:szCs w:val="14"/>
                <w:color w:val="auto"/>
                <w:w w:val="79"/>
              </w:rPr>
              <w:t>%</w:t>
            </w:r>
          </w:p>
        </w:tc>
        <w:tc>
          <w:tcPr>
            <w:tcW w:w="300" w:type="dxa"/>
            <w:vAlign w:val="bottom"/>
            <w:tcBorders>
              <w:top w:val="single" w:sz="8" w:color="auto"/>
            </w:tcBorders>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2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27,500,000</w:t>
            </w: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20"/>
              <w:spacing w:after="0"/>
              <w:rPr>
                <w:sz w:val="20"/>
                <w:szCs w:val="20"/>
                <w:color w:val="auto"/>
              </w:rPr>
            </w:pPr>
            <w:r>
              <w:rPr>
                <w:rFonts w:ascii="Arial" w:cs="Arial" w:eastAsia="Arial" w:hAnsi="Arial"/>
                <w:sz w:val="14"/>
                <w:szCs w:val="14"/>
                <w:color w:val="auto"/>
              </w:rPr>
              <w:t>March 21, 2018</w:t>
            </w:r>
          </w:p>
        </w:tc>
        <w:tc>
          <w:tcPr>
            <w:tcW w:w="2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March 1, 2028</w:t>
            </w: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36,000,000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Weighted Average Rate / Total</w:t>
            </w:r>
          </w:p>
        </w:tc>
        <w:tc>
          <w:tcPr>
            <w:tcW w:w="240" w:type="dxa"/>
            <w:vAlign w:val="bottom"/>
            <w:tcBorders>
              <w:bottom w:val="single" w:sz="8" w:color="CCECFF"/>
            </w:tcBorders>
            <w:shd w:val="clear" w:color="auto" w:fill="CCECFF"/>
          </w:tcPr>
          <w:p>
            <w:pPr>
              <w:spacing w:after="0"/>
              <w:rPr>
                <w:sz w:val="18"/>
                <w:szCs w:val="18"/>
                <w:color w:val="auto"/>
              </w:rPr>
            </w:pPr>
          </w:p>
        </w:tc>
        <w:tc>
          <w:tcPr>
            <w:tcW w:w="216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2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3.2</w:t>
            </w:r>
          </w:p>
        </w:tc>
        <w:tc>
          <w:tcPr>
            <w:tcW w:w="420" w:type="dxa"/>
            <w:vAlign w:val="bottom"/>
            <w:tcBorders>
              <w:bottom w:val="single" w:sz="8" w:color="CCECFF"/>
            </w:tcBorders>
            <w:shd w:val="clear" w:color="auto" w:fill="CCECFF"/>
          </w:tcPr>
          <w:p>
            <w:pPr>
              <w:jc w:val="right"/>
              <w:ind w:right="228"/>
              <w:spacing w:after="0"/>
              <w:rPr>
                <w:sz w:val="20"/>
                <w:szCs w:val="20"/>
                <w:color w:val="auto"/>
              </w:rPr>
            </w:pPr>
            <w:r>
              <w:rPr>
                <w:rFonts w:ascii="Arial" w:cs="Arial" w:eastAsia="Arial" w:hAnsi="Arial"/>
                <w:sz w:val="14"/>
                <w:szCs w:val="14"/>
                <w:color w:val="auto"/>
                <w:w w:val="79"/>
              </w:rPr>
              <w:t>%</w:t>
            </w:r>
          </w:p>
        </w:tc>
        <w:tc>
          <w:tcPr>
            <w:tcW w:w="300" w:type="dxa"/>
            <w:vAlign w:val="bottom"/>
            <w:tcBorders>
              <w:top w:val="single" w:sz="8" w:color="auto"/>
              <w:bottom w:val="single" w:sz="8" w:color="auto"/>
            </w:tcBorders>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2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63,500,000</w:t>
            </w:r>
          </w:p>
        </w:tc>
        <w:tc>
          <w:tcPr>
            <w:tcW w:w="4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-719455</wp:posOffset>
            </wp:positionV>
            <wp:extent cx="12001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-702310</wp:posOffset>
            </wp:positionV>
            <wp:extent cx="12001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-719455</wp:posOffset>
            </wp:positionV>
            <wp:extent cx="2603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-702310</wp:posOffset>
            </wp:positionV>
            <wp:extent cx="260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-25400</wp:posOffset>
            </wp:positionV>
            <wp:extent cx="12001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12001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-25400</wp:posOffset>
            </wp:positionV>
            <wp:extent cx="260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-7620</wp:posOffset>
            </wp:positionV>
            <wp:extent cx="260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ind w:left="380" w:hanging="372"/>
        <w:spacing w:after="0" w:line="238" w:lineRule="auto"/>
        <w:tabs>
          <w:tab w:leader="none" w:pos="380" w:val="left"/>
        </w:tabs>
        <w:numPr>
          <w:ilvl w:val="0"/>
          <w:numId w:val="28"/>
        </w:numPr>
        <w:rPr>
          <w:rFonts w:ascii="Arial" w:cs="Arial" w:eastAsia="Arial" w:hAnsi="Arial"/>
          <w:sz w:val="16"/>
          <w:szCs w:val="16"/>
          <w:b w:val="1"/>
          <w:bCs w:val="1"/>
          <w:color w:val="auto"/>
          <w:vertAlign w:val="superscript"/>
        </w:rPr>
      </w:pPr>
      <w:r>
        <w:rPr>
          <w:rFonts w:ascii="Arial" w:cs="Arial" w:eastAsia="Arial" w:hAnsi="Arial"/>
          <w:sz w:val="12"/>
          <w:szCs w:val="12"/>
          <w:color w:val="auto"/>
        </w:rPr>
        <w:t>Excluding 3.4%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19126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16" w:lineRule="exact"/>
        <w:rPr>
          <w:sz w:val="20"/>
          <w:szCs w:val="20"/>
          <w:color w:val="auto"/>
        </w:rPr>
      </w:pPr>
    </w:p>
    <w:p>
      <w:pPr>
        <w:ind w:firstLine="449"/>
        <w:spacing w:after="0" w:line="249"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December 31, 2021, SBIC II was in compliance with its regulatory requirements.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2024 Notes</w:t>
      </w:r>
    </w:p>
    <w:p>
      <w:pPr>
        <w:spacing w:after="0" w:line="163" w:lineRule="exact"/>
        <w:rPr>
          <w:sz w:val="20"/>
          <w:szCs w:val="20"/>
          <w:color w:val="auto"/>
        </w:rPr>
      </w:pPr>
    </w:p>
    <w:p>
      <w:pPr>
        <w:jc w:val="both"/>
        <w:ind w:right="20" w:firstLine="449"/>
        <w:spacing w:after="0" w:line="257" w:lineRule="auto"/>
        <w:rPr>
          <w:sz w:val="20"/>
          <w:szCs w:val="20"/>
          <w:color w:val="auto"/>
        </w:rPr>
      </w:pPr>
      <w:r>
        <w:rPr>
          <w:rFonts w:ascii="Arial" w:cs="Arial" w:eastAsia="Arial" w:hAnsi="Arial"/>
          <w:sz w:val="14"/>
          <w:szCs w:val="14"/>
          <w:color w:val="auto"/>
        </w:rPr>
        <w:t>As of December 31, 2021 and September 30, 2021, we had zero and $86.3 million in aggregate principal amount of 2024 Notes outstanding, respectively. The 2024 Notes were redeemed on November 13, 2021 at a redemption price of $25.00 per 2024 Note, plus accrued and unpaid interest to November 13, 2021, pursuant to the indenture governing the 2024 Notes. Interest on the 2024 Notes was paid quarterly on January 15, April 15, July 15 and October 15, at a rate of 5.5% per year.</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2026 Notes</w:t>
      </w:r>
    </w:p>
    <w:p>
      <w:pPr>
        <w:spacing w:after="0" w:line="163" w:lineRule="exact"/>
        <w:rPr>
          <w:sz w:val="20"/>
          <w:szCs w:val="20"/>
          <w:color w:val="auto"/>
        </w:rPr>
      </w:pPr>
    </w:p>
    <w:p>
      <w:pPr>
        <w:ind w:firstLine="749"/>
        <w:spacing w:after="0" w:line="247" w:lineRule="auto"/>
        <w:rPr>
          <w:sz w:val="20"/>
          <w:szCs w:val="20"/>
          <w:color w:val="auto"/>
        </w:rPr>
      </w:pPr>
      <w:r>
        <w:rPr>
          <w:rFonts w:ascii="Arial" w:cs="Arial" w:eastAsia="Arial" w:hAnsi="Arial"/>
          <w:sz w:val="14"/>
          <w:szCs w:val="14"/>
          <w:color w:val="auto"/>
        </w:rPr>
        <w:t>In April 2021, we issued $150.0 million in aggregate principal amount of our 2026 Notes at a public offering price per note of 99.4%. Interest on the 2026 Notes is paid semi-annually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2026 Notes-2</w:t>
      </w:r>
    </w:p>
    <w:p>
      <w:pPr>
        <w:spacing w:after="0" w:line="163" w:lineRule="exact"/>
        <w:rPr>
          <w:sz w:val="20"/>
          <w:szCs w:val="20"/>
          <w:color w:val="auto"/>
        </w:rPr>
      </w:pPr>
    </w:p>
    <w:p>
      <w:pPr>
        <w:ind w:right="20" w:firstLine="749"/>
        <w:spacing w:after="0" w:line="270" w:lineRule="auto"/>
        <w:rPr>
          <w:sz w:val="20"/>
          <w:szCs w:val="20"/>
          <w:color w:val="auto"/>
        </w:rPr>
      </w:pPr>
      <w:r>
        <w:rPr>
          <w:rFonts w:ascii="Arial" w:cs="Arial" w:eastAsia="Arial" w:hAnsi="Arial"/>
          <w:sz w:val="13"/>
          <w:szCs w:val="13"/>
          <w:color w:val="auto"/>
        </w:rPr>
        <w:t>In October 2021, we issued $165.0 million in aggregate principal amount of our 2026 Notes-2 at a public offering price per note of 99.4%. Interest on the 2026 Notes-2 is paid semi-annually on May 1 and November 1 of each year, at a rate of 4.00% per year, commencing May 1, 2022. The 2026 Notes-2 mature on November 1, 2026 and may be redeemed in whole or in part at our option subject to a make-whole premium if redeemed more than three months prior to maturity. The 2026 Notes-2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67" w:lineRule="exact"/>
        <w:rPr>
          <w:sz w:val="20"/>
          <w:szCs w:val="20"/>
          <w:color w:val="auto"/>
        </w:rPr>
      </w:pPr>
    </w:p>
    <w:p>
      <w:pPr>
        <w:ind w:right="20" w:firstLine="449"/>
        <w:spacing w:after="0" w:line="249"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December 31, 2021 and September 30, 2021, we had $148.9 million and $104.8 million, respectively, in commitments to fund investments. For the same periods, there were no letters of credit issued.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ind w:left="328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DECEMBER 31, 2021</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(Unaudited)</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UNCONSOLIDATED SIGNIFICANT SUBSIDIARIES</w:t>
      </w:r>
    </w:p>
    <w:p>
      <w:pPr>
        <w:spacing w:after="0" w:line="167" w:lineRule="exact"/>
        <w:rPr>
          <w:sz w:val="20"/>
          <w:szCs w:val="20"/>
          <w:color w:val="auto"/>
        </w:rPr>
      </w:pPr>
    </w:p>
    <w:p>
      <w:pPr>
        <w:ind w:right="40" w:firstLine="449"/>
        <w:spacing w:after="0" w:line="247" w:lineRule="auto"/>
        <w:rPr>
          <w:sz w:val="20"/>
          <w:szCs w:val="20"/>
          <w:color w:val="auto"/>
        </w:rPr>
      </w:pPr>
      <w:r>
        <w:rPr>
          <w:rFonts w:ascii="Arial" w:cs="Arial" w:eastAsia="Arial" w:hAnsi="Arial"/>
          <w:sz w:val="14"/>
          <w:szCs w:val="14"/>
          <w:color w:val="auto"/>
        </w:rPr>
        <w:t>We must determine which, if any, of our unconsolidated controlled portfolio companies is a "significant subsidiary" within the meaning of Regulation S-X. We have determined that, as of September 30, 2021, PennantPark Senior Loan Fund, LLC, PT Networks, LLC and RAM Energy Holdings LLC triggered at least one of the significance tests. As a result and in accordance with Rule 3-09 of Regulation S-X, presented below is summarized unaudited financial information for PT Networks, LLC and RAM Energy Holdings LLC for the three months ended December 31, 2021. Similarly, in accordance with Rule 4-08(g) of Regulation S-X, which requires summarized financial information to be included in the notes to the Company’s financial statements, please refer to Note 4 to review the Statement of Assets and Liabilities as well as the Statement of Operations for PennantPark Senior Loan Fund, LLC. PennantPark Senior Loan Fund, LLC did not meet the significance threshold under Rule 3-09 which requires separate audited financial statements.</w:t>
      </w:r>
    </w:p>
    <w:p>
      <w:pPr>
        <w:spacing w:after="0" w:line="126" w:lineRule="exact"/>
        <w:rPr>
          <w:sz w:val="20"/>
          <w:szCs w:val="20"/>
          <w:color w:val="auto"/>
        </w:rPr>
      </w:pPr>
    </w:p>
    <w:p>
      <w:pPr>
        <w:ind w:left="640" w:hanging="377"/>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PT Networks, LLC: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9"/>
                <w:szCs w:val="19"/>
                <w:b w:val="1"/>
                <w:bCs w:val="1"/>
                <w:color w:val="auto"/>
                <w:vertAlign w:val="superscript"/>
              </w:rPr>
              <w:t>(1)</w:t>
            </w:r>
          </w:p>
        </w:tc>
        <w:tc>
          <w:tcPr>
            <w:tcW w:w="6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Three Months Ended December 31,</w:t>
            </w:r>
          </w:p>
        </w:tc>
        <w:tc>
          <w:tcPr>
            <w:tcW w:w="15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920" w:type="dxa"/>
            <w:vAlign w:val="bottom"/>
          </w:tcPr>
          <w:p>
            <w:pPr>
              <w:jc w:val="right"/>
              <w:ind w:right="1048"/>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tcPr>
          <w:p>
            <w:pPr>
              <w:jc w:val="right"/>
              <w:ind w:right="104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50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Total revenue</w:t>
            </w:r>
          </w:p>
        </w:tc>
        <w:tc>
          <w:tcPr>
            <w:tcW w:w="280" w:type="dxa"/>
            <w:vAlign w:val="bottom"/>
            <w:shd w:val="clear" w:color="auto" w:fill="CCECFF"/>
          </w:tcPr>
          <w:p>
            <w:pPr>
              <w:spacing w:after="0"/>
              <w:rPr>
                <w:sz w:val="14"/>
                <w:szCs w:val="14"/>
                <w:color w:val="auto"/>
              </w:rPr>
            </w:pPr>
          </w:p>
        </w:tc>
        <w:tc>
          <w:tcPr>
            <w:tcW w:w="620" w:type="dxa"/>
            <w:vAlign w:val="bottom"/>
            <w:tcBorders>
              <w:top w:val="single" w:sz="8" w:color="auto"/>
            </w:tcBorders>
            <w:shd w:val="clear" w:color="auto" w:fill="CCECFF"/>
          </w:tcPr>
          <w:p>
            <w:pPr>
              <w:jc w:val="right"/>
              <w:ind w:right="448"/>
              <w:spacing w:after="0"/>
              <w:rPr>
                <w:sz w:val="20"/>
                <w:szCs w:val="20"/>
                <w:color w:val="auto"/>
              </w:rPr>
            </w:pPr>
            <w:r>
              <w:rPr>
                <w:rFonts w:ascii="Arial" w:cs="Arial" w:eastAsia="Arial" w:hAnsi="Arial"/>
                <w:sz w:val="14"/>
                <w:szCs w:val="14"/>
                <w:color w:val="auto"/>
              </w:rPr>
              <w:t>$</w:t>
            </w:r>
          </w:p>
        </w:tc>
        <w:tc>
          <w:tcPr>
            <w:tcW w:w="19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62,664</w:t>
            </w:r>
          </w:p>
        </w:tc>
        <w:tc>
          <w:tcPr>
            <w:tcW w:w="340" w:type="dxa"/>
            <w:vAlign w:val="bottom"/>
            <w:shd w:val="clear" w:color="auto" w:fill="CCECFF"/>
          </w:tcPr>
          <w:p>
            <w:pPr>
              <w:spacing w:after="0"/>
              <w:rPr>
                <w:sz w:val="14"/>
                <w:szCs w:val="14"/>
                <w:color w:val="auto"/>
              </w:rPr>
            </w:pPr>
          </w:p>
        </w:tc>
        <w:tc>
          <w:tcPr>
            <w:tcW w:w="1020" w:type="dxa"/>
            <w:vAlign w:val="bottom"/>
            <w:tcBorders>
              <w:top w:val="single" w:sz="8" w:color="auto"/>
            </w:tcBorders>
            <w:shd w:val="clear" w:color="auto" w:fill="CCECFF"/>
          </w:tcPr>
          <w:p>
            <w:pPr>
              <w:jc w:val="right"/>
              <w:ind w:right="868"/>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59,230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Total expenses</w:t>
            </w:r>
          </w:p>
        </w:tc>
        <w:tc>
          <w:tcPr>
            <w:tcW w:w="620" w:type="dxa"/>
            <w:vAlign w:val="bottom"/>
          </w:tcPr>
          <w:p>
            <w:pPr>
              <w:spacing w:after="0"/>
              <w:rPr>
                <w:sz w:val="15"/>
                <w:szCs w:val="15"/>
                <w:color w:val="auto"/>
              </w:rPr>
            </w:pPr>
          </w:p>
        </w:tc>
        <w:tc>
          <w:tcPr>
            <w:tcW w:w="2260" w:type="dxa"/>
            <w:vAlign w:val="bottom"/>
            <w:gridSpan w:val="2"/>
          </w:tcPr>
          <w:p>
            <w:pPr>
              <w:jc w:val="right"/>
              <w:ind w:right="280"/>
              <w:spacing w:after="0"/>
              <w:rPr>
                <w:sz w:val="20"/>
                <w:szCs w:val="20"/>
                <w:color w:val="auto"/>
              </w:rPr>
            </w:pPr>
            <w:r>
              <w:rPr>
                <w:rFonts w:ascii="Arial" w:cs="Arial" w:eastAsia="Arial" w:hAnsi="Arial"/>
                <w:sz w:val="14"/>
                <w:szCs w:val="14"/>
                <w:color w:val="auto"/>
              </w:rPr>
              <w:t>(73,776 )</w:t>
            </w:r>
          </w:p>
        </w:tc>
        <w:tc>
          <w:tcPr>
            <w:tcW w:w="10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(63,880 )</w:t>
            </w:r>
          </w:p>
        </w:tc>
        <w:tc>
          <w:tcPr>
            <w:tcW w:w="0" w:type="dxa"/>
            <w:vAlign w:val="bottom"/>
          </w:tcPr>
          <w:p>
            <w:pPr>
              <w:spacing w:after="0"/>
              <w:rPr>
                <w:sz w:val="1"/>
                <w:szCs w:val="1"/>
                <w:color w:val="auto"/>
              </w:rPr>
            </w:pPr>
          </w:p>
        </w:tc>
      </w:tr>
      <w:tr>
        <w:trPr>
          <w:trHeight w:val="175"/>
        </w:trPr>
        <w:tc>
          <w:tcPr>
            <w:tcW w:w="578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Net income (loss)</w:t>
            </w:r>
          </w:p>
        </w:tc>
        <w:tc>
          <w:tcPr>
            <w:tcW w:w="620" w:type="dxa"/>
            <w:vAlign w:val="bottom"/>
            <w:shd w:val="clear" w:color="auto" w:fill="CCECFF"/>
          </w:tcPr>
          <w:p>
            <w:pPr>
              <w:jc w:val="right"/>
              <w:ind w:right="448"/>
              <w:spacing w:after="0"/>
              <w:rPr>
                <w:sz w:val="20"/>
                <w:szCs w:val="20"/>
                <w:color w:val="auto"/>
              </w:rPr>
            </w:pPr>
            <w:r>
              <w:rPr>
                <w:rFonts w:ascii="Arial" w:cs="Arial" w:eastAsia="Arial" w:hAnsi="Arial"/>
                <w:sz w:val="14"/>
                <w:szCs w:val="14"/>
                <w:color w:val="auto"/>
              </w:rPr>
              <w:t>$</w:t>
            </w:r>
          </w:p>
        </w:tc>
        <w:tc>
          <w:tcPr>
            <w:tcW w:w="226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(11,112 )</w:t>
            </w:r>
          </w:p>
        </w:tc>
        <w:tc>
          <w:tcPr>
            <w:tcW w:w="1020" w:type="dxa"/>
            <w:vAlign w:val="bottom"/>
            <w:shd w:val="clear" w:color="auto" w:fill="CCECFF"/>
          </w:tcPr>
          <w:p>
            <w:pPr>
              <w:jc w:val="right"/>
              <w:ind w:right="868"/>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(4,650 )</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640" w:hanging="377"/>
        <w:spacing w:after="0"/>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RAM Energy Holdings LLC:</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9"/>
                <w:szCs w:val="19"/>
                <w:b w:val="1"/>
                <w:bCs w:val="1"/>
                <w:color w:val="auto"/>
                <w:vertAlign w:val="superscript"/>
              </w:rPr>
              <w:t>(1)</w:t>
            </w:r>
          </w:p>
        </w:tc>
        <w:tc>
          <w:tcPr>
            <w:tcW w:w="6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Three Months Ended December 31,</w:t>
            </w:r>
          </w:p>
        </w:tc>
        <w:tc>
          <w:tcPr>
            <w:tcW w:w="15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920" w:type="dxa"/>
            <w:vAlign w:val="bottom"/>
          </w:tcPr>
          <w:p>
            <w:pPr>
              <w:jc w:val="right"/>
              <w:ind w:right="1048"/>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tcPr>
          <w:p>
            <w:pPr>
              <w:jc w:val="right"/>
              <w:ind w:right="104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500" w:type="dxa"/>
            <w:vAlign w:val="bottom"/>
            <w:tcBorders>
              <w:top w:val="single" w:sz="8" w:color="auto"/>
            </w:tcBorders>
            <w:gridSpan w:val="2"/>
            <w:shd w:val="clear" w:color="auto" w:fill="CCECFF"/>
          </w:tcPr>
          <w:p>
            <w:pPr>
              <w:ind w:left="20"/>
              <w:spacing w:after="0"/>
              <w:rPr>
                <w:sz w:val="20"/>
                <w:szCs w:val="20"/>
                <w:color w:val="auto"/>
              </w:rPr>
            </w:pPr>
            <w:r>
              <w:rPr>
                <w:rFonts w:ascii="Arial" w:cs="Arial" w:eastAsia="Arial" w:hAnsi="Arial"/>
                <w:sz w:val="14"/>
                <w:szCs w:val="14"/>
                <w:color w:val="auto"/>
              </w:rPr>
              <w:t>Total revenue</w:t>
            </w:r>
          </w:p>
        </w:tc>
        <w:tc>
          <w:tcPr>
            <w:tcW w:w="280" w:type="dxa"/>
            <w:vAlign w:val="bottom"/>
            <w:shd w:val="clear" w:color="auto" w:fill="CCECFF"/>
          </w:tcPr>
          <w:p>
            <w:pPr>
              <w:spacing w:after="0"/>
              <w:rPr>
                <w:sz w:val="14"/>
                <w:szCs w:val="14"/>
                <w:color w:val="auto"/>
              </w:rPr>
            </w:pPr>
          </w:p>
        </w:tc>
        <w:tc>
          <w:tcPr>
            <w:tcW w:w="620" w:type="dxa"/>
            <w:vAlign w:val="bottom"/>
            <w:tcBorders>
              <w:top w:val="single" w:sz="8" w:color="auto"/>
            </w:tcBorders>
            <w:shd w:val="clear" w:color="auto" w:fill="CCECFF"/>
          </w:tcPr>
          <w:p>
            <w:pPr>
              <w:jc w:val="right"/>
              <w:ind w:right="448"/>
              <w:spacing w:after="0"/>
              <w:rPr>
                <w:sz w:val="20"/>
                <w:szCs w:val="20"/>
                <w:color w:val="auto"/>
              </w:rPr>
            </w:pPr>
            <w:r>
              <w:rPr>
                <w:rFonts w:ascii="Arial" w:cs="Arial" w:eastAsia="Arial" w:hAnsi="Arial"/>
                <w:sz w:val="14"/>
                <w:szCs w:val="14"/>
                <w:color w:val="auto"/>
              </w:rPr>
              <w:t>$</w:t>
            </w:r>
          </w:p>
        </w:tc>
        <w:tc>
          <w:tcPr>
            <w:tcW w:w="19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12,733</w:t>
            </w:r>
          </w:p>
        </w:tc>
        <w:tc>
          <w:tcPr>
            <w:tcW w:w="360" w:type="dxa"/>
            <w:vAlign w:val="bottom"/>
            <w:shd w:val="clear" w:color="auto" w:fill="CCECFF"/>
          </w:tcPr>
          <w:p>
            <w:pPr>
              <w:spacing w:after="0"/>
              <w:rPr>
                <w:sz w:val="14"/>
                <w:szCs w:val="14"/>
                <w:color w:val="auto"/>
              </w:rPr>
            </w:pPr>
          </w:p>
        </w:tc>
        <w:tc>
          <w:tcPr>
            <w:tcW w:w="1000" w:type="dxa"/>
            <w:vAlign w:val="bottom"/>
            <w:tcBorders>
              <w:top w:val="single" w:sz="8" w:color="auto"/>
            </w:tcBorders>
            <w:shd w:val="clear" w:color="auto" w:fill="CCECFF"/>
          </w:tcPr>
          <w:p>
            <w:pPr>
              <w:jc w:val="right"/>
              <w:ind w:right="848"/>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5,969</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gridSpan w:val="3"/>
          </w:tcPr>
          <w:p>
            <w:pPr>
              <w:ind w:left="20"/>
              <w:spacing w:after="0"/>
              <w:rPr>
                <w:sz w:val="20"/>
                <w:szCs w:val="20"/>
                <w:color w:val="auto"/>
              </w:rPr>
            </w:pPr>
            <w:r>
              <w:rPr>
                <w:rFonts w:ascii="Arial" w:cs="Arial" w:eastAsia="Arial" w:hAnsi="Arial"/>
                <w:sz w:val="14"/>
                <w:szCs w:val="14"/>
                <w:color w:val="auto"/>
              </w:rPr>
              <w:t>Total expenses</w:t>
            </w:r>
          </w:p>
        </w:tc>
        <w:tc>
          <w:tcPr>
            <w:tcW w:w="620" w:type="dxa"/>
            <w:vAlign w:val="bottom"/>
          </w:tcPr>
          <w:p>
            <w:pPr>
              <w:spacing w:after="0"/>
              <w:rPr>
                <w:sz w:val="15"/>
                <w:szCs w:val="15"/>
                <w:color w:val="auto"/>
              </w:rPr>
            </w:pPr>
          </w:p>
        </w:tc>
        <w:tc>
          <w:tcPr>
            <w:tcW w:w="2280" w:type="dxa"/>
            <w:vAlign w:val="bottom"/>
            <w:gridSpan w:val="2"/>
          </w:tcPr>
          <w:p>
            <w:pPr>
              <w:jc w:val="right"/>
              <w:ind w:right="300"/>
              <w:spacing w:after="0"/>
              <w:rPr>
                <w:sz w:val="20"/>
                <w:szCs w:val="20"/>
                <w:color w:val="auto"/>
              </w:rPr>
            </w:pPr>
            <w:r>
              <w:rPr>
                <w:rFonts w:ascii="Arial" w:cs="Arial" w:eastAsia="Arial" w:hAnsi="Arial"/>
                <w:sz w:val="14"/>
                <w:szCs w:val="14"/>
                <w:color w:val="auto"/>
              </w:rPr>
              <w:t>(9,315 )</w:t>
            </w:r>
          </w:p>
        </w:tc>
        <w:tc>
          <w:tcPr>
            <w:tcW w:w="100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(7,340 )</w:t>
            </w:r>
          </w:p>
        </w:tc>
        <w:tc>
          <w:tcPr>
            <w:tcW w:w="0" w:type="dxa"/>
            <w:vAlign w:val="bottom"/>
          </w:tcPr>
          <w:p>
            <w:pPr>
              <w:spacing w:after="0"/>
              <w:rPr>
                <w:sz w:val="1"/>
                <w:szCs w:val="1"/>
                <w:color w:val="auto"/>
              </w:rPr>
            </w:pPr>
          </w:p>
        </w:tc>
      </w:tr>
      <w:tr>
        <w:trPr>
          <w:trHeight w:val="176"/>
        </w:trPr>
        <w:tc>
          <w:tcPr>
            <w:tcW w:w="578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Net income (loss)</w:t>
            </w:r>
          </w:p>
        </w:tc>
        <w:tc>
          <w:tcPr>
            <w:tcW w:w="620" w:type="dxa"/>
            <w:vAlign w:val="bottom"/>
            <w:shd w:val="clear" w:color="auto" w:fill="CCECFF"/>
          </w:tcPr>
          <w:p>
            <w:pPr>
              <w:jc w:val="right"/>
              <w:ind w:right="448"/>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3,419</w:t>
            </w:r>
          </w:p>
        </w:tc>
        <w:tc>
          <w:tcPr>
            <w:tcW w:w="360" w:type="dxa"/>
            <w:vAlign w:val="bottom"/>
            <w:shd w:val="clear" w:color="auto" w:fill="CCECFF"/>
          </w:tcPr>
          <w:p>
            <w:pPr>
              <w:spacing w:after="0"/>
              <w:rPr>
                <w:sz w:val="15"/>
                <w:szCs w:val="15"/>
                <w:color w:val="auto"/>
              </w:rPr>
            </w:pPr>
          </w:p>
        </w:tc>
        <w:tc>
          <w:tcPr>
            <w:tcW w:w="1000" w:type="dxa"/>
            <w:vAlign w:val="bottom"/>
            <w:shd w:val="clear" w:color="auto" w:fill="CCECFF"/>
          </w:tcPr>
          <w:p>
            <w:pPr>
              <w:jc w:val="right"/>
              <w:ind w:right="848"/>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(1,371 )</w:t>
            </w:r>
          </w:p>
        </w:tc>
        <w:tc>
          <w:tcPr>
            <w:tcW w:w="0" w:type="dxa"/>
            <w:vAlign w:val="bottom"/>
          </w:tcPr>
          <w:p>
            <w:pPr>
              <w:spacing w:after="0"/>
              <w:rPr>
                <w:sz w:val="1"/>
                <w:szCs w:val="1"/>
                <w:color w:val="auto"/>
              </w:rPr>
            </w:pPr>
          </w:p>
        </w:tc>
      </w:tr>
      <w:tr>
        <w:trPr>
          <w:trHeight w:val="41"/>
        </w:trPr>
        <w:tc>
          <w:tcPr>
            <w:tcW w:w="1880" w:type="dxa"/>
            <w:vAlign w:val="bottom"/>
            <w:tcBorders>
              <w:bottom w:val="single" w:sz="8" w:color="auto"/>
            </w:tcBorders>
          </w:tcPr>
          <w:p>
            <w:pPr>
              <w:spacing w:after="0"/>
              <w:rPr>
                <w:sz w:val="3"/>
                <w:szCs w:val="3"/>
                <w:color w:val="auto"/>
              </w:rPr>
            </w:pPr>
          </w:p>
        </w:tc>
        <w:tc>
          <w:tcPr>
            <w:tcW w:w="3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228" w:lineRule="auto"/>
        <w:tabs>
          <w:tab w:leader="none" w:pos="380" w:val="left"/>
        </w:tabs>
        <w:numPr>
          <w:ilvl w:val="0"/>
          <w:numId w:val="31"/>
        </w:numPr>
        <w:rPr>
          <w:rFonts w:ascii="Arial" w:cs="Arial" w:eastAsia="Arial" w:hAnsi="Arial"/>
          <w:sz w:val="14"/>
          <w:szCs w:val="14"/>
          <w:color w:val="auto"/>
          <w:vertAlign w:val="superscript"/>
        </w:rPr>
      </w:pPr>
      <w:r>
        <w:rPr>
          <w:rFonts w:ascii="Arial" w:cs="Arial" w:eastAsia="Arial" w:hAnsi="Arial"/>
          <w:sz w:val="11"/>
          <w:szCs w:val="11"/>
          <w:color w:val="auto"/>
        </w:rPr>
        <w:t>All amounts are in thousands.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SUBSEQUENT EVENTS</w:t>
      </w:r>
    </w:p>
    <w:p>
      <w:pPr>
        <w:spacing w:after="0" w:line="167" w:lineRule="exact"/>
        <w:rPr>
          <w:sz w:val="20"/>
          <w:szCs w:val="20"/>
          <w:color w:val="auto"/>
        </w:rPr>
      </w:pPr>
    </w:p>
    <w:p>
      <w:pPr>
        <w:ind w:right="180"/>
        <w:spacing w:after="0" w:line="273" w:lineRule="auto"/>
        <w:rPr>
          <w:sz w:val="20"/>
          <w:szCs w:val="20"/>
          <w:color w:val="auto"/>
        </w:rPr>
      </w:pPr>
      <w:r>
        <w:rPr>
          <w:rFonts w:ascii="Arial" w:cs="Arial" w:eastAsia="Arial" w:hAnsi="Arial"/>
          <w:sz w:val="14"/>
          <w:szCs w:val="14"/>
          <w:color w:val="auto"/>
        </w:rPr>
        <w:t>Subsequent to quarter end the Company declared an increase in its second fiscal quarter 2022 distribution to $0.14 per share, payable on April 1, 2022 to stockholders of record as of March 17, 2022.</w:t>
      </w:r>
    </w:p>
    <w:p>
      <w:pPr>
        <w:spacing w:after="0" w:line="120" w:lineRule="exact"/>
        <w:rPr>
          <w:sz w:val="20"/>
          <w:szCs w:val="20"/>
          <w:color w:val="auto"/>
        </w:rPr>
      </w:pPr>
    </w:p>
    <w:p>
      <w:pPr>
        <w:ind w:right="100"/>
        <w:spacing w:after="0" w:line="273" w:lineRule="auto"/>
        <w:rPr>
          <w:sz w:val="20"/>
          <w:szCs w:val="20"/>
          <w:color w:val="auto"/>
        </w:rPr>
      </w:pPr>
      <w:r>
        <w:rPr>
          <w:rFonts w:ascii="Arial" w:cs="Arial" w:eastAsia="Arial" w:hAnsi="Arial"/>
          <w:sz w:val="14"/>
          <w:szCs w:val="14"/>
          <w:color w:val="auto"/>
        </w:rPr>
        <w:t>Subsequent to quarter-end, we announced a share repurchase plan which allows us to repurchase up to $25.0 million of our outstanding common stock in the open market at prices below our net asset value as reported in our then most recently published consolidated financial statements. The program will expire on March 31, 2023.</w:t>
      </w:r>
    </w:p>
    <w:p>
      <w:pPr>
        <w:spacing w:after="0" w:line="120"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Subsequent to quarter end we and Pantheon Ventures (UK) LLP, have agreed to increase our capital commitments to PSLF from $169.8 million to $234.8 million. PNNT's portion of this capital commitment increase is $39.3 million.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 of PennantPark Investment Corporation and its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Review of Interim Financial Statements</w:t>
      </w:r>
    </w:p>
    <w:p>
      <w:pPr>
        <w:spacing w:after="0" w:line="167" w:lineRule="exact"/>
        <w:rPr>
          <w:sz w:val="20"/>
          <w:szCs w:val="20"/>
          <w:color w:val="auto"/>
        </w:rPr>
      </w:pPr>
    </w:p>
    <w:p>
      <w:pPr>
        <w:ind w:right="200"/>
        <w:spacing w:after="0" w:line="249" w:lineRule="auto"/>
        <w:rPr>
          <w:sz w:val="20"/>
          <w:szCs w:val="20"/>
          <w:color w:val="auto"/>
        </w:rPr>
      </w:pPr>
      <w:r>
        <w:rPr>
          <w:rFonts w:ascii="Arial" w:cs="Arial" w:eastAsia="Arial" w:hAnsi="Arial"/>
          <w:sz w:val="14"/>
          <w:szCs w:val="14"/>
          <w:color w:val="auto"/>
        </w:rPr>
        <w:t>We have reviewed the accompanying consolidated statement of assets and liabilities of PennantPark Investment Corporation and its Subsidiaries (collectively referred to as the Company), including the consolidated schedule of investments, as of December 31, 2021, and the related consolidated statements of operations and changes in net assets for the three-month periods ended December 31, 2021 and 2020, and cash flows for the three month periods ended December 31, 2021 and 2020, and the related notes to the consolidated financial statements (collectively, the interim financial information or financial statements). Based on our reviews, we are not aware of any material modifications that should be made to the accompanying interim financial information for them to be in conformity with accounting principles generally accepted in the United States of America.</w:t>
      </w:r>
    </w:p>
    <w:p>
      <w:pPr>
        <w:spacing w:after="0" w:line="177"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2021, and the related consolidated statements of operations, changes in net assets, and cash flows for the year then ended (not presented herein), and in our report dated November 17, 2021, we expressed an unqualified opinion on those consolidated financial statements. In our opinion, the information set forth in the accompanying consolidated statement of assets and liabilities as of September 30, 2021, is fairly stated, in all material respects, in relation to the consolidated statement of assets and liabilities from which it has been derived.</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167"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federal securities laws and the applicable rules and regulations of the Securities and Exchange Commission and the PCAOB.</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February 9, 2022</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67" w:lineRule="exact"/>
        <w:rPr>
          <w:sz w:val="20"/>
          <w:szCs w:val="20"/>
          <w:color w:val="auto"/>
        </w:rPr>
      </w:pPr>
    </w:p>
    <w:p>
      <w:pPr>
        <w:jc w:val="both"/>
        <w:ind w:right="60" w:firstLine="449"/>
        <w:spacing w:after="0" w:line="252"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74" w:lineRule="exact"/>
        <w:rPr>
          <w:sz w:val="20"/>
          <w:szCs w:val="20"/>
          <w:color w:val="auto"/>
        </w:rPr>
      </w:pPr>
    </w:p>
    <w:p>
      <w:pPr>
        <w:ind w:left="960" w:hanging="383"/>
        <w:spacing w:after="0"/>
        <w:tabs>
          <w:tab w:leader="none" w:pos="9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63" w:lineRule="exact"/>
        <w:rPr>
          <w:rFonts w:ascii="Arial" w:cs="Arial" w:eastAsia="Arial" w:hAnsi="Arial"/>
          <w:sz w:val="14"/>
          <w:szCs w:val="14"/>
          <w:color w:val="auto"/>
        </w:rPr>
      </w:pPr>
    </w:p>
    <w:p>
      <w:pPr>
        <w:ind w:left="960" w:hanging="383"/>
        <w:spacing w:after="0"/>
        <w:tabs>
          <w:tab w:leader="none" w:pos="9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our business prospects and the prospects of our prospective portfolio companies, including as a result of the current pandemic caused by COVID-19 or any worsening there of;</w:t>
      </w:r>
    </w:p>
    <w:p>
      <w:pPr>
        <w:spacing w:after="0" w:line="174" w:lineRule="exact"/>
        <w:rPr>
          <w:rFonts w:ascii="Arial" w:cs="Arial" w:eastAsia="Arial" w:hAnsi="Arial"/>
          <w:sz w:val="13"/>
          <w:szCs w:val="13"/>
          <w:color w:val="auto"/>
        </w:rPr>
      </w:pPr>
    </w:p>
    <w:p>
      <w:pPr>
        <w:ind w:left="960" w:right="240" w:hanging="383"/>
        <w:spacing w:after="0" w:line="273" w:lineRule="auto"/>
        <w:tabs>
          <w:tab w:leader="none" w:pos="9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 or any worsening there of;</w:t>
      </w:r>
    </w:p>
    <w:p>
      <w:pPr>
        <w:spacing w:after="0" w:line="119" w:lineRule="exact"/>
        <w:rPr>
          <w:rFonts w:ascii="Arial" w:cs="Arial" w:eastAsia="Arial" w:hAnsi="Arial"/>
          <w:sz w:val="14"/>
          <w:szCs w:val="14"/>
          <w:color w:val="auto"/>
        </w:rPr>
      </w:pPr>
    </w:p>
    <w:p>
      <w:pPr>
        <w:ind w:left="960" w:hanging="383"/>
        <w:spacing w:after="0"/>
        <w:tabs>
          <w:tab w:leader="none" w:pos="9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ability to continue to effectively manage our business due to the significant disruptions caused by the current COVID-19 pandemic or any worsening there of;</w:t>
      </w:r>
    </w:p>
    <w:p>
      <w:pPr>
        <w:spacing w:after="0" w:line="163" w:lineRule="exact"/>
        <w:rPr>
          <w:rFonts w:ascii="Arial" w:cs="Arial" w:eastAsia="Arial" w:hAnsi="Arial"/>
          <w:sz w:val="14"/>
          <w:szCs w:val="14"/>
          <w:color w:val="auto"/>
        </w:rPr>
      </w:pPr>
    </w:p>
    <w:p>
      <w:pPr>
        <w:ind w:left="960" w:hanging="383"/>
        <w:spacing w:after="0"/>
        <w:tabs>
          <w:tab w:leader="none" w:pos="9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impact of the United Kingdom’s withdrawal from the European Union and other world economic and political issues.</w:t>
      </w:r>
    </w:p>
    <w:p>
      <w:pPr>
        <w:spacing w:after="0" w:line="163" w:lineRule="exact"/>
        <w:rPr>
          <w:sz w:val="20"/>
          <w:szCs w:val="20"/>
          <w:color w:val="auto"/>
        </w:rPr>
      </w:pPr>
    </w:p>
    <w:p>
      <w:pPr>
        <w:ind w:right="100" w:firstLine="449"/>
        <w:spacing w:after="0" w:line="257"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31"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34" w:lineRule="exact"/>
        <w:rPr>
          <w:sz w:val="20"/>
          <w:szCs w:val="20"/>
          <w:color w:val="auto"/>
        </w:rPr>
      </w:pPr>
    </w:p>
    <w:p>
      <w:pPr>
        <w:ind w:right="40" w:firstLine="449"/>
        <w:spacing w:after="0" w:line="252"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34" w:lineRule="exact"/>
        <w:rPr>
          <w:sz w:val="20"/>
          <w:szCs w:val="20"/>
          <w:color w:val="auto"/>
        </w:rPr>
      </w:pPr>
    </w:p>
    <w:p>
      <w:pPr>
        <w:ind w:right="480" w:firstLine="449"/>
        <w:spacing w:after="0" w:line="27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20" w:lineRule="exact"/>
        <w:rPr>
          <w:sz w:val="20"/>
          <w:szCs w:val="20"/>
          <w:color w:val="auto"/>
        </w:rPr>
      </w:pPr>
    </w:p>
    <w:p>
      <w:pPr>
        <w:ind w:right="500" w:firstLine="449"/>
        <w:spacing w:after="0" w:line="27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63" w:lineRule="exact"/>
        <w:rPr>
          <w:sz w:val="20"/>
          <w:szCs w:val="20"/>
          <w:color w:val="auto"/>
        </w:rPr>
      </w:pPr>
    </w:p>
    <w:p>
      <w:pPr>
        <w:ind w:right="180" w:firstLine="449"/>
        <w:spacing w:after="0" w:line="312" w:lineRule="auto"/>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19" w:right="399" w:bottom="1440" w:gutter="0" w:footer="0" w:header="0"/>
        </w:sectPr>
      </w:pPr>
    </w:p>
    <w:bookmarkStart w:id="34" w:name="page35"/>
    <w:bookmarkEnd w:id="34"/>
    <w:p>
      <w:pPr>
        <w:ind w:firstLine="449"/>
        <w:spacing w:after="0" w:line="267" w:lineRule="auto"/>
        <w:rPr>
          <w:sz w:val="20"/>
          <w:szCs w:val="20"/>
          <w:color w:val="auto"/>
        </w:rPr>
      </w:pPr>
      <w:r>
        <w:rPr>
          <w:rFonts w:ascii="Arial" w:cs="Arial" w:eastAsia="Arial" w:hAnsi="Arial"/>
          <w:sz w:val="13"/>
          <w:szCs w:val="13"/>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4" w:lineRule="exact"/>
        <w:rPr>
          <w:sz w:val="20"/>
          <w:szCs w:val="20"/>
          <w:color w:val="auto"/>
        </w:rPr>
      </w:pPr>
    </w:p>
    <w:p>
      <w:pPr>
        <w:ind w:right="160" w:firstLine="449"/>
        <w:spacing w:after="0" w:line="257"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136" w:lineRule="exact"/>
        <w:rPr>
          <w:sz w:val="20"/>
          <w:szCs w:val="20"/>
          <w:color w:val="auto"/>
        </w:rPr>
      </w:pPr>
    </w:p>
    <w:p>
      <w:pPr>
        <w:ind w:right="100" w:firstLine="449"/>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71" w:lineRule="exact"/>
        <w:rPr>
          <w:sz w:val="20"/>
          <w:szCs w:val="20"/>
          <w:color w:val="auto"/>
        </w:rPr>
      </w:pPr>
    </w:p>
    <w:p>
      <w:pPr>
        <w:ind w:right="20" w:firstLine="449"/>
        <w:spacing w:after="0" w:line="238" w:lineRule="auto"/>
        <w:rPr>
          <w:sz w:val="20"/>
          <w:szCs w:val="20"/>
          <w:color w:val="auto"/>
        </w:rPr>
      </w:pPr>
      <w:r>
        <w:rPr>
          <w:rFonts w:ascii="Arial" w:cs="Arial" w:eastAsia="Arial" w:hAnsi="Arial"/>
          <w:sz w:val="14"/>
          <w:szCs w:val="14"/>
          <w:color w:val="auto"/>
        </w:rPr>
        <w:t>SBIC II, our wholly-owned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15" w:lineRule="exact"/>
        <w:rPr>
          <w:sz w:val="20"/>
          <w:szCs w:val="20"/>
          <w:color w:val="auto"/>
        </w:rPr>
      </w:pPr>
    </w:p>
    <w:p>
      <w:pPr>
        <w:ind w:right="20" w:firstLine="449"/>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SBIC II under its investment management agreement. SBIC II’s investment management agreement does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SBIC II under its administration agreement with us.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Developments</w:t>
      </w:r>
    </w:p>
    <w:p>
      <w:pPr>
        <w:spacing w:after="0" w:line="136" w:lineRule="exact"/>
        <w:rPr>
          <w:sz w:val="20"/>
          <w:szCs w:val="20"/>
          <w:color w:val="auto"/>
        </w:rPr>
      </w:pPr>
    </w:p>
    <w:p>
      <w:pPr>
        <w:ind w:firstLine="464"/>
        <w:spacing w:after="0" w:line="249" w:lineRule="auto"/>
        <w:rPr>
          <w:sz w:val="20"/>
          <w:szCs w:val="20"/>
          <w:color w:val="auto"/>
        </w:rPr>
      </w:pPr>
      <w:r>
        <w:rPr>
          <w:rFonts w:ascii="Arial" w:cs="Arial" w:eastAsia="Arial" w:hAnsi="Arial"/>
          <w:sz w:val="14"/>
          <w:szCs w:val="14"/>
          <w:color w:val="auto"/>
        </w:rPr>
        <w:t>COVID-19 was first detected in December 2019 and has since been identified as a global pandemic by the World Health Organization. The effect of the ongoing COVID-19 pandemic or any worsening thereof, uncertainty relating to more contagious strains of the virus, the length of recovery of certain economic sectors in the U.S. and globally and the speed and efficiency of the vaccination process, including the extent to which the available vaccines are ineffective against any new COVID- 19 variants may create stress on the market and may affect some of our portfolio companies. We cannot predict the full impact of the COVID-19 pandemic, including any worsening thereof or its duration in the United States and globally and any impact to our business operations or the business operations of our portfolio companies.</w:t>
      </w:r>
    </w:p>
    <w:p>
      <w:pPr>
        <w:spacing w:after="0" w:line="137" w:lineRule="exact"/>
        <w:rPr>
          <w:sz w:val="20"/>
          <w:szCs w:val="20"/>
          <w:color w:val="auto"/>
        </w:rPr>
      </w:pPr>
    </w:p>
    <w:p>
      <w:pPr>
        <w:ind w:right="20" w:firstLine="464"/>
        <w:spacing w:after="0" w:line="247" w:lineRule="auto"/>
        <w:rPr>
          <w:sz w:val="20"/>
          <w:szCs w:val="20"/>
          <w:color w:val="auto"/>
        </w:rPr>
      </w:pPr>
      <w:r>
        <w:rPr>
          <w:rFonts w:ascii="Arial" w:cs="Arial" w:eastAsia="Arial" w:hAnsi="Arial"/>
          <w:sz w:val="14"/>
          <w:szCs w:val="14"/>
          <w:color w:val="auto"/>
        </w:rPr>
        <w:t>Due to the nature of these governmental restrictions and their potentially long-lasting duration, some portfolio companies, especially those in vulnerable industries such as retail, food and beverage and travel, have experienced significant financial distress and may default on their financial obligations to us and their other capital providers. Moreover, certain of our portfolio companies that remain subject to prolonged and severe financial distress, have substantially curtailed their operations, deferred capital expenditures, furloughed or laid off workers and/or terminated relationships with their service providers. Depending on the length and magnitude of the disruption to the operations of our portfolio companies, certain portfolio companies may experience financial distress and possibly default on their financial obligations to us and their other capital providers in the future. These developments could impact the value of our investments in such portfolio companies.</w:t>
      </w:r>
    </w:p>
    <w:p>
      <w:pPr>
        <w:spacing w:after="0" w:line="140" w:lineRule="exact"/>
        <w:rPr>
          <w:sz w:val="20"/>
          <w:szCs w:val="20"/>
          <w:color w:val="auto"/>
        </w:rPr>
      </w:pPr>
    </w:p>
    <w:p>
      <w:pPr>
        <w:ind w:right="20" w:firstLine="464"/>
        <w:spacing w:after="0" w:line="249" w:lineRule="auto"/>
        <w:rPr>
          <w:sz w:val="20"/>
          <w:szCs w:val="20"/>
          <w:color w:val="auto"/>
        </w:rPr>
      </w:pPr>
      <w:r>
        <w:rPr>
          <w:rFonts w:ascii="Arial" w:cs="Arial" w:eastAsia="Arial" w:hAnsi="Arial"/>
          <w:sz w:val="14"/>
          <w:szCs w:val="14"/>
          <w:color w:val="auto"/>
        </w:rPr>
        <w:t>The COVID-19 pandemic, including any worsening thereof, may have an adverse impact on certain sectors of the global economy. Particularly, COVID-19 presents material uncertainty and risk with respect to our future performance and financial results as well as the future performance and financial results of our portfolio companies due to the risk of any sever adverse reaction to the vaccine, politicization of the vaccination process or general public skepticism of the safety and efficacy of the vaccine. While we are unable to predict the ultimate adverse effect of the COVID-19 pandemic, or any worsening thereof, on our results of operation, we have identified certain factors that are likely to affect market, economic and geopolitical conditions, and thereby may adversely affect our business, including:</w:t>
      </w:r>
    </w:p>
    <w:p>
      <w:pPr>
        <w:spacing w:after="0" w:line="123" w:lineRule="exact"/>
        <w:rPr>
          <w:sz w:val="20"/>
          <w:szCs w:val="20"/>
          <w:color w:val="auto"/>
        </w:rPr>
      </w:pPr>
    </w:p>
    <w:p>
      <w:pPr>
        <w:ind w:left="940" w:hanging="370"/>
        <w:spacing w:after="0"/>
        <w:tabs>
          <w:tab w:leader="none" w:pos="9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U.S. and global economic recovery;</w:t>
      </w:r>
    </w:p>
    <w:p>
      <w:pPr>
        <w:spacing w:after="0" w:line="149" w:lineRule="exact"/>
        <w:rPr>
          <w:rFonts w:ascii="Arial" w:cs="Arial" w:eastAsia="Arial" w:hAnsi="Arial"/>
          <w:sz w:val="14"/>
          <w:szCs w:val="14"/>
          <w:color w:val="auto"/>
        </w:rPr>
      </w:pPr>
    </w:p>
    <w:p>
      <w:pPr>
        <w:ind w:left="940" w:hanging="370"/>
        <w:spacing w:after="0"/>
        <w:tabs>
          <w:tab w:leader="none" w:pos="9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changes in interest rates, including LIBOR;</w:t>
      </w:r>
    </w:p>
    <w:p>
      <w:pPr>
        <w:spacing w:after="0" w:line="136" w:lineRule="exact"/>
        <w:rPr>
          <w:rFonts w:ascii="Arial" w:cs="Arial" w:eastAsia="Arial" w:hAnsi="Arial"/>
          <w:sz w:val="14"/>
          <w:szCs w:val="14"/>
          <w:color w:val="auto"/>
        </w:rPr>
      </w:pPr>
    </w:p>
    <w:p>
      <w:pPr>
        <w:ind w:left="940" w:hanging="370"/>
        <w:spacing w:after="0"/>
        <w:tabs>
          <w:tab w:leader="none" w:pos="9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limited availability of credit, both in the United States and internationally;</w:t>
      </w:r>
    </w:p>
    <w:p>
      <w:pPr>
        <w:spacing w:after="0" w:line="149" w:lineRule="exact"/>
        <w:rPr>
          <w:rFonts w:ascii="Arial" w:cs="Arial" w:eastAsia="Arial" w:hAnsi="Arial"/>
          <w:sz w:val="14"/>
          <w:szCs w:val="14"/>
          <w:color w:val="auto"/>
        </w:rPr>
      </w:pPr>
    </w:p>
    <w:p>
      <w:pPr>
        <w:ind w:left="940" w:hanging="370"/>
        <w:spacing w:after="0"/>
        <w:tabs>
          <w:tab w:leader="none" w:pos="9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disruptions to supply-chains and price volatility;</w:t>
      </w:r>
    </w:p>
    <w:p>
      <w:pPr>
        <w:spacing w:after="0" w:line="149" w:lineRule="exact"/>
        <w:rPr>
          <w:rFonts w:ascii="Arial" w:cs="Arial" w:eastAsia="Arial" w:hAnsi="Arial"/>
          <w:sz w:val="14"/>
          <w:szCs w:val="14"/>
          <w:color w:val="auto"/>
        </w:rPr>
      </w:pPr>
    </w:p>
    <w:p>
      <w:pPr>
        <w:ind w:left="940" w:hanging="370"/>
        <w:spacing w:after="0"/>
        <w:tabs>
          <w:tab w:leader="none" w:pos="9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changes to existing laws and regulations, or the imposition of new laws and regulations; and</w:t>
      </w:r>
    </w:p>
    <w:p>
      <w:pPr>
        <w:spacing w:after="0" w:line="136" w:lineRule="exact"/>
        <w:rPr>
          <w:rFonts w:ascii="Arial" w:cs="Arial" w:eastAsia="Arial" w:hAnsi="Arial"/>
          <w:sz w:val="14"/>
          <w:szCs w:val="14"/>
          <w:color w:val="auto"/>
        </w:rPr>
      </w:pPr>
    </w:p>
    <w:p>
      <w:pPr>
        <w:ind w:left="940" w:hanging="370"/>
        <w:spacing w:after="0"/>
        <w:tabs>
          <w:tab w:leader="none" w:pos="9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uncertainty regarding future governmental and regulatory policies.</w:t>
      </w:r>
    </w:p>
    <w:p>
      <w:pPr>
        <w:spacing w:after="0" w:line="163" w:lineRule="exact"/>
        <w:rPr>
          <w:sz w:val="20"/>
          <w:szCs w:val="20"/>
          <w:color w:val="auto"/>
        </w:rPr>
      </w:pPr>
    </w:p>
    <w:p>
      <w:pPr>
        <w:ind w:right="40" w:firstLine="464"/>
        <w:spacing w:after="0" w:line="246" w:lineRule="auto"/>
        <w:rPr>
          <w:sz w:val="20"/>
          <w:szCs w:val="20"/>
          <w:color w:val="auto"/>
        </w:rPr>
      </w:pPr>
      <w:r>
        <w:rPr>
          <w:rFonts w:ascii="Arial" w:cs="Arial" w:eastAsia="Arial" w:hAnsi="Arial"/>
          <w:sz w:val="14"/>
          <w:szCs w:val="14"/>
          <w:color w:val="auto"/>
        </w:rPr>
        <w:t>The business disruption and financial harm resulting from the COVID-19 pandemic experienced by some of our portfolio companies may reduce, over time, the amount of interest and dividend income that we receive from such investments and may require us to provide an increase of capital to such companies in the form of follow on investments. In connection with the adverse effects of the COVID-19 pandemic, we may also need to restructure the capitalization of some of our portfolio companies, which could result in reduced interest payments, an increase in the amount of PIK interest we receive or a permanent reduction in the value of our investments. If our net investment income decreases, the percentage of our cash flows dedicated to debt servicing and distribution payments to stockholders would subsequently increase. This has required us to reduce the amount of our distributions to stockholders as compared to distributions in previous years. Although we had no non-accrual assets during the quarter ended December 31, 2021, the continuing impact of the COVID-19 pandemic, or any worsening thereof, may result in portfolio investments being placed on non-accrual status in the future.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5" w:right="359" w:bottom="1440" w:gutter="0" w:footer="0" w:header="0"/>
        </w:sectPr>
      </w:pPr>
    </w:p>
    <w:bookmarkStart w:id="35" w:name="page36"/>
    <w:bookmarkEnd w:id="35"/>
    <w:p>
      <w:pPr>
        <w:ind w:firstLine="449"/>
        <w:spacing w:after="0" w:line="231" w:lineRule="auto"/>
        <w:rPr>
          <w:sz w:val="20"/>
          <w:szCs w:val="20"/>
          <w:color w:val="auto"/>
        </w:rPr>
      </w:pPr>
      <w:r>
        <w:rPr>
          <w:rFonts w:ascii="Arial" w:cs="Arial" w:eastAsia="Arial" w:hAnsi="Arial"/>
          <w:sz w:val="14"/>
          <w:szCs w:val="14"/>
          <w:color w:val="auto"/>
        </w:rPr>
        <w:t>Additionally, as of December 31, 2021 and September 30, 2021, our asset coverage ratio, as computed in accordance with the 1940 Act, was 190% and 221%, respectively. The Truist Credit Facility includes standard covenants and events of default provisions. If we fail to make the required payments or breach the covenants therein, it could result in a default under the Truist Credit Facility. Failure to cure such default or obtain a waiver from the appropriate party would result in an event of default, and the lenders may accelerate the repayment of our indebtedness under the Truist Credit Facility, such that all amounts owed are due immediately at the time of default. Such an action would negatively affect our liquidity, business, financial condition, results of operations, cash flows and ability to pay distributions to our stockholders.</w:t>
      </w:r>
    </w:p>
    <w:p>
      <w:pPr>
        <w:spacing w:after="0" w:line="116" w:lineRule="exact"/>
        <w:rPr>
          <w:sz w:val="20"/>
          <w:szCs w:val="20"/>
          <w:color w:val="auto"/>
        </w:rPr>
      </w:pPr>
    </w:p>
    <w:p>
      <w:pPr>
        <w:ind w:firstLine="449"/>
        <w:spacing w:after="0" w:line="247" w:lineRule="auto"/>
        <w:rPr>
          <w:sz w:val="20"/>
          <w:szCs w:val="20"/>
          <w:color w:val="auto"/>
        </w:rPr>
      </w:pPr>
      <w:r>
        <w:rPr>
          <w:rFonts w:ascii="Arial" w:cs="Arial" w:eastAsia="Arial" w:hAnsi="Arial"/>
          <w:sz w:val="13"/>
          <w:szCs w:val="13"/>
          <w:color w:val="auto"/>
        </w:rPr>
        <w:t>We are also subject to financial risks, including changes in market interest rates. As of December 31, 2021, our debt portfolio consisted of 93%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addition, the Truist Credit Facility also has floating rate interest provisions, with pricing set at 225 basis points over LIBOR (or an alternative risk-free floating interest rate index). In connection with the COVID-19 pandemic, the U.S. Federal Reserve and other central banks have reduced interest rates, which has caused LIBOR to decrease. Due to such rates, our gross investment income may decrease, which could result in a decrease in our net investment income if such decreases in LIBOR are not offset by, among other things, a corresponding increase in the spread over LIBOR that we earn on such loans or a decrease in the interest rate of our floating interest rate liabilities tied to LIBOR. See “Item 3. Quantitative and Qualitative Disclosures About Market Risk” below.</w:t>
      </w:r>
    </w:p>
    <w:p>
      <w:pPr>
        <w:spacing w:after="0" w:line="111" w:lineRule="exact"/>
        <w:rPr>
          <w:sz w:val="20"/>
          <w:szCs w:val="20"/>
          <w:color w:val="auto"/>
        </w:rPr>
      </w:pPr>
    </w:p>
    <w:p>
      <w:pPr>
        <w:ind w:right="40" w:firstLine="449"/>
        <w:spacing w:after="0" w:line="233" w:lineRule="auto"/>
        <w:rPr>
          <w:sz w:val="20"/>
          <w:szCs w:val="20"/>
          <w:color w:val="auto"/>
        </w:rPr>
      </w:pPr>
      <w:r>
        <w:rPr>
          <w:rFonts w:ascii="Arial" w:cs="Arial" w:eastAsia="Arial" w:hAnsi="Arial"/>
          <w:sz w:val="14"/>
          <w:szCs w:val="14"/>
          <w:color w:val="auto"/>
        </w:rPr>
        <w:t>In addition, we have continued to implement our business continuity planning strategy. Our priority has been to safeguard the health of our employees and to ensure continuity of business operations on behalf of our investors. As a result of our business continuity planning strategy, nearly all of our employees have returned to the office. Our systems and infrastructure have continued to support our business operations. We implemented a heightened level of communication across senior management, our investment team and our board of directors, and we have proactively engaged with our vendors on a regular basis to ensure they continue to meet our criteria for business continuity.</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LIBOR Developments</w:t>
      </w:r>
    </w:p>
    <w:p>
      <w:pPr>
        <w:spacing w:after="0" w:line="190" w:lineRule="exact"/>
        <w:rPr>
          <w:sz w:val="20"/>
          <w:szCs w:val="20"/>
          <w:color w:val="auto"/>
        </w:rPr>
      </w:pPr>
    </w:p>
    <w:p>
      <w:pPr>
        <w:ind w:right="100" w:firstLine="449"/>
        <w:spacing w:after="0" w:line="248" w:lineRule="auto"/>
        <w:rPr>
          <w:sz w:val="20"/>
          <w:szCs w:val="20"/>
          <w:color w:val="auto"/>
        </w:rPr>
      </w:pPr>
      <w:r>
        <w:rPr>
          <w:rFonts w:ascii="Arial" w:cs="Arial" w:eastAsia="Arial" w:hAnsi="Arial"/>
          <w:sz w:val="13"/>
          <w:szCs w:val="13"/>
          <w:color w:val="auto"/>
        </w:rPr>
        <w:t>In July 2017, the head of the United Kingdom Financial Conduct Authority announced the desire to phase out the use of LIBOR by the end of 2021. As of December 31, 2021, all non-U.S. dollar LIBOR publications have been phased out. The phase out of a majority of the U.S. dollar publications is currently delayed until June 30, 2023. The Alternative Reference Rates Committee, a steering committee comprised of large U.S. financial institutions, has identified the Secured Overnight Financing Rate (“SOFR”) as its preferred alternative rate for LIBOR. SOFR is a measure of the cost of borrowing cash overnight, collateralized by the U.S. Treasury securities, and is based on directly observable U.S. Treasury-backed repurchase transactions. Although SOFR appears to be the preferred replacement rate for U.S. dollar LIBOR, it is not possible at this time to predict the effect of any such changes, any establishment of alternative reference rates, whether the COVID-19 pandemic will have further effect on LIBOR transition timelines, or other reforms to LIBOR that may be enacted.</w:t>
      </w:r>
    </w:p>
    <w:p>
      <w:pPr>
        <w:spacing w:after="0" w:line="153" w:lineRule="exact"/>
        <w:rPr>
          <w:sz w:val="20"/>
          <w:szCs w:val="20"/>
          <w:color w:val="auto"/>
        </w:rPr>
      </w:pPr>
    </w:p>
    <w:p>
      <w:pPr>
        <w:ind w:right="100" w:firstLine="449"/>
        <w:spacing w:after="0" w:line="231" w:lineRule="auto"/>
        <w:rPr>
          <w:sz w:val="20"/>
          <w:szCs w:val="20"/>
          <w:color w:val="auto"/>
        </w:rPr>
      </w:pPr>
      <w:r>
        <w:rPr>
          <w:rFonts w:ascii="Arial" w:cs="Arial" w:eastAsia="Arial" w:hAnsi="Arial"/>
          <w:sz w:val="14"/>
          <w:szCs w:val="14"/>
          <w:color w:val="auto"/>
        </w:rPr>
        <w:t>The effect of the establishment of alternative reference rates or other reforms to LIBOR or other reference rates is complex and could have a material adverse effect on our business, financial condition and results of operations. Given the inherent differences between LIBOR and SOFR, or any other alternative benchmark rate that may be established, there are continuing uncertainties regarding the transition from LIBOR, including, but not limited to, the need to amend all contracts with LIBOR as the referenced rate and how this will impact the cost of variable rate debt and certain derivative financial instruments. In addition, SOFR or other replacement rates may fail to gain market acceptance. Any failure of SOFR or alternative reference rates to gain market acceptance could adversely affect the return on, value of and market for securities linked to such rates.</w:t>
      </w:r>
    </w:p>
    <w:p>
      <w:pPr>
        <w:spacing w:after="0" w:line="157" w:lineRule="exact"/>
        <w:rPr>
          <w:sz w:val="20"/>
          <w:szCs w:val="20"/>
          <w:color w:val="auto"/>
        </w:rPr>
      </w:pPr>
    </w:p>
    <w:p>
      <w:pPr>
        <w:jc w:val="both"/>
        <w:ind w:right="60" w:firstLine="449"/>
        <w:spacing w:after="0" w:line="238" w:lineRule="auto"/>
        <w:rPr>
          <w:sz w:val="20"/>
          <w:szCs w:val="20"/>
          <w:color w:val="auto"/>
        </w:rPr>
      </w:pPr>
      <w:r>
        <w:rPr>
          <w:rFonts w:ascii="Arial" w:cs="Arial" w:eastAsia="Arial" w:hAnsi="Arial"/>
          <w:sz w:val="14"/>
          <w:szCs w:val="14"/>
          <w:color w:val="auto"/>
        </w:rPr>
        <w:t>Factors such as the pace of the transition to replacement or reformed rates, the specific terms and parameters for and market acceptance of any alternative reference rate, prices of and the liquidity of trading markets for products based on alternative reference rates, and our ability to transition and develop appropriate systems and analytics for one or more alternative reference rates could also have a material adverse effect on our business,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60" w:firstLine="449"/>
        <w:spacing w:after="0" w:line="226"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firstLine="449"/>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940" w:hanging="370"/>
        <w:spacing w:after="0"/>
        <w:tabs>
          <w:tab w:leader="none" w:pos="9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76" w:lineRule="exact"/>
        <w:rPr>
          <w:rFonts w:ascii="Arial" w:cs="Arial" w:eastAsia="Arial" w:hAnsi="Arial"/>
          <w:sz w:val="14"/>
          <w:szCs w:val="14"/>
          <w:color w:val="auto"/>
        </w:rPr>
      </w:pPr>
    </w:p>
    <w:p>
      <w:pPr>
        <w:ind w:left="940" w:hanging="370"/>
        <w:spacing w:after="0"/>
        <w:tabs>
          <w:tab w:leader="none" w:pos="9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76" w:lineRule="exact"/>
        <w:rPr>
          <w:rFonts w:ascii="Arial" w:cs="Arial" w:eastAsia="Arial" w:hAnsi="Arial"/>
          <w:sz w:val="14"/>
          <w:szCs w:val="14"/>
          <w:color w:val="auto"/>
        </w:rPr>
      </w:pPr>
    </w:p>
    <w:p>
      <w:pPr>
        <w:ind w:left="940" w:right="80" w:hanging="370"/>
        <w:spacing w:after="0" w:line="253" w:lineRule="auto"/>
        <w:tabs>
          <w:tab w:leader="none" w:pos="9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46" w:lineRule="exact"/>
        <w:rPr>
          <w:rFonts w:ascii="Arial" w:cs="Arial" w:eastAsia="Arial" w:hAnsi="Arial"/>
          <w:sz w:val="14"/>
          <w:szCs w:val="14"/>
          <w:color w:val="auto"/>
        </w:rPr>
      </w:pPr>
    </w:p>
    <w:p>
      <w:pPr>
        <w:ind w:left="940" w:hanging="370"/>
        <w:spacing w:after="0"/>
        <w:tabs>
          <w:tab w:leader="none" w:pos="9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76" w:lineRule="exact"/>
        <w:rPr>
          <w:rFonts w:ascii="Arial" w:cs="Arial" w:eastAsia="Arial" w:hAnsi="Arial"/>
          <w:sz w:val="14"/>
          <w:szCs w:val="14"/>
          <w:color w:val="auto"/>
        </w:rPr>
      </w:pPr>
    </w:p>
    <w:p>
      <w:pPr>
        <w:ind w:left="940" w:hanging="370"/>
        <w:spacing w:after="0"/>
        <w:tabs>
          <w:tab w:leader="none" w:pos="9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76" w:lineRule="exact"/>
        <w:rPr>
          <w:rFonts w:ascii="Arial" w:cs="Arial" w:eastAsia="Arial" w:hAnsi="Arial"/>
          <w:sz w:val="14"/>
          <w:szCs w:val="14"/>
          <w:color w:val="auto"/>
        </w:rPr>
      </w:pPr>
    </w:p>
    <w:p>
      <w:pPr>
        <w:ind w:left="940" w:hanging="370"/>
        <w:spacing w:after="0"/>
        <w:tabs>
          <w:tab w:leader="none" w:pos="9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76" w:lineRule="exact"/>
        <w:rPr>
          <w:rFonts w:ascii="Arial" w:cs="Arial" w:eastAsia="Arial" w:hAnsi="Arial"/>
          <w:sz w:val="14"/>
          <w:szCs w:val="14"/>
          <w:color w:val="auto"/>
        </w:rPr>
      </w:pPr>
    </w:p>
    <w:p>
      <w:pPr>
        <w:ind w:left="940" w:hanging="370"/>
        <w:spacing w:after="0"/>
        <w:tabs>
          <w:tab w:leader="none" w:pos="9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76" w:lineRule="exact"/>
        <w:rPr>
          <w:rFonts w:ascii="Arial" w:cs="Arial" w:eastAsia="Arial" w:hAnsi="Arial"/>
          <w:sz w:val="14"/>
          <w:szCs w:val="14"/>
          <w:color w:val="auto"/>
        </w:rPr>
      </w:pPr>
    </w:p>
    <w:p>
      <w:pPr>
        <w:ind w:left="940" w:hanging="370"/>
        <w:spacing w:after="0"/>
        <w:tabs>
          <w:tab w:leader="none" w:pos="9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6" w:name="page37"/>
    <w:bookmarkEnd w:id="36"/>
    <w:p>
      <w:pPr>
        <w:ind w:left="940" w:hanging="370"/>
        <w:spacing w:after="0"/>
        <w:tabs>
          <w:tab w:leader="none" w:pos="9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76" w:lineRule="exact"/>
        <w:rPr>
          <w:rFonts w:ascii="Arial" w:cs="Arial" w:eastAsia="Arial" w:hAnsi="Arial"/>
          <w:sz w:val="14"/>
          <w:szCs w:val="14"/>
          <w:color w:val="auto"/>
        </w:rPr>
      </w:pPr>
    </w:p>
    <w:p>
      <w:pPr>
        <w:ind w:left="940" w:hanging="370"/>
        <w:spacing w:after="0"/>
        <w:tabs>
          <w:tab w:leader="none" w:pos="9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76" w:lineRule="exact"/>
        <w:rPr>
          <w:rFonts w:ascii="Arial" w:cs="Arial" w:eastAsia="Arial" w:hAnsi="Arial"/>
          <w:sz w:val="14"/>
          <w:szCs w:val="14"/>
          <w:color w:val="auto"/>
        </w:rPr>
      </w:pPr>
    </w:p>
    <w:p>
      <w:pPr>
        <w:ind w:left="940" w:hanging="370"/>
        <w:spacing w:after="0"/>
        <w:tabs>
          <w:tab w:leader="none" w:pos="9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76" w:lineRule="exact"/>
        <w:rPr>
          <w:rFonts w:ascii="Arial" w:cs="Arial" w:eastAsia="Arial" w:hAnsi="Arial"/>
          <w:sz w:val="14"/>
          <w:szCs w:val="14"/>
          <w:color w:val="auto"/>
        </w:rPr>
      </w:pPr>
    </w:p>
    <w:p>
      <w:pPr>
        <w:ind w:left="940" w:hanging="370"/>
        <w:spacing w:after="0"/>
        <w:tabs>
          <w:tab w:leader="none" w:pos="9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76" w:lineRule="exact"/>
        <w:rPr>
          <w:rFonts w:ascii="Arial" w:cs="Arial" w:eastAsia="Arial" w:hAnsi="Arial"/>
          <w:sz w:val="14"/>
          <w:szCs w:val="14"/>
          <w:color w:val="auto"/>
        </w:rPr>
      </w:pPr>
    </w:p>
    <w:p>
      <w:pPr>
        <w:ind w:left="940" w:hanging="370"/>
        <w:spacing w:after="0"/>
        <w:tabs>
          <w:tab w:leader="none" w:pos="9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76" w:lineRule="exact"/>
        <w:rPr>
          <w:rFonts w:ascii="Arial" w:cs="Arial" w:eastAsia="Arial" w:hAnsi="Arial"/>
          <w:sz w:val="14"/>
          <w:szCs w:val="14"/>
          <w:color w:val="auto"/>
        </w:rPr>
      </w:pPr>
    </w:p>
    <w:p>
      <w:pPr>
        <w:ind w:left="940" w:hanging="370"/>
        <w:spacing w:after="0"/>
        <w:tabs>
          <w:tab w:leader="none" w:pos="9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76" w:lineRule="exact"/>
        <w:rPr>
          <w:rFonts w:ascii="Arial" w:cs="Arial" w:eastAsia="Arial" w:hAnsi="Arial"/>
          <w:sz w:val="14"/>
          <w:szCs w:val="14"/>
          <w:color w:val="auto"/>
        </w:rPr>
      </w:pPr>
    </w:p>
    <w:p>
      <w:pPr>
        <w:jc w:val="both"/>
        <w:ind w:left="940" w:right="20" w:hanging="370"/>
        <w:spacing w:after="0" w:line="264" w:lineRule="auto"/>
        <w:tabs>
          <w:tab w:leader="none" w:pos="9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4" w:lineRule="exact"/>
        <w:rPr>
          <w:sz w:val="20"/>
          <w:szCs w:val="20"/>
          <w:color w:val="auto"/>
        </w:rPr>
      </w:pPr>
    </w:p>
    <w:p>
      <w:pPr>
        <w:ind w:firstLine="449"/>
        <w:spacing w:after="0" w:line="27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67" w:lineRule="exact"/>
        <w:rPr>
          <w:sz w:val="20"/>
          <w:szCs w:val="20"/>
          <w:color w:val="auto"/>
        </w:rPr>
      </w:pPr>
    </w:p>
    <w:p>
      <w:pPr>
        <w:ind w:firstLine="449"/>
        <w:spacing w:after="0" w:line="247" w:lineRule="auto"/>
        <w:rPr>
          <w:sz w:val="20"/>
          <w:szCs w:val="20"/>
          <w:color w:val="auto"/>
        </w:rPr>
      </w:pPr>
      <w:r>
        <w:rPr>
          <w:rFonts w:ascii="Arial" w:cs="Arial" w:eastAsia="Arial" w:hAnsi="Arial"/>
          <w:sz w:val="14"/>
          <w:szCs w:val="14"/>
          <w:color w:val="auto"/>
        </w:rPr>
        <w:t>As of December 31, 2021, our portfolio totaled $1,445.4 million, which consisted of $672.7 million of first lien secured debt, $213.9 million of second lien secured debt, $118.7 million of subordinated debt (including $64.2 million in PSLF) and $440.1 million of preferred and common equity (including $41.6 million in PSLF). Our debt portfolio consisted of 93% variable-rate investments and 7% fixed-rate investments. As of December 31, 2021, we did not have any portfolio companies on non-accrual. Overall, the portfolio had net unrealized appreciation of $80.9 million as of December 31, 2021. Our overall portfolio consisted of 107 companies with an average investment size of $13.5 million, had a weighted average yield on interest bearing debt investments of 8.8% and was invested 47% in first lien secured debt, 15% in second lien secured debt, 8% in subordinated debt (including 4% in PSLF) and 30% in preferred and common equity (including 3% in PSLF). As of December 31, 2021, all of the investments held by PSLF were first lien secured debt.</w:t>
      </w:r>
    </w:p>
    <w:p>
      <w:pPr>
        <w:spacing w:after="0" w:line="140" w:lineRule="exact"/>
        <w:rPr>
          <w:sz w:val="20"/>
          <w:szCs w:val="20"/>
          <w:color w:val="auto"/>
        </w:rPr>
      </w:pPr>
    </w:p>
    <w:p>
      <w:pPr>
        <w:ind w:firstLine="449"/>
        <w:spacing w:after="0" w:line="247" w:lineRule="auto"/>
        <w:rPr>
          <w:sz w:val="20"/>
          <w:szCs w:val="20"/>
          <w:color w:val="auto"/>
        </w:rPr>
      </w:pPr>
      <w:r>
        <w:rPr>
          <w:rFonts w:ascii="Arial" w:cs="Arial" w:eastAsia="Arial" w:hAnsi="Arial"/>
          <w:sz w:val="14"/>
          <w:szCs w:val="14"/>
          <w:color w:val="auto"/>
        </w:rPr>
        <w:t>As of September 30, 2021, our portfolio totaled $1,255.3 million and consisted of $552.5 million of first lien secured debt, $176.9 million of second lien secured debt, $121.2 million of subordinated debt (including $64.2 million in PSLF) and $404.7 million of preferred and common equity (including $41.2 million in PSLF). Our debt portfolio consisted of 92% variable-rate investments and 8% fixed-rate investments. As of September 30, 2021, we had no portfolio companies on non-accrual. Overall, the portfolio had net unrealized appreciation of $34.2 million as of September 30, 2021. Our overall portfolio consisted of 97 companies with an average investment size of $12.9 million, had a weighted average yield on interest bearing debt investments of 9.0% and was invested 44% in first lien secured debt, 14% in second lien secured debt, 10% in subordinated debt (including 5% in PSLF) and 32% in preferred and common equity (including 3% in PSLF). As of September 30, 2021, all of the investments held by PSLF were first lien secured debt.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For the three months ended December 31, 2021, we invested $295.1 million in 15 new and 30 existing portfolio companies with a weighted average yield on debt investments of 8.1%.</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Sales and repayments of investments for the three months ended December 31, 2021 totaled $132.2 million.</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For the three months ended December 31, 2020, we invested $68.2 million in four new and 15 existing portfolio companies with a weighted average yield on debt investments of 9.9%.</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Sales and repayments of investments for the three months ended December 31, 2020 totaled $102.6 million.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Loan Fund, LLC</w:t>
      </w:r>
    </w:p>
    <w:p>
      <w:pPr>
        <w:spacing w:after="0" w:line="167" w:lineRule="exact"/>
        <w:rPr>
          <w:sz w:val="20"/>
          <w:szCs w:val="20"/>
          <w:color w:val="auto"/>
        </w:rPr>
      </w:pPr>
    </w:p>
    <w:p>
      <w:pPr>
        <w:ind w:right="160" w:firstLine="449"/>
        <w:spacing w:after="0" w:line="273" w:lineRule="auto"/>
        <w:rPr>
          <w:sz w:val="20"/>
          <w:szCs w:val="20"/>
          <w:color w:val="auto"/>
        </w:rPr>
      </w:pPr>
      <w:r>
        <w:rPr>
          <w:rFonts w:ascii="Arial" w:cs="Arial" w:eastAsia="Arial" w:hAnsi="Arial"/>
          <w:sz w:val="14"/>
          <w:szCs w:val="14"/>
          <w:color w:val="auto"/>
        </w:rPr>
        <w:t>As of December 31, 2021, PSLF’s portfolio totaled $421.5 million, consisted of 54 companies with an average investment size of $7.8 million and had a weighted average yield on debt investments of 7.2%.</w:t>
      </w:r>
    </w:p>
    <w:p>
      <w:pPr>
        <w:spacing w:after="0" w:line="120" w:lineRule="exact"/>
        <w:rPr>
          <w:sz w:val="20"/>
          <w:szCs w:val="20"/>
          <w:color w:val="auto"/>
        </w:rPr>
      </w:pPr>
    </w:p>
    <w:p>
      <w:pPr>
        <w:ind w:right="100" w:firstLine="449"/>
        <w:spacing w:after="0" w:line="273" w:lineRule="auto"/>
        <w:rPr>
          <w:sz w:val="20"/>
          <w:szCs w:val="20"/>
          <w:color w:val="auto"/>
        </w:rPr>
      </w:pPr>
      <w:r>
        <w:rPr>
          <w:rFonts w:ascii="Arial" w:cs="Arial" w:eastAsia="Arial" w:hAnsi="Arial"/>
          <w:sz w:val="14"/>
          <w:szCs w:val="14"/>
          <w:color w:val="auto"/>
        </w:rPr>
        <w:t>As of September 30, 2021, PSLF’s portfolio totaled $405.2 million, consisted of 47 companies with an average investment size of $8.6 million and had a weighted average yield on debt investments of 7.1%.</w:t>
      </w:r>
    </w:p>
    <w:p>
      <w:pPr>
        <w:spacing w:after="0" w:line="120" w:lineRule="exact"/>
        <w:rPr>
          <w:sz w:val="20"/>
          <w:szCs w:val="20"/>
          <w:color w:val="auto"/>
        </w:rPr>
      </w:pPr>
    </w:p>
    <w:p>
      <w:pPr>
        <w:ind w:firstLine="449"/>
        <w:spacing w:after="0" w:line="273" w:lineRule="auto"/>
        <w:rPr>
          <w:sz w:val="20"/>
          <w:szCs w:val="20"/>
          <w:color w:val="auto"/>
        </w:rPr>
      </w:pPr>
      <w:r>
        <w:rPr>
          <w:rFonts w:ascii="Arial" w:cs="Arial" w:eastAsia="Arial" w:hAnsi="Arial"/>
          <w:sz w:val="14"/>
          <w:szCs w:val="14"/>
          <w:color w:val="auto"/>
        </w:rPr>
        <w:t>For the three months ended December 31, 2021, PSLF invested $50.7 million (of which $48.1million was purchased from the Company) in nine new and two existing portfolio companies with a weighted average yield on debt investments of 7.5%. PSLF’s sales and repayments of investments for the same period totaled $35.6 million.</w:t>
      </w:r>
    </w:p>
    <w:p>
      <w:pPr>
        <w:spacing w:after="0" w:line="120" w:lineRule="exact"/>
        <w:rPr>
          <w:sz w:val="20"/>
          <w:szCs w:val="20"/>
          <w:color w:val="auto"/>
        </w:rPr>
      </w:pPr>
    </w:p>
    <w:p>
      <w:pPr>
        <w:ind w:right="620" w:firstLine="449"/>
        <w:spacing w:after="0" w:line="312" w:lineRule="auto"/>
        <w:rPr>
          <w:sz w:val="20"/>
          <w:szCs w:val="20"/>
          <w:color w:val="auto"/>
        </w:rPr>
      </w:pPr>
      <w:r>
        <w:rPr>
          <w:rFonts w:ascii="Arial" w:cs="Arial" w:eastAsia="Arial" w:hAnsi="Arial"/>
          <w:sz w:val="13"/>
          <w:szCs w:val="13"/>
          <w:color w:val="auto"/>
        </w:rPr>
        <w:t>For the three months ended December 31, 2020, PSLF invested $30.8 million (of which $22.3 million was purchased from the Company) in two new and four existing portfolio companies with a weighted average yield on debt investments of 7.0%. PSLF’s sales and repayments of investments for the same period totaled $35.8 million.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67" w:lineRule="exact"/>
        <w:rPr>
          <w:sz w:val="20"/>
          <w:szCs w:val="20"/>
          <w:color w:val="auto"/>
        </w:rPr>
      </w:pPr>
    </w:p>
    <w:p>
      <w:pPr>
        <w:ind w:firstLine="449"/>
        <w:spacing w:after="0" w:line="266"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including the credit worthiness of our portfolio companies and the global outbreak of COVID-19.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 We discuss our critical accounting estimates in Management’s Discussion and Analysis of Financial Condition and Results of Operations in our 2021 Annual Report on Form 10-K. There have been no significant changes in our critical accounting estimates during the three months from those disclosed in our 2021 Annual Report on Form 10-K.</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63" w:lineRule="exact"/>
        <w:rPr>
          <w:sz w:val="20"/>
          <w:szCs w:val="20"/>
          <w:color w:val="auto"/>
        </w:rPr>
      </w:pPr>
    </w:p>
    <w:p>
      <w:pPr>
        <w:ind w:right="20" w:firstLine="449"/>
        <w:spacing w:after="0" w:line="268"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27" w:lineRule="exact"/>
        <w:rPr>
          <w:sz w:val="20"/>
          <w:szCs w:val="20"/>
          <w:color w:val="auto"/>
        </w:rPr>
      </w:pPr>
    </w:p>
    <w:p>
      <w:pPr>
        <w:ind w:right="360" w:firstLine="449"/>
        <w:spacing w:after="0" w:line="312"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97" w:lineRule="exact"/>
        <w:rPr>
          <w:sz w:val="20"/>
          <w:szCs w:val="20"/>
          <w:color w:val="auto"/>
        </w:rPr>
      </w:pPr>
    </w:p>
    <w:p>
      <w:pPr>
        <w:ind w:left="940" w:right="200" w:hanging="370"/>
        <w:spacing w:after="0" w:line="273" w:lineRule="auto"/>
        <w:tabs>
          <w:tab w:leader="none" w:pos="9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19" w:lineRule="exact"/>
        <w:rPr>
          <w:rFonts w:ascii="Arial" w:cs="Arial" w:eastAsia="Arial" w:hAnsi="Arial"/>
          <w:sz w:val="14"/>
          <w:szCs w:val="14"/>
          <w:color w:val="auto"/>
        </w:rPr>
      </w:pPr>
    </w:p>
    <w:p>
      <w:pPr>
        <w:ind w:left="940" w:hanging="370"/>
        <w:spacing w:after="0"/>
        <w:tabs>
          <w:tab w:leader="none" w:pos="9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63" w:lineRule="exact"/>
        <w:rPr>
          <w:rFonts w:ascii="Arial" w:cs="Arial" w:eastAsia="Arial" w:hAnsi="Arial"/>
          <w:sz w:val="14"/>
          <w:szCs w:val="14"/>
          <w:color w:val="auto"/>
        </w:rPr>
      </w:pPr>
    </w:p>
    <w:p>
      <w:pPr>
        <w:jc w:val="both"/>
        <w:ind w:left="940" w:right="40" w:hanging="370"/>
        <w:spacing w:after="0" w:line="286" w:lineRule="auto"/>
        <w:tabs>
          <w:tab w:leader="none" w:pos="9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13" w:lineRule="exact"/>
        <w:rPr>
          <w:rFonts w:ascii="Arial" w:cs="Arial" w:eastAsia="Arial" w:hAnsi="Arial"/>
          <w:sz w:val="13"/>
          <w:szCs w:val="13"/>
          <w:color w:val="auto"/>
        </w:rPr>
      </w:pPr>
    </w:p>
    <w:p>
      <w:pPr>
        <w:ind w:left="940" w:right="300" w:hanging="370"/>
        <w:spacing w:after="0" w:line="257" w:lineRule="auto"/>
        <w:tabs>
          <w:tab w:leader="none" w:pos="9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30" w:lineRule="exact"/>
        <w:rPr>
          <w:rFonts w:ascii="Arial" w:cs="Arial" w:eastAsia="Arial" w:hAnsi="Arial"/>
          <w:sz w:val="14"/>
          <w:szCs w:val="14"/>
          <w:color w:val="auto"/>
        </w:rPr>
      </w:pPr>
    </w:p>
    <w:p>
      <w:pPr>
        <w:ind w:left="940" w:right="60" w:hanging="370"/>
        <w:spacing w:after="0" w:line="273" w:lineRule="auto"/>
        <w:tabs>
          <w:tab w:leader="none" w:pos="9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20" w:lineRule="exact"/>
        <w:rPr>
          <w:sz w:val="20"/>
          <w:szCs w:val="20"/>
          <w:color w:val="auto"/>
        </w:rPr>
      </w:pPr>
    </w:p>
    <w:p>
      <w:pPr>
        <w:ind w:right="40" w:firstLine="449"/>
        <w:spacing w:after="0" w:line="277"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0" w:lineRule="exact"/>
        <w:rPr>
          <w:sz w:val="20"/>
          <w:szCs w:val="20"/>
          <w:color w:val="auto"/>
        </w:rPr>
      </w:pPr>
    </w:p>
    <w:p>
      <w:pPr>
        <w:ind w:firstLine="449"/>
        <w:spacing w:after="0" w:line="273"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63"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50" w:lineRule="exact"/>
        <w:rPr>
          <w:sz w:val="20"/>
          <w:szCs w:val="20"/>
          <w:color w:val="auto"/>
        </w:rPr>
      </w:pPr>
    </w:p>
    <w:p>
      <w:pPr>
        <w:ind w:left="1720" w:right="700" w:hanging="1133"/>
        <w:spacing w:after="0" w:line="238" w:lineRule="auto"/>
        <w:tabs>
          <w:tab w:leader="none" w:pos="170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9" w:lineRule="exact"/>
        <w:rPr>
          <w:sz w:val="20"/>
          <w:szCs w:val="20"/>
          <w:color w:val="auto"/>
        </w:rPr>
      </w:pPr>
    </w:p>
    <w:p>
      <w:pPr>
        <w:ind w:left="1720" w:right="740" w:hanging="1133"/>
        <w:spacing w:after="0" w:line="253" w:lineRule="auto"/>
        <w:tabs>
          <w:tab w:leader="none" w:pos="170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133" w:lineRule="exact"/>
        <w:rPr>
          <w:sz w:val="20"/>
          <w:szCs w:val="20"/>
          <w:color w:val="auto"/>
        </w:rPr>
      </w:pPr>
    </w:p>
    <w:p>
      <w:pPr>
        <w:ind w:right="240" w:firstLine="449"/>
        <w:spacing w:after="0" w:line="252"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Credit Facilities, 2026 Notes, 2026-2 Notes and our SBA debentures are classified as Level 3. Our 2024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4" w:lineRule="exact"/>
        <w:rPr>
          <w:sz w:val="20"/>
          <w:szCs w:val="20"/>
          <w:color w:val="auto"/>
        </w:rPr>
      </w:pPr>
    </w:p>
    <w:p>
      <w:pPr>
        <w:ind w:right="420" w:firstLine="449"/>
        <w:spacing w:after="0" w:line="273" w:lineRule="auto"/>
        <w:rPr>
          <w:sz w:val="20"/>
          <w:szCs w:val="20"/>
          <w:color w:val="auto"/>
        </w:rPr>
      </w:pPr>
      <w:r>
        <w:rPr>
          <w:rFonts w:ascii="Arial" w:cs="Arial" w:eastAsia="Arial" w:hAnsi="Arial"/>
          <w:sz w:val="14"/>
          <w:szCs w:val="14"/>
          <w:color w:val="auto"/>
        </w:rPr>
        <w:t>The SEC recently adopted Rule 2a-5 under the 1940 Act which established requirements for determining fair value in good faith purposes of the 1940 Act. We will comply with the requirement of the rule before the requirement date in 2022.</w:t>
      </w:r>
    </w:p>
    <w:p>
      <w:pPr>
        <w:spacing w:after="0" w:line="120" w:lineRule="exact"/>
        <w:rPr>
          <w:sz w:val="20"/>
          <w:szCs w:val="20"/>
          <w:color w:val="auto"/>
        </w:rPr>
      </w:pPr>
    </w:p>
    <w:p>
      <w:pPr>
        <w:ind w:right="80" w:firstLine="449"/>
        <w:spacing w:after="0" w:line="257" w:lineRule="auto"/>
        <w:rPr>
          <w:sz w:val="20"/>
          <w:szCs w:val="20"/>
          <w:color w:val="auto"/>
        </w:rPr>
      </w:pPr>
      <w:r>
        <w:rPr>
          <w:rFonts w:ascii="Arial" w:cs="Arial" w:eastAsia="Arial" w:hAnsi="Arial"/>
          <w:sz w:val="14"/>
          <w:szCs w:val="14"/>
          <w:color w:val="auto"/>
        </w:rPr>
        <w:t>In addition to using the above inputs to value cash equivalents, investments, our SBA debentures, our 2024 Notes, our 2026 Notes, 2026 Notes-2 and our Credit Facilities,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31" w:lineRule="exact"/>
        <w:rPr>
          <w:sz w:val="20"/>
          <w:szCs w:val="20"/>
          <w:color w:val="auto"/>
        </w:rPr>
      </w:pPr>
    </w:p>
    <w:p>
      <w:pPr>
        <w:ind w:right="40" w:firstLine="449"/>
        <w:spacing w:after="0" w:line="247" w:lineRule="auto"/>
        <w:rPr>
          <w:sz w:val="20"/>
          <w:szCs w:val="20"/>
          <w:color w:val="auto"/>
        </w:rPr>
      </w:pPr>
      <w:r>
        <w:rPr>
          <w:rFonts w:ascii="Arial" w:cs="Arial" w:eastAsia="Arial" w:hAnsi="Arial"/>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Facilities. We elected to use the fair value option for the Credit Facilities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Facilities for both the three months ended December 31, 2021 and 2020. ASC 825-10 establishes presentation and disclosure requirements designed to facilitate comparisons between companies that choose different measurement attributes for similar types of assets and liabilities and to</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8" w:name="page39"/>
    <w:bookmarkEnd w:id="38"/>
    <w:p>
      <w:pPr>
        <w:jc w:val="both"/>
        <w:ind w:right="60"/>
        <w:spacing w:after="0" w:line="257" w:lineRule="auto"/>
        <w:rPr>
          <w:sz w:val="20"/>
          <w:szCs w:val="20"/>
          <w:color w:val="auto"/>
        </w:rPr>
      </w:pPr>
      <w:r>
        <w:rPr>
          <w:rFonts w:ascii="Arial" w:cs="Arial" w:eastAsia="Arial" w:hAnsi="Arial"/>
          <w:sz w:val="14"/>
          <w:szCs w:val="14"/>
          <w:color w:val="auto"/>
        </w:rPr>
        <w:t>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Facilities are reported in our Consolidated Statements of Operations. We elect not to apply ASC 825-10 to any other financial assets or liabilities, including the 2024 Notes, 2026 Notes, 2026 Notes-2 and SBA debentures.</w:t>
      </w:r>
    </w:p>
    <w:p>
      <w:pPr>
        <w:spacing w:after="0" w:line="131" w:lineRule="exact"/>
        <w:rPr>
          <w:sz w:val="20"/>
          <w:szCs w:val="20"/>
          <w:color w:val="auto"/>
        </w:rPr>
      </w:pPr>
    </w:p>
    <w:p>
      <w:pPr>
        <w:jc w:val="both"/>
        <w:ind w:right="360" w:firstLine="449"/>
        <w:spacing w:after="0" w:line="286" w:lineRule="auto"/>
        <w:rPr>
          <w:sz w:val="20"/>
          <w:szCs w:val="20"/>
          <w:color w:val="auto"/>
        </w:rPr>
      </w:pPr>
      <w:r>
        <w:rPr>
          <w:rFonts w:ascii="Arial" w:cs="Arial" w:eastAsia="Arial" w:hAnsi="Arial"/>
          <w:sz w:val="13"/>
          <w:szCs w:val="13"/>
          <w:color w:val="auto"/>
        </w:rPr>
        <w:t>For the three months ended December 31, 2021 and 2020, the Truist Credit Facility had a net change in unrealized appreciation of $1.0 million and $13.1 million, respectively. As of December 31, 2021 and September 30, 2021, the net unrealized depreciation on the Truist Credit Facility totaled $0.7 million and $1.7 million, respectively. We use a nationally recognized independent valuation service to measure the fair value of our Credit Facilities in a manner consistent with the valuation process that the board of directors uses to value our investments.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50" w:lineRule="exact"/>
        <w:rPr>
          <w:sz w:val="20"/>
          <w:szCs w:val="20"/>
          <w:color w:val="auto"/>
        </w:rPr>
      </w:pPr>
    </w:p>
    <w:p>
      <w:pPr>
        <w:ind w:right="60" w:firstLine="449"/>
        <w:spacing w:after="0" w:line="268"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63" w:lineRule="exact"/>
        <w:rPr>
          <w:sz w:val="20"/>
          <w:szCs w:val="20"/>
          <w:color w:val="auto"/>
        </w:rPr>
      </w:pPr>
    </w:p>
    <w:p>
      <w:pPr>
        <w:ind w:firstLine="509"/>
        <w:spacing w:after="0" w:line="252"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and our Credit Facilities including any reversal of previously recorded unrealized appreciation or depreciation, when gains or losses are realized.</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63" w:lineRule="exact"/>
        <w:rPr>
          <w:sz w:val="20"/>
          <w:szCs w:val="20"/>
          <w:color w:val="auto"/>
        </w:rPr>
      </w:pPr>
    </w:p>
    <w:p>
      <w:pPr>
        <w:ind w:left="940" w:hanging="370"/>
        <w:spacing w:after="0"/>
        <w:tabs>
          <w:tab w:leader="none" w:pos="9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63" w:lineRule="exact"/>
        <w:rPr>
          <w:rFonts w:ascii="Arial" w:cs="Arial" w:eastAsia="Arial" w:hAnsi="Arial"/>
          <w:sz w:val="14"/>
          <w:szCs w:val="14"/>
          <w:color w:val="auto"/>
        </w:rPr>
      </w:pPr>
    </w:p>
    <w:p>
      <w:pPr>
        <w:ind w:left="940" w:hanging="370"/>
        <w:spacing w:after="0"/>
        <w:tabs>
          <w:tab w:leader="none" w:pos="9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63" w:lineRule="exact"/>
        <w:rPr>
          <w:sz w:val="20"/>
          <w:szCs w:val="20"/>
          <w:color w:val="auto"/>
        </w:rPr>
      </w:pPr>
    </w:p>
    <w:p>
      <w:pPr>
        <w:jc w:val="both"/>
        <w:ind w:right="40" w:firstLine="449"/>
        <w:spacing w:after="0" w:line="257"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or PIK Interest</w:t>
      </w:r>
    </w:p>
    <w:p>
      <w:pPr>
        <w:spacing w:after="0" w:line="163" w:lineRule="exact"/>
        <w:rPr>
          <w:sz w:val="20"/>
          <w:szCs w:val="20"/>
          <w:color w:val="auto"/>
        </w:rPr>
      </w:pPr>
    </w:p>
    <w:p>
      <w:pPr>
        <w:jc w:val="both"/>
        <w:ind w:right="120" w:firstLine="449"/>
        <w:spacing w:after="0" w:line="257"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63" w:lineRule="exact"/>
        <w:rPr>
          <w:sz w:val="20"/>
          <w:szCs w:val="20"/>
          <w:color w:val="auto"/>
        </w:rPr>
      </w:pPr>
    </w:p>
    <w:p>
      <w:pPr>
        <w:jc w:val="both"/>
        <w:ind w:right="100" w:firstLine="449"/>
        <w:spacing w:after="0" w:line="277"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20" w:lineRule="exact"/>
        <w:rPr>
          <w:sz w:val="20"/>
          <w:szCs w:val="20"/>
          <w:color w:val="auto"/>
        </w:rPr>
      </w:pPr>
    </w:p>
    <w:p>
      <w:pPr>
        <w:ind w:firstLine="449"/>
        <w:spacing w:after="0" w:line="268"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U.S. federal excise tax imposed on RICs, we must distribute dividends for U.S. federal income tax purposes to our stockholders in respect of each calendar year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27" w:lineRule="exact"/>
        <w:rPr>
          <w:sz w:val="20"/>
          <w:szCs w:val="20"/>
          <w:color w:val="auto"/>
        </w:rPr>
      </w:pPr>
    </w:p>
    <w:p>
      <w:pPr>
        <w:ind w:right="60" w:firstLine="449"/>
        <w:spacing w:after="0" w:line="252" w:lineRule="auto"/>
        <w:rPr>
          <w:sz w:val="20"/>
          <w:szCs w:val="20"/>
          <w:color w:val="auto"/>
        </w:rPr>
      </w:pPr>
      <w:r>
        <w:rPr>
          <w:rFonts w:ascii="Arial" w:cs="Arial" w:eastAsia="Arial" w:hAnsi="Arial"/>
          <w:sz w:val="14"/>
          <w:szCs w:val="14"/>
          <w:color w:val="auto"/>
        </w:rPr>
        <w:t>Because federal income tax regulations differ from GAAP, distributions characterized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34" w:lineRule="exact"/>
        <w:rPr>
          <w:sz w:val="20"/>
          <w:szCs w:val="20"/>
          <w:color w:val="auto"/>
        </w:rPr>
      </w:pPr>
    </w:p>
    <w:p>
      <w:pPr>
        <w:ind w:right="100" w:firstLine="449"/>
        <w:spacing w:after="0" w:line="273" w:lineRule="auto"/>
        <w:rPr>
          <w:sz w:val="20"/>
          <w:szCs w:val="20"/>
          <w:color w:val="auto"/>
        </w:rPr>
      </w:pPr>
      <w:r>
        <w:rPr>
          <w:rFonts w:ascii="Arial" w:cs="Arial" w:eastAsia="Arial" w:hAnsi="Arial"/>
          <w:sz w:val="14"/>
          <w:szCs w:val="14"/>
          <w:color w:val="auto"/>
        </w:rPr>
        <w:t>PNNT Investment Holdings, LLC, a wholly-owned subsidiary of the Company, is subject to U.S. federal, state and local corporate income taxes. The income tax expense and related tax liabilities of the Taxable Subsidiary are reflected in the Company’s consolidated financial statements.</w:t>
      </w:r>
    </w:p>
    <w:p>
      <w:pPr>
        <w:spacing w:after="0" w:line="120" w:lineRule="exact"/>
        <w:rPr>
          <w:sz w:val="20"/>
          <w:szCs w:val="20"/>
          <w:color w:val="auto"/>
        </w:rPr>
      </w:pPr>
    </w:p>
    <w:p>
      <w:pPr>
        <w:ind w:right="40" w:firstLine="449"/>
        <w:spacing w:after="0" w:line="252" w:lineRule="auto"/>
        <w:rPr>
          <w:sz w:val="20"/>
          <w:szCs w:val="20"/>
          <w:color w:val="auto"/>
        </w:rPr>
      </w:pPr>
      <w:r>
        <w:rPr>
          <w:rFonts w:ascii="Arial" w:cs="Arial" w:eastAsia="Arial" w:hAnsi="Arial"/>
          <w:sz w:val="14"/>
          <w:szCs w:val="14"/>
          <w:color w:val="auto"/>
        </w:rPr>
        <w:t>For the three months ended December 31, 2021, the Company recognized a provision for taxes of $(5.0) million on unrealized appreciation on investments related to the Taxable Subsidiary. The provision for taxes on unrealized appreciation of investments is the result of netting (i) an expected tax liability on the gain from the sale of an investment which is likely to be realized during fiscal year ending September 30, 2022 and (ii) the expected tax benefit resulting from the use of loss carryforwards. For the three months ended December 31, 2020, the Company recognized a provision for taxes of zero on unrealized appreciation on investments related to the Taxable Subsidiary.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9" w:name="page40"/>
    <w:bookmarkEnd w:id="39"/>
    <w:p>
      <w:pPr>
        <w:spacing w:after="0" w:line="273" w:lineRule="auto"/>
        <w:rPr>
          <w:sz w:val="20"/>
          <w:szCs w:val="20"/>
          <w:color w:val="auto"/>
        </w:rPr>
      </w:pPr>
      <w:r>
        <w:rPr>
          <w:rFonts w:ascii="Arial" w:cs="Arial" w:eastAsia="Arial" w:hAnsi="Arial"/>
          <w:sz w:val="14"/>
          <w:szCs w:val="14"/>
          <w:color w:val="auto"/>
        </w:rPr>
        <w:t>As of December 31, 2021 and September 30, 2021, $5.0 million and zero, respectively, was included in deferred taxes liability on the Consolidated Statements of Assets and Liabilities relating to unrealized gains on investments.</w:t>
      </w:r>
    </w:p>
    <w:p>
      <w:pPr>
        <w:spacing w:after="0" w:line="120" w:lineRule="exact"/>
        <w:rPr>
          <w:sz w:val="20"/>
          <w:szCs w:val="20"/>
          <w:color w:val="auto"/>
        </w:rPr>
      </w:pPr>
    </w:p>
    <w:p>
      <w:pPr>
        <w:ind w:firstLine="449"/>
        <w:spacing w:after="0" w:line="312"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Set forth below are the results of operations for the three months ended December 31, 2021 and 2020.</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63" w:lineRule="exact"/>
        <w:rPr>
          <w:sz w:val="20"/>
          <w:szCs w:val="20"/>
          <w:color w:val="auto"/>
        </w:rPr>
      </w:pPr>
    </w:p>
    <w:p>
      <w:pPr>
        <w:jc w:val="both"/>
        <w:ind w:right="60" w:firstLine="449"/>
        <w:spacing w:after="0" w:line="277" w:lineRule="auto"/>
        <w:rPr>
          <w:sz w:val="20"/>
          <w:szCs w:val="20"/>
          <w:color w:val="auto"/>
        </w:rPr>
      </w:pPr>
      <w:r>
        <w:rPr>
          <w:rFonts w:ascii="Arial" w:cs="Arial" w:eastAsia="Arial" w:hAnsi="Arial"/>
          <w:sz w:val="13"/>
          <w:szCs w:val="13"/>
          <w:color w:val="auto"/>
        </w:rPr>
        <w:t>Investment income for the three months ended December 31, 2021 was $28.3 million, which was attributable to $20.1 million from first lien secured debt, $4.5 million from second lien secured debt, $1.9 million from subordinated debt and $1.8 million from preferred and common equity, respectively. This compares to investment income for the three months ended December 31, 2020 of $18.7 million, and was attributable to $11.2 million from first lien secured debt, $4.8 million from second lien secured debt and $1.7 million from subordinated debt and $1.0 million from preferred and common equity. The increase in investment income compared to the same periods in the prior year was primarily due to the increase in the size of our debt portfolio.</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Expenses for the three months ended December 31, 2021 totaled $15.8 million. Base management fee for the same periods totaled $5.1 million, incentive fees totaled $2.6 million, debt-</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related interest and expenses totaled $6.9 million, general and administrative expenses totaled $1.0 million and provision for excise taxes totaled $0.2 million, respectively. This compares to net</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expenses for the three months ended December 31, 2020, which totaled $10.4 million. Base management fee for the same period totaled $4.1 million, debt-related interest and expenses totaled</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$5.0 million, general and administrative expenses totaled $1.1 million and provision for excise taxes totaled $0.2 million. The increase in expenses for the three months ended December 31, 2021</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compared to the same period in the prior year was primarily due to increased financing costs and increased incentive fees.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63" w:lineRule="exact"/>
        <w:rPr>
          <w:sz w:val="20"/>
          <w:szCs w:val="20"/>
          <w:color w:val="auto"/>
        </w:rPr>
      </w:pPr>
    </w:p>
    <w:p>
      <w:pPr>
        <w:ind w:right="20" w:firstLine="449"/>
        <w:spacing w:after="0" w:line="273" w:lineRule="auto"/>
        <w:rPr>
          <w:sz w:val="20"/>
          <w:szCs w:val="20"/>
          <w:color w:val="auto"/>
        </w:rPr>
      </w:pPr>
      <w:r>
        <w:rPr>
          <w:rFonts w:ascii="Arial" w:cs="Arial" w:eastAsia="Arial" w:hAnsi="Arial"/>
          <w:sz w:val="14"/>
          <w:szCs w:val="14"/>
          <w:color w:val="auto"/>
        </w:rPr>
        <w:t>Net investment income totaled $12.5 million, or $0.19 per share, and $8.3 million, or $0.12 per share, for the three months ended December 31, 2021 and 2020, respectively. The increase in net investment income compared to the same period in the prior year was primarily due to increased investment income.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63" w:lineRule="exact"/>
        <w:rPr>
          <w:sz w:val="20"/>
          <w:szCs w:val="20"/>
          <w:color w:val="auto"/>
        </w:rPr>
      </w:pPr>
    </w:p>
    <w:p>
      <w:pPr>
        <w:ind w:right="80" w:firstLine="449"/>
        <w:spacing w:after="0" w:line="257" w:lineRule="auto"/>
        <w:rPr>
          <w:sz w:val="20"/>
          <w:szCs w:val="20"/>
          <w:color w:val="auto"/>
        </w:rPr>
      </w:pPr>
      <w:r>
        <w:rPr>
          <w:rFonts w:ascii="Arial" w:cs="Arial" w:eastAsia="Arial" w:hAnsi="Arial"/>
          <w:sz w:val="14"/>
          <w:szCs w:val="14"/>
          <w:color w:val="auto"/>
        </w:rPr>
        <w:t>Sales and repayments of investments for the three months ended December 31, 2021 totaled $132.2 million, and net realized loss totaled $26.1 million. Sales and repayments of investments for the three months ended December 31, 2020 totaled $102.6 million and net realized losses totaled $17.6 million. The change in realized gains was primarily due to changes in the market conditions of our investments and the values at which they were realized.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the Credit Facilities</w:t>
      </w:r>
    </w:p>
    <w:p>
      <w:pPr>
        <w:spacing w:after="0" w:line="163" w:lineRule="exact"/>
        <w:rPr>
          <w:sz w:val="20"/>
          <w:szCs w:val="20"/>
          <w:color w:val="auto"/>
        </w:rPr>
      </w:pPr>
    </w:p>
    <w:p>
      <w:pPr>
        <w:ind w:right="240" w:firstLine="449"/>
        <w:spacing w:after="0" w:line="252" w:lineRule="auto"/>
        <w:rPr>
          <w:sz w:val="20"/>
          <w:szCs w:val="20"/>
          <w:color w:val="auto"/>
        </w:rPr>
      </w:pPr>
      <w:r>
        <w:rPr>
          <w:rFonts w:ascii="Arial" w:cs="Arial" w:eastAsia="Arial" w:hAnsi="Arial"/>
          <w:sz w:val="14"/>
          <w:szCs w:val="14"/>
          <w:color w:val="auto"/>
        </w:rPr>
        <w:t>For the three months ended December 31, 2021 and 2020 we reported net change in unrealized appreciation on investments of $46.8 million and $93.5 million, respectively. As of December 31, 2021 and September 30, 2021, our net unrealized appreciation on investments totaled $80.9 million and $34.2 million, respectively. The net change in unrealized appreciation/depreciation on our investments compared to the same period in the prior year was primarily due to unrealized gains in our equity co-investment program, including PT Network Intermediate Holdings, LLC.</w:t>
      </w:r>
    </w:p>
    <w:p>
      <w:pPr>
        <w:spacing w:after="0" w:line="134" w:lineRule="exact"/>
        <w:rPr>
          <w:sz w:val="20"/>
          <w:szCs w:val="20"/>
          <w:color w:val="auto"/>
        </w:rPr>
      </w:pPr>
    </w:p>
    <w:p>
      <w:pPr>
        <w:ind w:right="40" w:firstLine="449"/>
        <w:spacing w:after="0" w:line="257" w:lineRule="auto"/>
        <w:rPr>
          <w:sz w:val="20"/>
          <w:szCs w:val="20"/>
          <w:color w:val="auto"/>
        </w:rPr>
      </w:pPr>
      <w:r>
        <w:rPr>
          <w:rFonts w:ascii="Arial" w:cs="Arial" w:eastAsia="Arial" w:hAnsi="Arial"/>
          <w:sz w:val="14"/>
          <w:szCs w:val="14"/>
          <w:color w:val="auto"/>
        </w:rPr>
        <w:t>For the three months ended December 31, 2021 and 2020 the Truist Credit Facility had a net change in unrealized appreciation of $1.0 million and $13.1 million, respectively. As of December 31, 2021 and September 30, 2021, the net unrealized depreciation on the Credit Facilities totaled $0.7 million and $1.7 million, respectively. The net change in unrealized depreciation compared to the same periods in the prior year was primarily due to changes in the capital markets.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3" w:right="37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63" w:lineRule="exact"/>
        <w:rPr>
          <w:sz w:val="20"/>
          <w:szCs w:val="20"/>
          <w:color w:val="auto"/>
        </w:rPr>
      </w:pPr>
    </w:p>
    <w:p>
      <w:pPr>
        <w:ind w:right="20" w:firstLine="449"/>
        <w:spacing w:after="0" w:line="257" w:lineRule="auto"/>
        <w:rPr>
          <w:sz w:val="20"/>
          <w:szCs w:val="20"/>
          <w:color w:val="auto"/>
        </w:rPr>
      </w:pPr>
      <w:r>
        <w:rPr>
          <w:rFonts w:ascii="Arial" w:cs="Arial" w:eastAsia="Arial" w:hAnsi="Arial"/>
          <w:sz w:val="14"/>
          <w:szCs w:val="14"/>
          <w:color w:val="auto"/>
        </w:rPr>
        <w:t>Net change in net assets resulting from operations totaled $25.5 million or $0.38 per share, and $71.1 million, or $1.06 per share, for the three months ended December 31, 2021 and 2020, respectively. The decrease in the net change in net assets from operations for the three months ended December 31, 2021 compared to the same periods in the prior year was primarily due to a decrease in unrealized appreciation.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67" w:lineRule="exact"/>
        <w:rPr>
          <w:sz w:val="20"/>
          <w:szCs w:val="20"/>
          <w:color w:val="auto"/>
        </w:rPr>
      </w:pPr>
    </w:p>
    <w:p>
      <w:pPr>
        <w:ind w:right="40" w:firstLine="449"/>
        <w:spacing w:after="0" w:line="247" w:lineRule="auto"/>
        <w:rPr>
          <w:sz w:val="20"/>
          <w:szCs w:val="20"/>
          <w:color w:val="auto"/>
        </w:rPr>
      </w:pPr>
      <w:r>
        <w:rPr>
          <w:rFonts w:ascii="Arial" w:cs="Arial" w:eastAsia="Arial" w:hAnsi="Arial"/>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December 31, 2021, in accordance with the 1940 Act, with certain limited exceptions, we are only allowed to borrow amounts such that we are in compliance with a 150% asset coverage ratio requirement after such borrowing, excluding SBA debentures pursuant to exemptive relief from the SEC received in June 2011. This “Liquidity and Capital Resources” section should be read in conjunction with the “COVID-19 Developments” section above.</w:t>
      </w:r>
    </w:p>
    <w:p>
      <w:pPr>
        <w:spacing w:after="0" w:line="140" w:lineRule="exact"/>
        <w:rPr>
          <w:sz w:val="20"/>
          <w:szCs w:val="20"/>
          <w:color w:val="auto"/>
        </w:rPr>
      </w:pPr>
    </w:p>
    <w:p>
      <w:pPr>
        <w:ind w:right="20" w:firstLine="449"/>
        <w:spacing w:after="0" w:line="252" w:lineRule="auto"/>
        <w:rPr>
          <w:sz w:val="20"/>
          <w:szCs w:val="20"/>
          <w:color w:val="auto"/>
        </w:rPr>
      </w:pPr>
      <w:r>
        <w:rPr>
          <w:rFonts w:ascii="Arial" w:cs="Arial" w:eastAsia="Arial" w:hAnsi="Arial"/>
          <w:sz w:val="14"/>
          <w:szCs w:val="14"/>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December 31, 2021 and September 30, 2021, our asset coverage ratio, computed in accordance with the 1940 Act was 190% and 221%, respectively.</w:t>
      </w:r>
    </w:p>
    <w:p>
      <w:pPr>
        <w:spacing w:after="0" w:line="163" w:lineRule="exact"/>
        <w:rPr>
          <w:sz w:val="20"/>
          <w:szCs w:val="20"/>
          <w:color w:val="auto"/>
        </w:rPr>
      </w:pPr>
    </w:p>
    <w:p>
      <w:pPr>
        <w:ind w:right="300" w:firstLine="449"/>
        <w:spacing w:after="0" w:line="273" w:lineRule="auto"/>
        <w:rPr>
          <w:sz w:val="20"/>
          <w:szCs w:val="20"/>
          <w:color w:val="auto"/>
        </w:rPr>
      </w:pPr>
      <w:r>
        <w:rPr>
          <w:rFonts w:ascii="Arial" w:cs="Arial" w:eastAsia="Arial" w:hAnsi="Arial"/>
          <w:sz w:val="14"/>
          <w:szCs w:val="14"/>
          <w:color w:val="auto"/>
        </w:rPr>
        <w:t>The annualized weighted average cost of debt for the three months ended December 31, 2021 and 2020, inclusive of the fee on the undrawn commitment and amendment costs on the Credit Facilities, amortized upfront fees on SBA debentures, was 4.0% and 3.4%, respectively.</w:t>
      </w:r>
    </w:p>
    <w:p>
      <w:pPr>
        <w:spacing w:after="0" w:line="120" w:lineRule="exact"/>
        <w:rPr>
          <w:sz w:val="20"/>
          <w:szCs w:val="20"/>
          <w:color w:val="auto"/>
        </w:rPr>
      </w:pPr>
    </w:p>
    <w:p>
      <w:pPr>
        <w:ind w:right="40" w:firstLine="449"/>
        <w:spacing w:after="0" w:line="268" w:lineRule="auto"/>
        <w:rPr>
          <w:sz w:val="20"/>
          <w:szCs w:val="20"/>
          <w:color w:val="auto"/>
        </w:rPr>
      </w:pPr>
      <w:r>
        <w:rPr>
          <w:rFonts w:ascii="Arial" w:cs="Arial" w:eastAsia="Arial" w:hAnsi="Arial"/>
          <w:sz w:val="13"/>
          <w:szCs w:val="13"/>
          <w:color w:val="auto"/>
        </w:rPr>
        <w:t>As of December 31, 2021, we had the multi-currency Truist Credit Facility for up to $465.0 million (increased from $435.0 million in December 2021) in borrowings with certain lenders and Truist Bank, acting as administrative agent, and JPMorgan Chase Bank, N.A., acting as syndication agent for the lenders. As of December 31, 2021 and September 30, 2021, we had $445.2 million and $316.5 million, respectively, in outstanding borrowings under the Truist Credit Facility. The Truist Credit Facility had a weighted average interest rate of 2.4% and 2.4%, respectively, exclusive of the fee on undrawn commitments, as of December 31, 2021 and September 30, 2021. The Truist Credit Facility is a revolving facility with a stated maturity date of September 4, 2024, a one-year term-out period on September 4, 2023 and pricing set at 225 basis points over LIBOR (or an alternative risk-free floating interest rate index). As of December 31, 2021 and September 30, 2021, we had $19.8 million and $118.5 million of unused borrowing capacity under the Truist Credit Facility, respectively, subject to leverage and borrowing base restrictions. The Truist Credit Facility is secured by substantially all of our assets excluding assets held by SBIC II. As of December 31, 2021, we were in compliance with the terms of the Truist Credit Facility.</w:t>
      </w:r>
    </w:p>
    <w:p>
      <w:pPr>
        <w:spacing w:after="0" w:line="127" w:lineRule="exact"/>
        <w:rPr>
          <w:sz w:val="20"/>
          <w:szCs w:val="20"/>
          <w:color w:val="auto"/>
        </w:rPr>
      </w:pPr>
    </w:p>
    <w:p>
      <w:pPr>
        <w:jc w:val="both"/>
        <w:ind w:right="20" w:firstLine="449"/>
        <w:spacing w:after="0" w:line="257" w:lineRule="auto"/>
        <w:rPr>
          <w:sz w:val="20"/>
          <w:szCs w:val="20"/>
          <w:color w:val="auto"/>
        </w:rPr>
      </w:pPr>
      <w:r>
        <w:rPr>
          <w:rFonts w:ascii="Arial" w:cs="Arial" w:eastAsia="Arial" w:hAnsi="Arial"/>
          <w:sz w:val="14"/>
          <w:szCs w:val="14"/>
          <w:color w:val="auto"/>
        </w:rPr>
        <w:t>As of December 31, 2021 and September 30, 2021, we had zero and $86.3 million in aggregate principal amount of 2024 Notes outstanding, respectively. The 2024 Notes were redeemed on November 13, 2021 at a redemption price of $25.00 per 2024 Note, plus accrued and unpaid interest to November 13, 2021, pursuant to the indenture governing the 2024 Notes. Interest on the 2024 Notes was paid quarterly on January 15, April 15, July 15 and October 15, at a rate of 5.5% per year.</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3"/>
          <w:szCs w:val="13"/>
          <w:color w:val="auto"/>
        </w:rPr>
        <w:t xml:space="preserve">As of December 31, 2021, we had $150.0 million in aggregate principal amount of 2026 Notes outstanding. Interest on the 2026 Notes is paid semi-annually on May 1 and November 1, at a rate of 4.50% per year, commencing November 1, 2021. The 2026 Notes mature on May 1, 2026, and may be redeemed in whole or in part at our option subject to a make-whole premium if redeemed more than three months prior to maturity. The 2026 Notes are direct unsecured obligations and rank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in right of payment with future unsecured unsubordinated indebtedness. The 2026 Notes are structurally subordinated to all existing and future indebtedness and other obligations of any of our subsidiaries, financing vehicles, or similar facilities.</w:t>
      </w:r>
    </w:p>
    <w:p>
      <w:pPr>
        <w:spacing w:after="0" w:line="94" w:lineRule="exact"/>
        <w:rPr>
          <w:sz w:val="20"/>
          <w:szCs w:val="20"/>
          <w:color w:val="auto"/>
        </w:rPr>
      </w:pPr>
    </w:p>
    <w:p>
      <w:pPr>
        <w:ind w:right="20" w:firstLine="449"/>
        <w:spacing w:after="0" w:line="255" w:lineRule="auto"/>
        <w:rPr>
          <w:sz w:val="20"/>
          <w:szCs w:val="20"/>
          <w:color w:val="auto"/>
        </w:rPr>
      </w:pPr>
      <w:r>
        <w:rPr>
          <w:rFonts w:ascii="Arial" w:cs="Arial" w:eastAsia="Arial" w:hAnsi="Arial"/>
          <w:sz w:val="13"/>
          <w:szCs w:val="13"/>
          <w:color w:val="auto"/>
        </w:rPr>
        <w:t xml:space="preserve">As of December 31, 2021, we had $165.0 million in aggregate principal amount of 2026 Notes-2 outstanding. Interest on the 2026 Notes is paid semi-annually on May 1 and November 1, at a rate of 4.0% per year, commencing May 1, 2022. The 2026 Notes-2 mature on November 1, 2026, and may be redeemed in whole or in part at our option subject to a make-whole premium if redeemed more than three months prior to maturity. The 2026 Notes-2 are direct unsecured obligations and rank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in right of payment with future unsecured unsubordinated indebtedness. The 2026 Notes-2 are structurally subordinated to all existing and future indebtedness and other obligations of any of our subsidiaries, financing vehicles, or similar facilities.</w:t>
      </w:r>
    </w:p>
    <w:p>
      <w:pPr>
        <w:spacing w:after="0" w:line="107" w:lineRule="exact"/>
        <w:rPr>
          <w:sz w:val="20"/>
          <w:szCs w:val="20"/>
          <w:color w:val="auto"/>
        </w:rPr>
      </w:pPr>
    </w:p>
    <w:p>
      <w:pPr>
        <w:ind w:right="120" w:firstLine="449"/>
        <w:spacing w:after="0" w:line="231"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the Truist Credit Facility and SBA debentures. Furthermore, the Truist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30" w:lineRule="exact"/>
        <w:rPr>
          <w:sz w:val="20"/>
          <w:szCs w:val="20"/>
          <w:color w:val="auto"/>
        </w:rPr>
      </w:pPr>
    </w:p>
    <w:p>
      <w:pPr>
        <w:ind w:right="200" w:firstLine="449"/>
        <w:spacing w:after="0" w:line="273" w:lineRule="auto"/>
        <w:rPr>
          <w:sz w:val="20"/>
          <w:szCs w:val="20"/>
          <w:color w:val="auto"/>
        </w:rPr>
      </w:pPr>
      <w:r>
        <w:rPr>
          <w:rFonts w:ascii="Arial" w:cs="Arial" w:eastAsia="Arial" w:hAnsi="Arial"/>
          <w:sz w:val="13"/>
          <w:szCs w:val="13"/>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2022 PennantPark Investment Advisers serves as our investment adviser. PennantPark Investment, through the Investment Adviser, provides similar services to SBIC II under its investment management agreement with us. SBIC II’s investment management agreement does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22" w:lineRule="exact"/>
        <w:rPr>
          <w:sz w:val="20"/>
          <w:szCs w:val="20"/>
          <w:color w:val="auto"/>
        </w:rPr>
      </w:pPr>
    </w:p>
    <w:p>
      <w:pPr>
        <w:ind w:right="100" w:firstLine="449"/>
        <w:spacing w:after="0" w:line="247"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2022 the Administrator furnishes us with office facilities and administrative services necessary to conduct our day-to-day operations. PennantPark Investment, through the Administrator, provides similar services to SBIC II under its administration agreements, which are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40" w:lineRule="exact"/>
        <w:rPr>
          <w:sz w:val="20"/>
          <w:szCs w:val="20"/>
          <w:color w:val="auto"/>
        </w:rPr>
      </w:pPr>
    </w:p>
    <w:p>
      <w:pPr>
        <w:ind w:right="60" w:firstLine="449"/>
        <w:spacing w:after="0" w:line="257"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41" w:name="page42"/>
    <w:bookmarkEnd w:id="41"/>
    <w:p>
      <w:pPr>
        <w:ind w:right="40" w:firstLine="449"/>
        <w:spacing w:after="0" w:line="273" w:lineRule="auto"/>
        <w:rPr>
          <w:sz w:val="20"/>
          <w:szCs w:val="20"/>
          <w:color w:val="auto"/>
        </w:rPr>
      </w:pPr>
      <w:r>
        <w:rPr>
          <w:rFonts w:ascii="Arial" w:cs="Arial" w:eastAsia="Arial" w:hAnsi="Arial"/>
          <w:sz w:val="13"/>
          <w:szCs w:val="13"/>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$63.5 million and $63.5 million as of December 31, 2021 and September 30, 2021, respectively.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up to a maximum of $175.0 million, which is up to twice its potential regulatory capital, and as part of a group of SBICs under common control may borrow a maximum of $350 million in the aggregate.</w:t>
      </w:r>
    </w:p>
    <w:p>
      <w:pPr>
        <w:spacing w:after="0" w:line="122"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3"/>
          <w:szCs w:val="13"/>
          <w:color w:val="auto"/>
        </w:rPr>
        <w:t>As of both December 31, 2021 and September 30, 2021, SBIC II had an initial $150.0 million in debt commitments, all of which were drawn. During the three months ended December 31, 2021 and 2020, there were zero repayments to the SBA debentures. As of both December 31, 2021 and September 30, 2021, the unamortized fees on the SBA debentures were $1.3 million, respectively. The SBA debentures’ upfront fees of 3.4% consist of a commitment fee of 1.0% and an issuance discount of 2.4%, which are being amortized.</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fixed-rate SBA debentures as of December 31, 2021 and September 30, 2021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33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tcPr>
          <w:p>
            <w:pPr>
              <w:spacing w:after="0"/>
              <w:rPr>
                <w:sz w:val="14"/>
                <w:szCs w:val="14"/>
                <w:color w:val="auto"/>
              </w:rPr>
            </w:pPr>
          </w:p>
        </w:tc>
        <w:tc>
          <w:tcPr>
            <w:tcW w:w="21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Maturity</w:t>
            </w:r>
          </w:p>
        </w:tc>
        <w:tc>
          <w:tcPr>
            <w:tcW w:w="260" w:type="dxa"/>
            <w:vAlign w:val="bottom"/>
          </w:tcPr>
          <w:p>
            <w:pPr>
              <w:spacing w:after="0"/>
              <w:rPr>
                <w:sz w:val="14"/>
                <w:szCs w:val="14"/>
                <w:color w:val="auto"/>
              </w:rPr>
            </w:pPr>
          </w:p>
        </w:tc>
        <w:tc>
          <w:tcPr>
            <w:tcW w:w="2440" w:type="dxa"/>
            <w:vAlign w:val="bottom"/>
            <w:gridSpan w:val="2"/>
            <w:vMerge w:val="restart"/>
          </w:tcPr>
          <w:p>
            <w:pPr>
              <w:jc w:val="right"/>
              <w:ind w:right="508"/>
              <w:spacing w:after="0"/>
              <w:rPr>
                <w:sz w:val="20"/>
                <w:szCs w:val="20"/>
                <w:color w:val="auto"/>
              </w:rPr>
            </w:pPr>
            <w:r>
              <w:rPr>
                <w:rFonts w:ascii="Arial" w:cs="Arial" w:eastAsia="Arial" w:hAnsi="Arial"/>
                <w:sz w:val="14"/>
                <w:szCs w:val="14"/>
                <w:b w:val="1"/>
                <w:bCs w:val="1"/>
                <w:color w:val="auto"/>
                <w:w w:val="98"/>
              </w:rPr>
              <w:t xml:space="preserve">Fixed All-in Coupon Rate </w:t>
            </w:r>
            <w:r>
              <w:rPr>
                <w:rFonts w:ascii="Arial" w:cs="Arial" w:eastAsia="Arial" w:hAnsi="Arial"/>
                <w:sz w:val="19"/>
                <w:szCs w:val="19"/>
                <w:b w:val="1"/>
                <w:bCs w:val="1"/>
                <w:color w:val="auto"/>
                <w:w w:val="98"/>
                <w:vertAlign w:val="superscript"/>
              </w:rPr>
              <w:t>(1)</w:t>
            </w:r>
          </w:p>
        </w:tc>
        <w:tc>
          <w:tcPr>
            <w:tcW w:w="300" w:type="dxa"/>
            <w:vAlign w:val="bottom"/>
          </w:tcPr>
          <w:p>
            <w:pPr>
              <w:spacing w:after="0"/>
              <w:rPr>
                <w:sz w:val="14"/>
                <w:szCs w:val="14"/>
                <w:color w:val="auto"/>
              </w:rPr>
            </w:pPr>
          </w:p>
        </w:tc>
        <w:tc>
          <w:tcPr>
            <w:tcW w:w="2220" w:type="dxa"/>
            <w:vAlign w:val="bottom"/>
          </w:tcPr>
          <w:p>
            <w:pPr>
              <w:jc w:val="center"/>
              <w:ind w:right="228"/>
              <w:spacing w:after="0"/>
              <w:rPr>
                <w:sz w:val="20"/>
                <w:szCs w:val="20"/>
                <w:color w:val="auto"/>
              </w:rPr>
            </w:pPr>
            <w:r>
              <w:rPr>
                <w:rFonts w:ascii="Arial" w:cs="Arial" w:eastAsia="Arial" w:hAnsi="Arial"/>
                <w:sz w:val="14"/>
                <w:szCs w:val="14"/>
                <w:b w:val="1"/>
                <w:bCs w:val="1"/>
                <w:color w:val="auto"/>
                <w:w w:val="92"/>
              </w:rPr>
              <w:t>As of December 31, 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3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tcPr>
          <w:p>
            <w:pPr>
              <w:jc w:val="center"/>
              <w:ind w:right="228"/>
              <w:spacing w:after="0"/>
              <w:rPr>
                <w:sz w:val="20"/>
                <w:szCs w:val="20"/>
                <w:color w:val="auto"/>
              </w:rPr>
            </w:pPr>
            <w:r>
              <w:rPr>
                <w:rFonts w:ascii="Arial" w:cs="Arial" w:eastAsia="Arial" w:hAnsi="Arial"/>
                <w:sz w:val="14"/>
                <w:szCs w:val="14"/>
                <w:b w:val="1"/>
                <w:bCs w:val="1"/>
                <w:color w:val="auto"/>
                <w:w w:val="92"/>
              </w:rPr>
              <w:t>Principal Balance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80" w:type="dxa"/>
            <w:vAlign w:val="bottom"/>
            <w:tcBorders>
              <w:top w:val="single" w:sz="8" w:color="auto"/>
            </w:tcBorders>
            <w:gridSpan w:val="3"/>
            <w:shd w:val="clear" w:color="auto" w:fill="CCECFF"/>
          </w:tcPr>
          <w:p>
            <w:pPr>
              <w:ind w:left="20"/>
              <w:spacing w:after="0"/>
              <w:rPr>
                <w:sz w:val="20"/>
                <w:szCs w:val="20"/>
                <w:color w:val="auto"/>
              </w:rPr>
            </w:pPr>
            <w:r>
              <w:rPr>
                <w:rFonts w:ascii="Arial" w:cs="Arial" w:eastAsia="Arial" w:hAnsi="Arial"/>
                <w:sz w:val="14"/>
                <w:szCs w:val="14"/>
                <w:color w:val="auto"/>
              </w:rPr>
              <w:t>September 20, 2017</w:t>
            </w:r>
          </w:p>
        </w:tc>
        <w:tc>
          <w:tcPr>
            <w:tcW w:w="240" w:type="dxa"/>
            <w:vAlign w:val="bottom"/>
            <w:shd w:val="clear" w:color="auto" w:fill="CCECFF"/>
          </w:tcPr>
          <w:p>
            <w:pPr>
              <w:spacing w:after="0"/>
              <w:rPr>
                <w:sz w:val="14"/>
                <w:szCs w:val="14"/>
                <w:color w:val="auto"/>
              </w:rPr>
            </w:pPr>
          </w:p>
        </w:tc>
        <w:tc>
          <w:tcPr>
            <w:tcW w:w="21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60" w:type="dxa"/>
            <w:vAlign w:val="bottom"/>
            <w:shd w:val="clear" w:color="auto" w:fill="CCECFF"/>
          </w:tcPr>
          <w:p>
            <w:pPr>
              <w:spacing w:after="0"/>
              <w:rPr>
                <w:sz w:val="14"/>
                <w:szCs w:val="14"/>
                <w:color w:val="auto"/>
              </w:rPr>
            </w:pPr>
          </w:p>
        </w:tc>
        <w:tc>
          <w:tcPr>
            <w:tcW w:w="20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2.9</w:t>
            </w:r>
          </w:p>
        </w:tc>
        <w:tc>
          <w:tcPr>
            <w:tcW w:w="420" w:type="dxa"/>
            <w:vAlign w:val="bottom"/>
            <w:shd w:val="clear" w:color="auto" w:fill="CCECFF"/>
          </w:tcPr>
          <w:p>
            <w:pPr>
              <w:jc w:val="right"/>
              <w:ind w:right="228"/>
              <w:spacing w:after="0"/>
              <w:rPr>
                <w:sz w:val="20"/>
                <w:szCs w:val="20"/>
                <w:color w:val="auto"/>
              </w:rPr>
            </w:pPr>
            <w:r>
              <w:rPr>
                <w:rFonts w:ascii="Arial" w:cs="Arial" w:eastAsia="Arial" w:hAnsi="Arial"/>
                <w:sz w:val="14"/>
                <w:szCs w:val="14"/>
                <w:color w:val="auto"/>
                <w:w w:val="79"/>
              </w:rPr>
              <w:t>%</w:t>
            </w:r>
          </w:p>
        </w:tc>
        <w:tc>
          <w:tcPr>
            <w:tcW w:w="300" w:type="dxa"/>
            <w:vAlign w:val="bottom"/>
            <w:tcBorders>
              <w:top w:val="single" w:sz="8" w:color="auto"/>
            </w:tcBorders>
            <w:shd w:val="clear" w:color="auto" w:fill="CCECFF"/>
          </w:tcPr>
          <w:p>
            <w:pPr>
              <w:spacing w:after="0"/>
              <w:rPr>
                <w:sz w:val="14"/>
                <w:szCs w:val="14"/>
                <w:color w:val="auto"/>
              </w:rPr>
            </w:pPr>
          </w:p>
        </w:tc>
        <w:tc>
          <w:tcPr>
            <w:tcW w:w="2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27,500,000</w:t>
            </w: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80" w:type="dxa"/>
            <w:vAlign w:val="bottom"/>
            <w:gridSpan w:val="3"/>
          </w:tcPr>
          <w:p>
            <w:pPr>
              <w:ind w:left="20"/>
              <w:spacing w:after="0"/>
              <w:rPr>
                <w:sz w:val="20"/>
                <w:szCs w:val="20"/>
                <w:color w:val="auto"/>
              </w:rPr>
            </w:pPr>
            <w:r>
              <w:rPr>
                <w:rFonts w:ascii="Arial" w:cs="Arial" w:eastAsia="Arial" w:hAnsi="Arial"/>
                <w:sz w:val="14"/>
                <w:szCs w:val="14"/>
                <w:color w:val="auto"/>
              </w:rPr>
              <w:t>March 21, 2018</w:t>
            </w:r>
          </w:p>
        </w:tc>
        <w:tc>
          <w:tcPr>
            <w:tcW w:w="2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March 1, 2028</w:t>
            </w: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36,000,000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8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4"/>
                <w:szCs w:val="14"/>
                <w:color w:val="auto"/>
              </w:rPr>
              <w:t>Weighted Average Rate / Total</w:t>
            </w:r>
          </w:p>
        </w:tc>
        <w:tc>
          <w:tcPr>
            <w:tcW w:w="240" w:type="dxa"/>
            <w:vAlign w:val="bottom"/>
            <w:tcBorders>
              <w:bottom w:val="single" w:sz="8" w:color="CCECFF"/>
            </w:tcBorders>
            <w:shd w:val="clear" w:color="auto" w:fill="CCECFF"/>
          </w:tcPr>
          <w:p>
            <w:pPr>
              <w:spacing w:after="0"/>
              <w:rPr>
                <w:sz w:val="18"/>
                <w:szCs w:val="18"/>
                <w:color w:val="auto"/>
              </w:rPr>
            </w:pPr>
          </w:p>
        </w:tc>
        <w:tc>
          <w:tcPr>
            <w:tcW w:w="216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2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3.2</w:t>
            </w:r>
          </w:p>
        </w:tc>
        <w:tc>
          <w:tcPr>
            <w:tcW w:w="420" w:type="dxa"/>
            <w:vAlign w:val="bottom"/>
            <w:tcBorders>
              <w:bottom w:val="single" w:sz="8" w:color="CCECFF"/>
            </w:tcBorders>
            <w:shd w:val="clear" w:color="auto" w:fill="CCECFF"/>
          </w:tcPr>
          <w:p>
            <w:pPr>
              <w:jc w:val="right"/>
              <w:ind w:right="228"/>
              <w:spacing w:after="0"/>
              <w:rPr>
                <w:sz w:val="20"/>
                <w:szCs w:val="20"/>
                <w:color w:val="auto"/>
              </w:rPr>
            </w:pPr>
            <w:r>
              <w:rPr>
                <w:rFonts w:ascii="Arial" w:cs="Arial" w:eastAsia="Arial" w:hAnsi="Arial"/>
                <w:sz w:val="14"/>
                <w:szCs w:val="14"/>
                <w:color w:val="auto"/>
                <w:w w:val="79"/>
              </w:rPr>
              <w:t>%</w:t>
            </w:r>
          </w:p>
        </w:tc>
        <w:tc>
          <w:tcPr>
            <w:tcW w:w="300" w:type="dxa"/>
            <w:vAlign w:val="bottom"/>
            <w:tcBorders>
              <w:top w:val="single" w:sz="8" w:color="auto"/>
              <w:bottom w:val="single" w:sz="8" w:color="auto"/>
            </w:tcBorders>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2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63,500,000</w:t>
            </w:r>
          </w:p>
        </w:tc>
        <w:tc>
          <w:tcPr>
            <w:tcW w:w="4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260" w:type="dxa"/>
            <w:vAlign w:val="bottom"/>
          </w:tcPr>
          <w:p>
            <w:pPr>
              <w:spacing w:after="0"/>
              <w:rPr>
                <w:sz w:val="24"/>
                <w:szCs w:val="24"/>
                <w:color w:val="auto"/>
              </w:rPr>
            </w:pPr>
          </w:p>
        </w:tc>
        <w:tc>
          <w:tcPr>
            <w:tcW w:w="33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tcPr>
          <w:p>
            <w:pPr>
              <w:spacing w:after="0"/>
              <w:rPr>
                <w:sz w:val="24"/>
                <w:szCs w:val="24"/>
                <w:color w:val="auto"/>
              </w:rPr>
            </w:pPr>
          </w:p>
        </w:tc>
        <w:tc>
          <w:tcPr>
            <w:tcW w:w="21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Maturity</w:t>
            </w:r>
          </w:p>
        </w:tc>
        <w:tc>
          <w:tcPr>
            <w:tcW w:w="260" w:type="dxa"/>
            <w:vAlign w:val="bottom"/>
          </w:tcPr>
          <w:p>
            <w:pPr>
              <w:spacing w:after="0"/>
              <w:rPr>
                <w:sz w:val="24"/>
                <w:szCs w:val="24"/>
                <w:color w:val="auto"/>
              </w:rPr>
            </w:pPr>
          </w:p>
        </w:tc>
        <w:tc>
          <w:tcPr>
            <w:tcW w:w="2440" w:type="dxa"/>
            <w:vAlign w:val="bottom"/>
            <w:gridSpan w:val="2"/>
            <w:vMerge w:val="restart"/>
          </w:tcPr>
          <w:p>
            <w:pPr>
              <w:jc w:val="right"/>
              <w:ind w:right="508"/>
              <w:spacing w:after="0"/>
              <w:rPr>
                <w:sz w:val="20"/>
                <w:szCs w:val="20"/>
                <w:color w:val="auto"/>
              </w:rPr>
            </w:pPr>
            <w:r>
              <w:rPr>
                <w:rFonts w:ascii="Arial" w:cs="Arial" w:eastAsia="Arial" w:hAnsi="Arial"/>
                <w:sz w:val="14"/>
                <w:szCs w:val="14"/>
                <w:b w:val="1"/>
                <w:bCs w:val="1"/>
                <w:color w:val="auto"/>
                <w:w w:val="98"/>
              </w:rPr>
              <w:t xml:space="preserve">Fixed All-in Coupon Rate </w:t>
            </w:r>
            <w:r>
              <w:rPr>
                <w:rFonts w:ascii="Arial" w:cs="Arial" w:eastAsia="Arial" w:hAnsi="Arial"/>
                <w:sz w:val="19"/>
                <w:szCs w:val="19"/>
                <w:b w:val="1"/>
                <w:bCs w:val="1"/>
                <w:color w:val="auto"/>
                <w:w w:val="98"/>
                <w:vertAlign w:val="superscript"/>
              </w:rPr>
              <w:t>(1)</w:t>
            </w:r>
          </w:p>
        </w:tc>
        <w:tc>
          <w:tcPr>
            <w:tcW w:w="300" w:type="dxa"/>
            <w:vAlign w:val="bottom"/>
          </w:tcPr>
          <w:p>
            <w:pPr>
              <w:spacing w:after="0"/>
              <w:rPr>
                <w:sz w:val="24"/>
                <w:szCs w:val="24"/>
                <w:color w:val="auto"/>
              </w:rPr>
            </w:pPr>
          </w:p>
        </w:tc>
        <w:tc>
          <w:tcPr>
            <w:tcW w:w="2220" w:type="dxa"/>
            <w:vAlign w:val="bottom"/>
          </w:tcPr>
          <w:p>
            <w:pPr>
              <w:jc w:val="center"/>
              <w:ind w:right="228"/>
              <w:spacing w:after="0"/>
              <w:rPr>
                <w:sz w:val="20"/>
                <w:szCs w:val="20"/>
                <w:color w:val="auto"/>
              </w:rPr>
            </w:pPr>
            <w:r>
              <w:rPr>
                <w:rFonts w:ascii="Arial" w:cs="Arial" w:eastAsia="Arial" w:hAnsi="Arial"/>
                <w:sz w:val="14"/>
                <w:szCs w:val="14"/>
                <w:b w:val="1"/>
                <w:bCs w:val="1"/>
                <w:color w:val="auto"/>
                <w:w w:val="91"/>
              </w:rPr>
              <w:t>As of September 30, 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3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tcPr>
          <w:p>
            <w:pPr>
              <w:jc w:val="center"/>
              <w:ind w:right="228"/>
              <w:spacing w:after="0"/>
              <w:rPr>
                <w:sz w:val="20"/>
                <w:szCs w:val="20"/>
                <w:color w:val="auto"/>
              </w:rPr>
            </w:pPr>
            <w:r>
              <w:rPr>
                <w:rFonts w:ascii="Arial" w:cs="Arial" w:eastAsia="Arial" w:hAnsi="Arial"/>
                <w:sz w:val="14"/>
                <w:szCs w:val="14"/>
                <w:b w:val="1"/>
                <w:bCs w:val="1"/>
                <w:color w:val="auto"/>
                <w:w w:val="92"/>
              </w:rPr>
              <w:t>Principal Balance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80" w:type="dxa"/>
            <w:vAlign w:val="bottom"/>
            <w:tcBorders>
              <w:top w:val="single" w:sz="8" w:color="auto"/>
            </w:tcBorders>
            <w:gridSpan w:val="3"/>
            <w:shd w:val="clear" w:color="auto" w:fill="CCECFF"/>
          </w:tcPr>
          <w:p>
            <w:pPr>
              <w:ind w:left="20"/>
              <w:spacing w:after="0"/>
              <w:rPr>
                <w:sz w:val="20"/>
                <w:szCs w:val="20"/>
                <w:color w:val="auto"/>
              </w:rPr>
            </w:pPr>
            <w:r>
              <w:rPr>
                <w:rFonts w:ascii="Arial" w:cs="Arial" w:eastAsia="Arial" w:hAnsi="Arial"/>
                <w:sz w:val="14"/>
                <w:szCs w:val="14"/>
                <w:color w:val="auto"/>
              </w:rPr>
              <w:t>September 20, 2017</w:t>
            </w:r>
          </w:p>
        </w:tc>
        <w:tc>
          <w:tcPr>
            <w:tcW w:w="240" w:type="dxa"/>
            <w:vAlign w:val="bottom"/>
            <w:shd w:val="clear" w:color="auto" w:fill="CCECFF"/>
          </w:tcPr>
          <w:p>
            <w:pPr>
              <w:spacing w:after="0"/>
              <w:rPr>
                <w:sz w:val="14"/>
                <w:szCs w:val="14"/>
                <w:color w:val="auto"/>
              </w:rPr>
            </w:pPr>
          </w:p>
        </w:tc>
        <w:tc>
          <w:tcPr>
            <w:tcW w:w="21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60" w:type="dxa"/>
            <w:vAlign w:val="bottom"/>
            <w:shd w:val="clear" w:color="auto" w:fill="CCECFF"/>
          </w:tcPr>
          <w:p>
            <w:pPr>
              <w:spacing w:after="0"/>
              <w:rPr>
                <w:sz w:val="14"/>
                <w:szCs w:val="14"/>
                <w:color w:val="auto"/>
              </w:rPr>
            </w:pPr>
          </w:p>
        </w:tc>
        <w:tc>
          <w:tcPr>
            <w:tcW w:w="20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2.9</w:t>
            </w:r>
          </w:p>
        </w:tc>
        <w:tc>
          <w:tcPr>
            <w:tcW w:w="420" w:type="dxa"/>
            <w:vAlign w:val="bottom"/>
            <w:shd w:val="clear" w:color="auto" w:fill="CCECFF"/>
          </w:tcPr>
          <w:p>
            <w:pPr>
              <w:jc w:val="right"/>
              <w:ind w:right="228"/>
              <w:spacing w:after="0"/>
              <w:rPr>
                <w:sz w:val="20"/>
                <w:szCs w:val="20"/>
                <w:color w:val="auto"/>
              </w:rPr>
            </w:pPr>
            <w:r>
              <w:rPr>
                <w:rFonts w:ascii="Arial" w:cs="Arial" w:eastAsia="Arial" w:hAnsi="Arial"/>
                <w:sz w:val="14"/>
                <w:szCs w:val="14"/>
                <w:color w:val="auto"/>
                <w:w w:val="79"/>
              </w:rPr>
              <w:t>%</w:t>
            </w:r>
          </w:p>
        </w:tc>
        <w:tc>
          <w:tcPr>
            <w:tcW w:w="300" w:type="dxa"/>
            <w:vAlign w:val="bottom"/>
            <w:tcBorders>
              <w:top w:val="single" w:sz="8" w:color="auto"/>
            </w:tcBorders>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2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27,500,000</w:t>
            </w:r>
          </w:p>
        </w:tc>
        <w:tc>
          <w:tcPr>
            <w:tcW w:w="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80" w:type="dxa"/>
            <w:vAlign w:val="bottom"/>
            <w:gridSpan w:val="3"/>
          </w:tcPr>
          <w:p>
            <w:pPr>
              <w:ind w:left="20"/>
              <w:spacing w:after="0"/>
              <w:rPr>
                <w:sz w:val="20"/>
                <w:szCs w:val="20"/>
                <w:color w:val="auto"/>
              </w:rPr>
            </w:pPr>
            <w:r>
              <w:rPr>
                <w:rFonts w:ascii="Arial" w:cs="Arial" w:eastAsia="Arial" w:hAnsi="Arial"/>
                <w:sz w:val="14"/>
                <w:szCs w:val="14"/>
                <w:color w:val="auto"/>
              </w:rPr>
              <w:t>March 21, 2018</w:t>
            </w:r>
          </w:p>
        </w:tc>
        <w:tc>
          <w:tcPr>
            <w:tcW w:w="2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March 1, 2028</w:t>
            </w: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36,000,000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8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4"/>
                <w:szCs w:val="14"/>
                <w:color w:val="auto"/>
              </w:rPr>
              <w:t>Weighted Average Rate / Total</w:t>
            </w:r>
          </w:p>
        </w:tc>
        <w:tc>
          <w:tcPr>
            <w:tcW w:w="240" w:type="dxa"/>
            <w:vAlign w:val="bottom"/>
            <w:tcBorders>
              <w:bottom w:val="single" w:sz="8" w:color="CCECFF"/>
            </w:tcBorders>
            <w:shd w:val="clear" w:color="auto" w:fill="CCECFF"/>
          </w:tcPr>
          <w:p>
            <w:pPr>
              <w:spacing w:after="0"/>
              <w:rPr>
                <w:sz w:val="18"/>
                <w:szCs w:val="18"/>
                <w:color w:val="auto"/>
              </w:rPr>
            </w:pPr>
          </w:p>
        </w:tc>
        <w:tc>
          <w:tcPr>
            <w:tcW w:w="216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2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3.2</w:t>
            </w:r>
          </w:p>
        </w:tc>
        <w:tc>
          <w:tcPr>
            <w:tcW w:w="420" w:type="dxa"/>
            <w:vAlign w:val="bottom"/>
            <w:tcBorders>
              <w:bottom w:val="single" w:sz="8" w:color="CCECFF"/>
            </w:tcBorders>
            <w:shd w:val="clear" w:color="auto" w:fill="CCECFF"/>
          </w:tcPr>
          <w:p>
            <w:pPr>
              <w:jc w:val="right"/>
              <w:ind w:right="228"/>
              <w:spacing w:after="0"/>
              <w:rPr>
                <w:sz w:val="20"/>
                <w:szCs w:val="20"/>
                <w:color w:val="auto"/>
              </w:rPr>
            </w:pPr>
            <w:r>
              <w:rPr>
                <w:rFonts w:ascii="Arial" w:cs="Arial" w:eastAsia="Arial" w:hAnsi="Arial"/>
                <w:sz w:val="14"/>
                <w:szCs w:val="14"/>
                <w:color w:val="auto"/>
                <w:w w:val="79"/>
              </w:rPr>
              <w:t>%</w:t>
            </w:r>
          </w:p>
        </w:tc>
        <w:tc>
          <w:tcPr>
            <w:tcW w:w="300" w:type="dxa"/>
            <w:vAlign w:val="bottom"/>
            <w:tcBorders>
              <w:top w:val="single" w:sz="8" w:color="auto"/>
              <w:bottom w:val="single" w:sz="8" w:color="auto"/>
            </w:tcBorders>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2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63,500,000</w:t>
            </w:r>
          </w:p>
        </w:tc>
        <w:tc>
          <w:tcPr>
            <w:tcW w:w="4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1700" w:type="dxa"/>
            <w:vAlign w:val="bottom"/>
            <w:vMerge w:val="restart"/>
          </w:tcPr>
          <w:p>
            <w:pPr>
              <w:ind w:left="80"/>
              <w:spacing w:after="0"/>
              <w:rPr>
                <w:sz w:val="20"/>
                <w:szCs w:val="20"/>
                <w:color w:val="auto"/>
              </w:rPr>
            </w:pPr>
            <w:r>
              <w:rPr>
                <w:rFonts w:ascii="Arial" w:cs="Arial" w:eastAsia="Arial" w:hAnsi="Arial"/>
                <w:sz w:val="14"/>
                <w:szCs w:val="14"/>
                <w:color w:val="auto"/>
              </w:rPr>
              <w:t>fees.</w:t>
            </w:r>
          </w:p>
        </w:tc>
        <w:tc>
          <w:tcPr>
            <w:tcW w:w="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20"/>
                <w:szCs w:val="20"/>
                <w:color w:val="auto"/>
              </w:rPr>
            </w:pPr>
            <w:r>
              <w:rPr>
                <w:rFonts w:ascii="Arial" w:cs="Arial" w:eastAsia="Arial" w:hAnsi="Arial"/>
                <w:sz w:val="10"/>
                <w:szCs w:val="10"/>
                <w:color w:val="auto"/>
              </w:rPr>
              <w:t>(1)</w:t>
            </w:r>
          </w:p>
        </w:tc>
        <w:tc>
          <w:tcPr>
            <w:tcW w:w="1620" w:type="dxa"/>
            <w:vAlign w:val="bottom"/>
          </w:tcPr>
          <w:p>
            <w:pPr>
              <w:ind w:left="120"/>
              <w:spacing w:after="0"/>
              <w:rPr>
                <w:sz w:val="20"/>
                <w:szCs w:val="20"/>
                <w:color w:val="auto"/>
              </w:rPr>
            </w:pPr>
            <w:r>
              <w:rPr>
                <w:rFonts w:ascii="Arial" w:cs="Arial" w:eastAsia="Arial" w:hAnsi="Arial"/>
                <w:sz w:val="14"/>
                <w:szCs w:val="14"/>
                <w:color w:val="auto"/>
                <w:w w:val="92"/>
              </w:rPr>
              <w:t>Excluding 3.4% of upfront</w:t>
            </w:r>
          </w:p>
        </w:tc>
        <w:tc>
          <w:tcPr>
            <w:tcW w:w="1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-946785</wp:posOffset>
            </wp:positionV>
            <wp:extent cx="12001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-929640</wp:posOffset>
            </wp:positionV>
            <wp:extent cx="12001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-946785</wp:posOffset>
            </wp:positionV>
            <wp:extent cx="2603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-929640</wp:posOffset>
            </wp:positionV>
            <wp:extent cx="2603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-252095</wp:posOffset>
            </wp:positionV>
            <wp:extent cx="12001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-234950</wp:posOffset>
            </wp:positionV>
            <wp:extent cx="12001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-252095</wp:posOffset>
            </wp:positionV>
            <wp:extent cx="2603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-234950</wp:posOffset>
            </wp:positionV>
            <wp:extent cx="2603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76" w:lineRule="exact"/>
        <w:rPr>
          <w:sz w:val="20"/>
          <w:szCs w:val="20"/>
          <w:color w:val="auto"/>
        </w:rPr>
      </w:pPr>
    </w:p>
    <w:p>
      <w:pPr>
        <w:ind w:firstLine="449"/>
        <w:spacing w:after="0" w:line="249"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2021, SBIC II was in compliance with their regulatory requirements.</w:t>
      </w:r>
    </w:p>
    <w:p>
      <w:pPr>
        <w:spacing w:after="0" w:line="137" w:lineRule="exact"/>
        <w:rPr>
          <w:sz w:val="20"/>
          <w:szCs w:val="20"/>
          <w:color w:val="auto"/>
        </w:rPr>
      </w:pPr>
    </w:p>
    <w:p>
      <w:pPr>
        <w:ind w:right="20" w:firstLine="449"/>
        <w:spacing w:after="0" w:line="249" w:lineRule="auto"/>
        <w:rPr>
          <w:sz w:val="20"/>
          <w:szCs w:val="20"/>
          <w:color w:val="auto"/>
        </w:rPr>
      </w:pPr>
      <w:r>
        <w:rPr>
          <w:rFonts w:ascii="Arial" w:cs="Arial" w:eastAsia="Arial" w:hAnsi="Arial"/>
          <w:sz w:val="14"/>
          <w:szCs w:val="14"/>
          <w:color w:val="auto"/>
        </w:rPr>
        <w:t>In accordance with the 1940 Act, with certain limited exceptions, PennantPark Investment is only allowed to borrow amounts such that our required 150% asset coverage ratio is met after such borrowing. As of December 31, 2021 and September 30, 2021,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137" w:lineRule="exact"/>
        <w:rPr>
          <w:sz w:val="20"/>
          <w:szCs w:val="20"/>
          <w:color w:val="auto"/>
        </w:rPr>
      </w:pPr>
    </w:p>
    <w:p>
      <w:pPr>
        <w:ind w:right="440" w:firstLine="449"/>
        <w:spacing w:after="0" w:line="273" w:lineRule="auto"/>
        <w:rPr>
          <w:sz w:val="20"/>
          <w:szCs w:val="20"/>
          <w:color w:val="auto"/>
        </w:rPr>
      </w:pPr>
      <w:r>
        <w:rPr>
          <w:rFonts w:ascii="Arial" w:cs="Arial" w:eastAsia="Arial" w:hAnsi="Arial"/>
          <w:sz w:val="14"/>
          <w:szCs w:val="14"/>
          <w:color w:val="auto"/>
        </w:rPr>
        <w:t>As of December 31, 2021 and September 30, 2021, we had cash and cash equivalents of $39.6 million and $20.4 million, respectively, available for investing and general corporate purposes. We believe our liquidity and capital resources are sufficient to take advantage of market opportunities.</w:t>
      </w:r>
    </w:p>
    <w:p>
      <w:pPr>
        <w:spacing w:after="0" w:line="120" w:lineRule="exact"/>
        <w:rPr>
          <w:sz w:val="20"/>
          <w:szCs w:val="20"/>
          <w:color w:val="auto"/>
        </w:rPr>
      </w:pPr>
    </w:p>
    <w:p>
      <w:pPr>
        <w:ind w:right="80" w:firstLine="449"/>
        <w:spacing w:after="0" w:line="257" w:lineRule="auto"/>
        <w:rPr>
          <w:sz w:val="20"/>
          <w:szCs w:val="20"/>
          <w:color w:val="auto"/>
        </w:rPr>
      </w:pPr>
      <w:r>
        <w:rPr>
          <w:rFonts w:ascii="Arial" w:cs="Arial" w:eastAsia="Arial" w:hAnsi="Arial"/>
          <w:sz w:val="14"/>
          <w:szCs w:val="14"/>
          <w:color w:val="auto"/>
        </w:rPr>
        <w:t>Our operating activities used cash of $177.4 million for the three months ended December 31, 2021, and our financing activities provided cash of $196.6 million for the same period. Our operating activities used cash primarily due to our investment activities and our financing activities provided cash primarily due to the issuance of the 2026 Notes-2 and borrowings under the Truist Credit Facility.</w:t>
      </w:r>
    </w:p>
    <w:p>
      <w:pPr>
        <w:spacing w:after="0" w:line="131" w:lineRule="exact"/>
        <w:rPr>
          <w:sz w:val="20"/>
          <w:szCs w:val="20"/>
          <w:color w:val="auto"/>
        </w:rPr>
      </w:pPr>
    </w:p>
    <w:p>
      <w:pPr>
        <w:ind w:right="260" w:firstLine="449"/>
        <w:spacing w:after="0" w:line="273" w:lineRule="auto"/>
        <w:rPr>
          <w:sz w:val="20"/>
          <w:szCs w:val="20"/>
          <w:color w:val="auto"/>
        </w:rPr>
      </w:pPr>
      <w:r>
        <w:rPr>
          <w:rFonts w:ascii="Arial" w:cs="Arial" w:eastAsia="Arial" w:hAnsi="Arial"/>
          <w:sz w:val="14"/>
          <w:szCs w:val="14"/>
          <w:color w:val="auto"/>
        </w:rPr>
        <w:t>Our operating activities provided cash of $35.0 million for the three months ended December 31, 2020 and our financing activities used cash of $40.8 million for the same period. Our operating activities provided cash primarily for our investment activities and our financing activities used cash primarily to pay down the Truist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Loan Fund, LLC</w:t>
      </w:r>
    </w:p>
    <w:p>
      <w:pPr>
        <w:spacing w:after="0" w:line="167" w:lineRule="exact"/>
        <w:rPr>
          <w:sz w:val="20"/>
          <w:szCs w:val="20"/>
          <w:color w:val="auto"/>
        </w:rPr>
      </w:pPr>
    </w:p>
    <w:p>
      <w:pPr>
        <w:ind w:right="160" w:firstLine="449"/>
        <w:spacing w:after="0" w:line="229" w:lineRule="auto"/>
        <w:rPr>
          <w:sz w:val="20"/>
          <w:szCs w:val="20"/>
          <w:color w:val="auto"/>
        </w:rPr>
      </w:pPr>
      <w:r>
        <w:rPr>
          <w:rFonts w:ascii="Arial" w:cs="Arial" w:eastAsia="Arial" w:hAnsi="Arial"/>
          <w:sz w:val="14"/>
          <w:szCs w:val="14"/>
          <w:color w:val="auto"/>
        </w:rPr>
        <w:t>In July 2020, we and Pantheon formed PSLF, an unconsolidated joint venture. PSLF invests primarily in middle-market and other corporate debt securities consistent with our strategy. PSLF was formed as a Delaware limited liability company. As of December 31, 2021 and September 30, 2021, PSLF had total assets of $444.8 million and $417.4 million, respectively. PSLF’s portfolio consisted of debt investments in 54 and 47 portfolio companies as of December 31, 2021 and September 30, 2021, respectively. As of December 31, 2021, at fair value, the largest investment in a single portfolio company in PSLF was $16.8 million and the five largest investments totaled $73.8 million. As of September 30, 2021, at fair value, the largest investment in a single portfolio company in PSLF was $16.8 million and the five largest investments totaled $74.4 million. PSLF invests in portfolio companies in the same industries in which we may directly invest.</w:t>
      </w:r>
    </w:p>
    <w:p>
      <w:pPr>
        <w:spacing w:after="0" w:line="118" w:lineRule="exact"/>
        <w:rPr>
          <w:sz w:val="20"/>
          <w:szCs w:val="20"/>
          <w:color w:val="auto"/>
        </w:rPr>
      </w:pPr>
    </w:p>
    <w:p>
      <w:pPr>
        <w:ind w:right="300" w:firstLine="449"/>
        <w:spacing w:after="0" w:line="238" w:lineRule="auto"/>
        <w:rPr>
          <w:sz w:val="20"/>
          <w:szCs w:val="20"/>
          <w:color w:val="auto"/>
        </w:rPr>
      </w:pPr>
      <w:r>
        <w:rPr>
          <w:rFonts w:ascii="Arial" w:cs="Arial" w:eastAsia="Arial" w:hAnsi="Arial"/>
          <w:sz w:val="14"/>
          <w:szCs w:val="14"/>
          <w:color w:val="auto"/>
        </w:rPr>
        <w:t>We provide capital to PSLF in the form of subordinated notes and equity interests. As of December 31, 2021 and September 30, 2021, we and Pantheon owned 60.5% and 39.5%, respectively, of each of the outstanding subordinated notes and equity interests of PSLF. As of December 31, 2021 and September 30, 2021 our investment in PSLF consisted of subordinated notes of $64.2 million and equity interests of $41.6 million and subordinated notes of $64.2 million and equity interests of $41.2.</w:t>
      </w:r>
    </w:p>
    <w:p>
      <w:pPr>
        <w:spacing w:after="0" w:line="115" w:lineRule="exact"/>
        <w:rPr>
          <w:sz w:val="20"/>
          <w:szCs w:val="20"/>
          <w:color w:val="auto"/>
        </w:rPr>
      </w:pPr>
    </w:p>
    <w:p>
      <w:pPr>
        <w:ind w:right="40" w:firstLine="449"/>
        <w:spacing w:after="0" w:line="229" w:lineRule="auto"/>
        <w:rPr>
          <w:sz w:val="20"/>
          <w:szCs w:val="20"/>
          <w:color w:val="auto"/>
        </w:rPr>
      </w:pPr>
      <w:r>
        <w:rPr>
          <w:rFonts w:ascii="Arial" w:cs="Arial" w:eastAsia="Arial" w:hAnsi="Arial"/>
          <w:sz w:val="14"/>
          <w:szCs w:val="14"/>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2" w:name="page43"/>
    <w:bookmarkEnd w:id="42"/>
    <w:p>
      <w:pPr>
        <w:ind w:right="60" w:firstLine="449"/>
        <w:spacing w:after="0" w:line="238" w:lineRule="auto"/>
        <w:rPr>
          <w:sz w:val="20"/>
          <w:szCs w:val="20"/>
          <w:color w:val="auto"/>
        </w:rPr>
      </w:pPr>
      <w:r>
        <w:rPr>
          <w:rFonts w:ascii="Arial" w:cs="Arial" w:eastAsia="Arial" w:hAnsi="Arial"/>
          <w:sz w:val="14"/>
          <w:szCs w:val="14"/>
          <w:color w:val="auto"/>
        </w:rPr>
        <w:t>Additionally, PSLF, through its wholly-owned subsidiary, or PSLF Subsidiary, has entered into a $275.0 million (increased from $250.0 million on November 6, 2020) senior secured revolving credit facility which bears interest at LIBOR (or an alternative risk-free interest rate index) plus 260 basis points, or the PSLF Credit Facility, with BNP Paribas, subject to leverage and borrowing base restrictions.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40" w:type="dxa"/>
            <w:vAlign w:val="bottom"/>
          </w:tcPr>
          <w:p>
            <w:pPr>
              <w:ind w:left="460"/>
              <w:spacing w:after="0"/>
              <w:rPr>
                <w:sz w:val="20"/>
                <w:szCs w:val="20"/>
                <w:color w:val="auto"/>
              </w:rPr>
            </w:pPr>
            <w:r>
              <w:rPr>
                <w:rFonts w:ascii="Arial" w:cs="Arial" w:eastAsia="Arial" w:hAnsi="Arial"/>
                <w:sz w:val="14"/>
                <w:szCs w:val="14"/>
                <w:color w:val="auto"/>
              </w:rPr>
              <w:t>Below is a summary of PSLF’s portfolio at fair value:</w:t>
            </w: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336"/>
        </w:trPr>
        <w:tc>
          <w:tcPr>
            <w:tcW w:w="7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9"/>
              </w:rPr>
              <w:t>December 31, 2021</w:t>
            </w:r>
          </w:p>
        </w:tc>
        <w:tc>
          <w:tcPr>
            <w:tcW w:w="180" w:type="dxa"/>
            <w:vAlign w:val="bottom"/>
          </w:tcPr>
          <w:p>
            <w:pPr>
              <w:spacing w:after="0"/>
              <w:rPr>
                <w:sz w:val="24"/>
                <w:szCs w:val="24"/>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September 30, 2021</w:t>
            </w:r>
          </w:p>
        </w:tc>
      </w:tr>
      <w:tr>
        <w:trPr>
          <w:trHeight w:val="169"/>
        </w:trPr>
        <w:tc>
          <w:tcPr>
            <w:tcW w:w="7140" w:type="dxa"/>
            <w:vAlign w:val="bottom"/>
            <w:shd w:val="clear" w:color="auto" w:fill="CCECFF"/>
          </w:tcPr>
          <w:p>
            <w:pPr>
              <w:ind w:left="20"/>
              <w:spacing w:after="0"/>
              <w:rPr>
                <w:sz w:val="20"/>
                <w:szCs w:val="20"/>
                <w:color w:val="auto"/>
              </w:rPr>
            </w:pPr>
            <w:r>
              <w:rPr>
                <w:rFonts w:ascii="Arial" w:cs="Arial" w:eastAsia="Arial" w:hAnsi="Arial"/>
                <w:sz w:val="14"/>
                <w:szCs w:val="14"/>
                <w:color w:val="auto"/>
              </w:rPr>
              <w:t>Total investments</w:t>
            </w:r>
          </w:p>
        </w:tc>
        <w:tc>
          <w:tcPr>
            <w:tcW w:w="200" w:type="dxa"/>
            <w:vAlign w:val="bottom"/>
            <w:tcBorders>
              <w:top w:val="single" w:sz="8" w:color="auto"/>
            </w:tcBorders>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421,535,944</w:t>
            </w:r>
          </w:p>
        </w:tc>
        <w:tc>
          <w:tcPr>
            <w:tcW w:w="360" w:type="dxa"/>
            <w:vAlign w:val="bottom"/>
            <w:shd w:val="clear" w:color="auto" w:fill="CCECFF"/>
          </w:tcPr>
          <w:p>
            <w:pPr>
              <w:spacing w:after="0"/>
              <w:rPr>
                <w:sz w:val="14"/>
                <w:szCs w:val="14"/>
                <w:color w:val="auto"/>
              </w:rPr>
            </w:pPr>
          </w:p>
        </w:tc>
        <w:tc>
          <w:tcPr>
            <w:tcW w:w="180" w:type="dxa"/>
            <w:vAlign w:val="bottom"/>
            <w:tcBorders>
              <w:top w:val="single" w:sz="8" w:color="auto"/>
            </w:tcBorders>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15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405,232,480</w:t>
            </w:r>
          </w:p>
        </w:tc>
        <w:tc>
          <w:tcPr>
            <w:tcW w:w="180" w:type="dxa"/>
            <w:vAlign w:val="bottom"/>
            <w:shd w:val="clear" w:color="auto" w:fill="CCECFF"/>
          </w:tcPr>
          <w:p>
            <w:pPr>
              <w:spacing w:after="0"/>
              <w:rPr>
                <w:sz w:val="14"/>
                <w:szCs w:val="14"/>
                <w:color w:val="auto"/>
              </w:rPr>
            </w:pPr>
          </w:p>
        </w:tc>
      </w:tr>
      <w:tr>
        <w:trPr>
          <w:trHeight w:val="176"/>
        </w:trPr>
        <w:tc>
          <w:tcPr>
            <w:tcW w:w="7140" w:type="dxa"/>
            <w:vAlign w:val="bottom"/>
          </w:tcPr>
          <w:p>
            <w:pPr>
              <w:ind w:left="20"/>
              <w:spacing w:after="0"/>
              <w:rPr>
                <w:sz w:val="20"/>
                <w:szCs w:val="20"/>
                <w:color w:val="auto"/>
              </w:rPr>
            </w:pPr>
            <w:r>
              <w:rPr>
                <w:rFonts w:ascii="Arial" w:cs="Arial" w:eastAsia="Arial" w:hAnsi="Arial"/>
                <w:sz w:val="14"/>
                <w:szCs w:val="14"/>
                <w:color w:val="auto"/>
              </w:rPr>
              <w:t>Weighted average yield on debt investments</w:t>
            </w:r>
          </w:p>
        </w:tc>
        <w:tc>
          <w:tcPr>
            <w:tcW w:w="200" w:type="dxa"/>
            <w:vAlign w:val="bottom"/>
          </w:tcPr>
          <w:p>
            <w:pPr>
              <w:spacing w:after="0"/>
              <w:rPr>
                <w:sz w:val="15"/>
                <w:szCs w:val="15"/>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4"/>
                <w:szCs w:val="14"/>
                <w:color w:val="auto"/>
              </w:rPr>
              <w:t>7.2 %</w:t>
            </w:r>
          </w:p>
        </w:tc>
        <w:tc>
          <w:tcPr>
            <w:tcW w:w="180" w:type="dxa"/>
            <w:vAlign w:val="bottom"/>
          </w:tcPr>
          <w:p>
            <w:pPr>
              <w:spacing w:after="0"/>
              <w:rPr>
                <w:sz w:val="15"/>
                <w:szCs w:val="15"/>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4"/>
                <w:szCs w:val="14"/>
                <w:color w:val="auto"/>
              </w:rPr>
              <w:t>7.1 %</w:t>
            </w:r>
          </w:p>
        </w:tc>
      </w:tr>
      <w:tr>
        <w:trPr>
          <w:trHeight w:val="175"/>
        </w:trPr>
        <w:tc>
          <w:tcPr>
            <w:tcW w:w="7140" w:type="dxa"/>
            <w:vAlign w:val="bottom"/>
            <w:shd w:val="clear" w:color="auto" w:fill="CCECFF"/>
          </w:tcPr>
          <w:p>
            <w:pPr>
              <w:ind w:left="20"/>
              <w:spacing w:after="0"/>
              <w:rPr>
                <w:sz w:val="20"/>
                <w:szCs w:val="20"/>
                <w:color w:val="auto"/>
              </w:rPr>
            </w:pPr>
            <w:r>
              <w:rPr>
                <w:rFonts w:ascii="Arial" w:cs="Arial" w:eastAsia="Arial" w:hAnsi="Arial"/>
                <w:sz w:val="14"/>
                <w:szCs w:val="14"/>
                <w:color w:val="auto"/>
              </w:rPr>
              <w:t>Number of portfolio companies in PSLF</w:t>
            </w:r>
          </w:p>
        </w:tc>
        <w:tc>
          <w:tcPr>
            <w:tcW w:w="200" w:type="dxa"/>
            <w:vAlign w:val="bottom"/>
            <w:shd w:val="clear" w:color="auto" w:fill="CCECFF"/>
          </w:tcPr>
          <w:p>
            <w:pPr>
              <w:spacing w:after="0"/>
              <w:rPr>
                <w:sz w:val="15"/>
                <w:szCs w:val="15"/>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w:t>
            </w:r>
          </w:p>
        </w:tc>
        <w:tc>
          <w:tcPr>
            <w:tcW w:w="3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w:t>
            </w:r>
          </w:p>
        </w:tc>
        <w:tc>
          <w:tcPr>
            <w:tcW w:w="180" w:type="dxa"/>
            <w:vAlign w:val="bottom"/>
            <w:shd w:val="clear" w:color="auto" w:fill="CCECFF"/>
          </w:tcPr>
          <w:p>
            <w:pPr>
              <w:spacing w:after="0"/>
              <w:rPr>
                <w:sz w:val="15"/>
                <w:szCs w:val="15"/>
                <w:color w:val="auto"/>
              </w:rPr>
            </w:pPr>
          </w:p>
        </w:tc>
      </w:tr>
      <w:tr>
        <w:trPr>
          <w:trHeight w:val="176"/>
        </w:trPr>
        <w:tc>
          <w:tcPr>
            <w:tcW w:w="7140" w:type="dxa"/>
            <w:vAlign w:val="bottom"/>
          </w:tcPr>
          <w:p>
            <w:pPr>
              <w:ind w:left="20"/>
              <w:spacing w:after="0"/>
              <w:rPr>
                <w:sz w:val="20"/>
                <w:szCs w:val="20"/>
                <w:color w:val="auto"/>
              </w:rPr>
            </w:pPr>
            <w:r>
              <w:rPr>
                <w:rFonts w:ascii="Arial" w:cs="Arial" w:eastAsia="Arial" w:hAnsi="Arial"/>
                <w:sz w:val="14"/>
                <w:szCs w:val="14"/>
                <w:color w:val="auto"/>
              </w:rPr>
              <w:t>Largest portfolio company investment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16,771,958</w:t>
            </w:r>
          </w:p>
        </w:tc>
        <w:tc>
          <w:tcPr>
            <w:tcW w:w="36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16,816,670</w:t>
            </w:r>
          </w:p>
        </w:tc>
        <w:tc>
          <w:tcPr>
            <w:tcW w:w="180" w:type="dxa"/>
            <w:vAlign w:val="bottom"/>
          </w:tcPr>
          <w:p>
            <w:pPr>
              <w:spacing w:after="0"/>
              <w:rPr>
                <w:sz w:val="15"/>
                <w:szCs w:val="15"/>
                <w:color w:val="auto"/>
              </w:rPr>
            </w:pPr>
          </w:p>
        </w:tc>
      </w:tr>
      <w:tr>
        <w:trPr>
          <w:trHeight w:val="175"/>
        </w:trPr>
        <w:tc>
          <w:tcPr>
            <w:tcW w:w="7140" w:type="dxa"/>
            <w:vAlign w:val="bottom"/>
            <w:shd w:val="clear" w:color="auto" w:fill="CCECFF"/>
          </w:tcPr>
          <w:p>
            <w:pPr>
              <w:ind w:left="20"/>
              <w:spacing w:after="0"/>
              <w:rPr>
                <w:sz w:val="20"/>
                <w:szCs w:val="20"/>
                <w:color w:val="auto"/>
              </w:rPr>
            </w:pPr>
            <w:r>
              <w:rPr>
                <w:rFonts w:ascii="Arial" w:cs="Arial" w:eastAsia="Arial" w:hAnsi="Arial"/>
                <w:sz w:val="14"/>
                <w:szCs w:val="14"/>
                <w:color w:val="auto"/>
              </w:rPr>
              <w:t>Total of five largest portfolio company investments</w:t>
            </w: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73,806,188</w:t>
            </w:r>
          </w:p>
        </w:tc>
        <w:tc>
          <w:tcPr>
            <w:tcW w:w="360" w:type="dxa"/>
            <w:vAlign w:val="bottom"/>
            <w:shd w:val="clear" w:color="auto" w:fill="CCECFF"/>
          </w:tcPr>
          <w:p>
            <w:pPr>
              <w:spacing w:after="0"/>
              <w:rPr>
                <w:sz w:val="15"/>
                <w:szCs w:val="15"/>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74,444,646</w:t>
            </w:r>
          </w:p>
        </w:tc>
        <w:tc>
          <w:tcPr>
            <w:tcW w:w="180" w:type="dxa"/>
            <w:vAlign w:val="bottom"/>
            <w:shd w:val="clear" w:color="auto" w:fill="CCECFF"/>
          </w:tcPr>
          <w:p>
            <w:pPr>
              <w:spacing w:after="0"/>
              <w:rPr>
                <w:sz w:val="15"/>
                <w:szCs w:val="15"/>
                <w:color w:val="auto"/>
              </w:rPr>
            </w:pPr>
          </w:p>
        </w:tc>
      </w:tr>
    </w:tbl>
    <w:p>
      <w:pPr>
        <w:spacing w:after="0" w:line="14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Below is a listing of PSLF’s individual investments as of December 31,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center"/>
              <w:ind w:left="126"/>
              <w:spacing w:after="0"/>
              <w:rPr>
                <w:sz w:val="20"/>
                <w:szCs w:val="20"/>
                <w:color w:val="auto"/>
              </w:rPr>
            </w:pPr>
            <w:r>
              <w:rPr>
                <w:rFonts w:ascii="Arial" w:cs="Arial" w:eastAsia="Arial" w:hAnsi="Arial"/>
                <w:sz w:val="11"/>
                <w:szCs w:val="11"/>
                <w:b w:val="1"/>
                <w:bCs w:val="1"/>
                <w:color w:val="auto"/>
                <w:w w:val="95"/>
              </w:rPr>
              <w:t>Current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60" w:type="dxa"/>
            <w:vAlign w:val="bottom"/>
          </w:tcPr>
          <w:p>
            <w:pPr>
              <w:spacing w:after="0"/>
              <w:rPr>
                <w:sz w:val="9"/>
                <w:szCs w:val="9"/>
                <w:color w:val="auto"/>
              </w:rPr>
            </w:pPr>
          </w:p>
        </w:tc>
        <w:tc>
          <w:tcPr>
            <w:tcW w:w="7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Maturity</w:t>
            </w:r>
          </w:p>
        </w:tc>
        <w:tc>
          <w:tcPr>
            <w:tcW w:w="160" w:type="dxa"/>
            <w:vAlign w:val="bottom"/>
          </w:tcPr>
          <w:p>
            <w:pPr>
              <w:spacing w:after="0"/>
              <w:rPr>
                <w:sz w:val="9"/>
                <w:szCs w:val="9"/>
                <w:color w:val="auto"/>
              </w:rPr>
            </w:pPr>
          </w:p>
        </w:tc>
        <w:tc>
          <w:tcPr>
            <w:tcW w:w="27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6"/>
              </w:rPr>
              <w:t>Spread Above</w:t>
            </w:r>
          </w:p>
        </w:tc>
        <w:tc>
          <w:tcPr>
            <w:tcW w:w="180" w:type="dxa"/>
            <w:vAlign w:val="bottom"/>
          </w:tcPr>
          <w:p>
            <w:pPr>
              <w:spacing w:after="0"/>
              <w:rPr>
                <w:sz w:val="9"/>
                <w:szCs w:val="9"/>
                <w:color w:val="auto"/>
              </w:rPr>
            </w:pPr>
          </w:p>
        </w:tc>
        <w:tc>
          <w:tcPr>
            <w:tcW w:w="84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Par</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266"/>
              <w:spacing w:after="0"/>
              <w:rPr>
                <w:sz w:val="20"/>
                <w:szCs w:val="20"/>
                <w:color w:val="auto"/>
              </w:rPr>
            </w:pPr>
            <w:r>
              <w:rPr>
                <w:rFonts w:ascii="Arial" w:cs="Arial" w:eastAsia="Arial" w:hAnsi="Arial"/>
                <w:sz w:val="11"/>
                <w:szCs w:val="11"/>
                <w:b w:val="1"/>
                <w:bCs w:val="1"/>
                <w:color w:val="auto"/>
              </w:rPr>
              <w:t>Cost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(2)</w:t>
            </w:r>
          </w:p>
        </w:tc>
        <w:tc>
          <w:tcPr>
            <w:tcW w:w="0" w:type="dxa"/>
            <w:vAlign w:val="bottom"/>
          </w:tcPr>
          <w:p>
            <w:pPr>
              <w:spacing w:after="0"/>
              <w:rPr>
                <w:sz w:val="1"/>
                <w:szCs w:val="1"/>
                <w:color w:val="auto"/>
              </w:rPr>
            </w:pPr>
          </w:p>
        </w:tc>
      </w:tr>
      <w:tr>
        <w:trPr>
          <w:trHeight w:val="148"/>
        </w:trPr>
        <w:tc>
          <w:tcPr>
            <w:tcW w:w="22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left="166"/>
              <w:spacing w:after="0"/>
              <w:rPr>
                <w:sz w:val="20"/>
                <w:szCs w:val="20"/>
                <w:color w:val="auto"/>
              </w:rPr>
            </w:pPr>
            <w:r>
              <w:rPr>
                <w:rFonts w:ascii="Arial" w:cs="Arial" w:eastAsia="Arial" w:hAnsi="Arial"/>
                <w:sz w:val="11"/>
                <w:szCs w:val="11"/>
                <w:b w:val="1"/>
                <w:bCs w:val="1"/>
                <w:color w:val="auto"/>
                <w:w w:val="91"/>
              </w:rPr>
              <w:t>Coupon</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8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First Lien Secured Debt - 613.1%</w:t>
            </w: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Ad.net Acquisition, LLC</w:t>
            </w:r>
          </w:p>
        </w:tc>
        <w:tc>
          <w:tcPr>
            <w:tcW w:w="88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8"/>
              </w:rPr>
              <w:t>5/6/2026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7.00 %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L+600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4,975,000</w:t>
            </w:r>
          </w:p>
        </w:tc>
        <w:tc>
          <w:tcPr>
            <w:tcW w:w="360" w:type="dxa"/>
            <w:vAlign w:val="bottom"/>
            <w:gridSpan w:val="2"/>
            <w:shd w:val="clear" w:color="auto" w:fill="CCECFF"/>
          </w:tcPr>
          <w:p>
            <w:pPr>
              <w:jc w:val="right"/>
              <w:ind w:right="71"/>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4,910,776</w:t>
            </w:r>
          </w:p>
        </w:tc>
        <w:tc>
          <w:tcPr>
            <w:tcW w:w="2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4,975,000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Altamira Technologies,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7/24/2025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9.00 %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L+800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908,731</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899,842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851,935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American Insulated Glass,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12/21/2023</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4"/>
              </w:rPr>
              <w:t>Building Materials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6.50 %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L+550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12,597,225</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12,485,615</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12,597,225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Any Hour Services</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12/22/2023</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6,483,750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6,363,646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6,483,750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9"/>
              </w:rPr>
              <w:t>7/31/2025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6.25 %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L+525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6,569,222</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6,520,357</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6,487,107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Apex Service Partners, LLC Term Loan B</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7/31/2025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6.55 %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1M L+550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3,323,292</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3,291,335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3,281,751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Applied Technical Services,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12/29/2026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Environmental Services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L+575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7,425,000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7,321,804</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7,332,188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Bottom Line Systems,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2/13/2023</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6.25 %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L+550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13,729,432</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13,684,974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13,729,432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CF512, Inc.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9"/>
              </w:rPr>
              <w:t>8/20/2026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7.00 %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L+600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3,000,000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2,943,750</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2,970,000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Crash Champions, LLC</w:t>
            </w:r>
          </w:p>
        </w:tc>
        <w:tc>
          <w:tcPr>
            <w:tcW w:w="880" w:type="dxa"/>
            <w:vAlign w:val="bottom"/>
            <w:gridSpan w:val="2"/>
          </w:tcPr>
          <w:p>
            <w:pPr>
              <w:jc w:val="center"/>
              <w:ind w:left="126"/>
              <w:spacing w:after="0"/>
              <w:rPr>
                <w:sz w:val="20"/>
                <w:szCs w:val="20"/>
                <w:color w:val="auto"/>
              </w:rPr>
            </w:pPr>
            <w:r>
              <w:rPr>
                <w:rFonts w:ascii="Arial" w:cs="Arial" w:eastAsia="Arial" w:hAnsi="Arial"/>
                <w:sz w:val="11"/>
                <w:szCs w:val="11"/>
                <w:color w:val="auto"/>
                <w:w w:val="88"/>
              </w:rPr>
              <w:t>8/5/2025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90"/>
              </w:rPr>
              <w:t>Auto Sector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6.00 %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L+500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5,970,000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5,864,487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5,850,600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Dr. Squatch,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9"/>
              </w:rPr>
              <w:t>8/27/2026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Personal and Non-Durable Consumer Products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7.00 %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L+600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6,483,750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6,363,762</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6,483,750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DRS Holdings III,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11/3/2025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8"/>
              </w:rPr>
              <w:t>Consumer Products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13,393,885</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13,305,374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13,313,523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ECL Entertainment,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9"/>
              </w:rPr>
              <w:t>3/31/2028</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Hotels, Motels, Inns and Gaming</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8.25 %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1M L+750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4,592,308</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4,549,792</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4,661,192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ECM Industries,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12/23/2025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92"/>
              </w:rPr>
              <w:t>Electronics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5.75 %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L+475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2,826,993</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2,806,151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2,756,318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Global Holdings InterCo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9"/>
              </w:rPr>
              <w:t>3/16/2026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Banking, Finance, Insurance &amp; Real Estate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7.00 %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L+600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7,443,750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7,346,081</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7,406,531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Graffiti Buyer,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8/10/2027</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1,989,063</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1,959,419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1,950,276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Hancock Roofing and Construction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12/31/2026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6.00 %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L+500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5,940,000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5,809,343</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5,940,000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HW Holdco,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12/10/2024</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14,550,000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14,467,487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14,259,000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Integrity Marketing Acquisition,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9"/>
              </w:rPr>
              <w:t>8/27/2025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L+575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7,848,142</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7,786,451</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7,808,901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K2 Pure Solutions NoCal, L.P.</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12/20/2023</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8.00 %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1M L+700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14,550,000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14,452,983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14,259,000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LAV Gear Holdings, Inc.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10/31/2024</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Leisure, Amusement, Motion Pictures, Entertainment</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8.50 %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L+750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2,125,391</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2,113,185</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2,025,497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Lash OpCo,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2/18/2027</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8"/>
              </w:rPr>
              <w:t>Consumer Products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8.00 %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L+700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10,000,000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9,803,296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9,900,000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Lightspeed Buyer Inc.</w:t>
            </w:r>
          </w:p>
        </w:tc>
        <w:tc>
          <w:tcPr>
            <w:tcW w:w="88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8"/>
              </w:rPr>
              <w:t>2/3/2026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1M L+575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12,439,940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12,251,098</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12,097,841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Lombart Brothers,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4/13/2023</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7.25 %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L+625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16,771,958</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16,697,813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16,771,958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MAG DS Corp.</w:t>
            </w:r>
          </w:p>
        </w:tc>
        <w:tc>
          <w:tcPr>
            <w:tcW w:w="88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8"/>
              </w:rPr>
              <w:t>4/1/2027</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6.50 %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L+550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5,718,602</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5,476,716</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5,189,631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Management Consulting &amp; Research,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8/16/2027</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7.00 %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1M L+600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5,000,000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4,906,250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4,900,000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Mars Acquisition Holdings Corp.</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9"/>
              </w:rPr>
              <w:t>5/14/2026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6.50 %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1M L+550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7,980,000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7,838,226</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7,940,099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MBS Holdings,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4/16/2027</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7,462,500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7,324,940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7,387,875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MeritDirect,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9"/>
              </w:rPr>
              <w:t>5/23/2024</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6.50 %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L+550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13,301,609</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13,198,169</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13,168,593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NBH Group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8/19/2026</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6.50 %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L+550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7,561,352</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7,421,439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7,485,739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OIS Management Services LLC</w:t>
            </w:r>
          </w:p>
        </w:tc>
        <w:tc>
          <w:tcPr>
            <w:tcW w:w="88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8"/>
              </w:rPr>
              <w:t>7/9/2026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5.50 %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L+450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3,882,750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3,830,110</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3,843,923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PlayPower, Inc.</w:t>
            </w:r>
          </w:p>
        </w:tc>
        <w:tc>
          <w:tcPr>
            <w:tcW w:w="880" w:type="dxa"/>
            <w:vAlign w:val="bottom"/>
            <w:gridSpan w:val="2"/>
          </w:tcPr>
          <w:p>
            <w:pPr>
              <w:jc w:val="center"/>
              <w:ind w:left="126"/>
              <w:spacing w:after="0"/>
              <w:rPr>
                <w:sz w:val="20"/>
                <w:szCs w:val="20"/>
                <w:color w:val="auto"/>
              </w:rPr>
            </w:pPr>
            <w:r>
              <w:rPr>
                <w:rFonts w:ascii="Arial" w:cs="Arial" w:eastAsia="Arial" w:hAnsi="Arial"/>
                <w:sz w:val="11"/>
                <w:szCs w:val="11"/>
                <w:color w:val="auto"/>
                <w:w w:val="88"/>
              </w:rPr>
              <w:t>5/8/2026</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8"/>
              </w:rPr>
              <w:t>Consumer Products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5.72 %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L+450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2,601,243</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2,583,136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2,540,556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Quantic Electronics,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11/19/2026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7.25 %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1M L+625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3,429,174</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3,365,467</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3,360,591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Radius Aerospace,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3/31/2025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13,321,436</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13,196,083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13,188,221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Rancho Health MSO, Inc.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12/18/2025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1M L+575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5,219,813</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5,130,312</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5,219,813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Recteq,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1/29/2026</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8"/>
              </w:rPr>
              <w:t>Consumer Products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7.00 %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L+600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9,925,000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9,759,687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9,776,125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Research Now Group, LLC and Dynata,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12/20/2024</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6.50 %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L+550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14,656,489</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14,570,468</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14,445,875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Riverpoint Medical,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6/20/2025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3,237,682</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3,209,927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3,215,018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Sales Benchmark Index LLC</w:t>
            </w:r>
          </w:p>
        </w:tc>
        <w:tc>
          <w:tcPr>
            <w:tcW w:w="88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8"/>
              </w:rPr>
              <w:t>1/3/2025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7.75 %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L+600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7,266,640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7,172,354</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7,157,640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Sargent &amp; Greenleaf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7"/>
              </w:rPr>
              <w:t>12/20/2024</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92"/>
              </w:rPr>
              <w:t>Electronics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7.00 %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L+550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5,191,176</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5,144,086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5,191,176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Signature Systems Holding Company</w:t>
            </w:r>
          </w:p>
        </w:tc>
        <w:tc>
          <w:tcPr>
            <w:tcW w:w="88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8"/>
              </w:rPr>
              <w:t>5/3/2024</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8.50 %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L+750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13,312,500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13,220,958</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13,179,375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Solutionreach, Inc.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1/17/2024</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90"/>
              </w:rPr>
              <w:t>Communications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1M L+575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11,848,473</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11,737,561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11,848,473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STV Group Incorporated</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12/11/2026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Transportation</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5.35 %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1M L+525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12,098,653</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12,006,719</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12,038,160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TAC LifePort Purchaser, LLC</w:t>
            </w:r>
          </w:p>
        </w:tc>
        <w:tc>
          <w:tcPr>
            <w:tcW w:w="880" w:type="dxa"/>
            <w:vAlign w:val="bottom"/>
            <w:gridSpan w:val="2"/>
          </w:tcPr>
          <w:p>
            <w:pPr>
              <w:jc w:val="center"/>
              <w:ind w:left="126"/>
              <w:spacing w:after="0"/>
              <w:rPr>
                <w:sz w:val="20"/>
                <w:szCs w:val="20"/>
                <w:color w:val="auto"/>
              </w:rPr>
            </w:pPr>
            <w:r>
              <w:rPr>
                <w:rFonts w:ascii="Arial" w:cs="Arial" w:eastAsia="Arial" w:hAnsi="Arial"/>
                <w:sz w:val="11"/>
                <w:szCs w:val="11"/>
                <w:color w:val="auto"/>
                <w:w w:val="88"/>
              </w:rPr>
              <w:t>3/1/2026</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7.00 %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L+600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4,670,729</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4,603,273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4,670,729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TeleGuam Holdings,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11/20/2025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Telecommunications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5.50 %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1M L+450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4,580,383</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4,546,783</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4,534,579</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Teneo Holdings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7/18/2025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6.25 %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1M L+525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2,989,109</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2,882,942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2,994,100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Bluebird Group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9"/>
              </w:rPr>
              <w:t>7/27/2026</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8.00 %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L+700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3,000,000</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2,974,110</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3,060,000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The Vertex Companies,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8/30/2027</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6.50 %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1M L+550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4,565,673</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4,481,248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4,515,451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w w:val="89"/>
              </w:rPr>
              <w:t>TPC Canada Parent, Inc. and TPC US Parent, LLC</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7"/>
              </w:rPr>
              <w:t>11/24/2025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Food</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6.25 %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L+525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5,578,916</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5,523,127</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5,411,548</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TVC Enterprises, LLC</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3/26/2026</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7"/>
              </w:rPr>
              <w:t>Transportation</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1M L+575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12,741,017</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12,624,021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12,741,017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TWS Acquisition Corporation</w:t>
            </w:r>
          </w:p>
        </w:tc>
        <w:tc>
          <w:tcPr>
            <w:tcW w:w="8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9"/>
              </w:rPr>
              <w:t>6/16/2025</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Education</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7.25 %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3M L+625</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9,647,753</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9,522,593</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9,647,753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Tyto Athene, LLC</w:t>
            </w:r>
          </w:p>
        </w:tc>
        <w:tc>
          <w:tcPr>
            <w:tcW w:w="880" w:type="dxa"/>
            <w:vAlign w:val="bottom"/>
            <w:gridSpan w:val="2"/>
          </w:tcPr>
          <w:p>
            <w:pPr>
              <w:jc w:val="center"/>
              <w:ind w:left="126"/>
              <w:spacing w:after="0"/>
              <w:rPr>
                <w:sz w:val="20"/>
                <w:szCs w:val="20"/>
                <w:color w:val="auto"/>
              </w:rPr>
            </w:pPr>
            <w:r>
              <w:rPr>
                <w:rFonts w:ascii="Arial" w:cs="Arial" w:eastAsia="Arial" w:hAnsi="Arial"/>
                <w:sz w:val="11"/>
                <w:szCs w:val="11"/>
                <w:color w:val="auto"/>
                <w:w w:val="88"/>
              </w:rPr>
              <w:t>4/3/2028</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6.25 %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3M L+550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9,925,125</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9,832,748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9,850,686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color w:val="auto"/>
              </w:rPr>
              <w:t>UBEO, LLC</w:t>
            </w:r>
          </w:p>
        </w:tc>
        <w:tc>
          <w:tcPr>
            <w:tcW w:w="88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8"/>
              </w:rPr>
              <w:t>4/3/2024</w:t>
            </w: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Printing and Publishing</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5.50 %</w:t>
            </w:r>
          </w:p>
        </w:tc>
        <w:tc>
          <w:tcPr>
            <w:tcW w:w="880" w:type="dxa"/>
            <w:vAlign w:val="bottom"/>
            <w:shd w:val="clear" w:color="auto" w:fill="CCECFF"/>
          </w:tcPr>
          <w:p>
            <w:pPr>
              <w:ind w:left="420"/>
              <w:spacing w:after="0"/>
              <w:rPr>
                <w:sz w:val="20"/>
                <w:szCs w:val="20"/>
                <w:color w:val="auto"/>
              </w:rPr>
            </w:pPr>
            <w:r>
              <w:rPr>
                <w:rFonts w:ascii="Arial" w:cs="Arial" w:eastAsia="Arial" w:hAnsi="Arial"/>
                <w:sz w:val="11"/>
                <w:szCs w:val="11"/>
                <w:color w:val="auto"/>
                <w:w w:val="89"/>
              </w:rPr>
              <w:t>1M L+450</w:t>
            </w: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4,698,158</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4,666,959</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4,674,667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color w:val="auto"/>
              </w:rPr>
              <w:t>Vision Purchaser Corporation</w:t>
            </w:r>
          </w:p>
        </w:tc>
        <w:tc>
          <w:tcPr>
            <w:tcW w:w="880" w:type="dxa"/>
            <w:vAlign w:val="bottom"/>
            <w:gridSpan w:val="2"/>
          </w:tcPr>
          <w:p>
            <w:pPr>
              <w:jc w:val="center"/>
              <w:ind w:left="106"/>
              <w:spacing w:after="0"/>
              <w:rPr>
                <w:sz w:val="20"/>
                <w:szCs w:val="20"/>
                <w:color w:val="auto"/>
              </w:rPr>
            </w:pPr>
            <w:r>
              <w:rPr>
                <w:rFonts w:ascii="Arial" w:cs="Arial" w:eastAsia="Arial" w:hAnsi="Arial"/>
                <w:sz w:val="11"/>
                <w:szCs w:val="11"/>
                <w:color w:val="auto"/>
                <w:w w:val="89"/>
              </w:rPr>
              <w:t>6/10/2025</w:t>
            </w:r>
          </w:p>
        </w:tc>
        <w:tc>
          <w:tcPr>
            <w:tcW w:w="160" w:type="dxa"/>
            <w:vAlign w:val="bottom"/>
          </w:tcPr>
          <w:p>
            <w:pPr>
              <w:spacing w:after="0"/>
              <w:rPr>
                <w:sz w:val="11"/>
                <w:szCs w:val="11"/>
                <w:color w:val="auto"/>
              </w:rPr>
            </w:pPr>
          </w:p>
        </w:tc>
        <w:tc>
          <w:tcPr>
            <w:tcW w:w="27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81"/>
              </w:rPr>
              <w:t>7.75 %</w:t>
            </w:r>
          </w:p>
        </w:tc>
        <w:tc>
          <w:tcPr>
            <w:tcW w:w="880" w:type="dxa"/>
            <w:vAlign w:val="bottom"/>
          </w:tcPr>
          <w:p>
            <w:pPr>
              <w:ind w:left="420"/>
              <w:spacing w:after="0"/>
              <w:rPr>
                <w:sz w:val="20"/>
                <w:szCs w:val="20"/>
                <w:color w:val="auto"/>
              </w:rPr>
            </w:pPr>
            <w:r>
              <w:rPr>
                <w:rFonts w:ascii="Arial" w:cs="Arial" w:eastAsia="Arial" w:hAnsi="Arial"/>
                <w:sz w:val="11"/>
                <w:szCs w:val="11"/>
                <w:color w:val="auto"/>
                <w:w w:val="89"/>
              </w:rPr>
              <w:t>6M L+675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14,212,480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14,032,299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14,070,355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Wildcat Buyerco, Inc.</w:t>
            </w:r>
          </w:p>
        </w:tc>
        <w:tc>
          <w:tcPr>
            <w:tcW w:w="880" w:type="dxa"/>
            <w:vAlign w:val="bottom"/>
            <w:tcBorders>
              <w:bottom w:val="single" w:sz="8" w:color="CCECFF"/>
            </w:tcBorders>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9"/>
              </w:rPr>
              <w:t>2/27/2026</w:t>
            </w:r>
          </w:p>
        </w:tc>
        <w:tc>
          <w:tcPr>
            <w:tcW w:w="160" w:type="dxa"/>
            <w:vAlign w:val="bottom"/>
            <w:tcBorders>
              <w:bottom w:val="single" w:sz="8" w:color="CCECFF"/>
            </w:tcBorders>
            <w:shd w:val="clear" w:color="auto" w:fill="CCECFF"/>
          </w:tcPr>
          <w:p>
            <w:pPr>
              <w:spacing w:after="0"/>
              <w:rPr>
                <w:sz w:val="11"/>
                <w:szCs w:val="11"/>
                <w:color w:val="auto"/>
              </w:rPr>
            </w:pPr>
          </w:p>
        </w:tc>
        <w:tc>
          <w:tcPr>
            <w:tcW w:w="278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92"/>
              </w:rPr>
              <w:t>Electronics</w:t>
            </w:r>
          </w:p>
        </w:tc>
        <w:tc>
          <w:tcPr>
            <w:tcW w:w="16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480" w:type="dxa"/>
            <w:vAlign w:val="bottom"/>
            <w:tcBorders>
              <w:bottom w:val="single" w:sz="8" w:color="CCECFF"/>
            </w:tcBorders>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81"/>
              </w:rPr>
              <w:t>6.75 %</w:t>
            </w:r>
          </w:p>
        </w:tc>
        <w:tc>
          <w:tcPr>
            <w:tcW w:w="880" w:type="dxa"/>
            <w:vAlign w:val="bottom"/>
            <w:tcBorders>
              <w:bottom w:val="single" w:sz="8" w:color="CCECFF"/>
            </w:tcBorders>
            <w:shd w:val="clear" w:color="auto" w:fill="CCECFF"/>
          </w:tcPr>
          <w:p>
            <w:pPr>
              <w:ind w:left="420"/>
              <w:spacing w:after="0"/>
              <w:rPr>
                <w:sz w:val="20"/>
                <w:szCs w:val="20"/>
                <w:color w:val="auto"/>
              </w:rPr>
            </w:pPr>
            <w:r>
              <w:rPr>
                <w:rFonts w:ascii="Arial" w:cs="Arial" w:eastAsia="Arial" w:hAnsi="Arial"/>
                <w:sz w:val="11"/>
                <w:szCs w:val="11"/>
                <w:color w:val="auto"/>
                <w:w w:val="89"/>
              </w:rPr>
              <w:t>3M L+575</w:t>
            </w:r>
          </w:p>
        </w:tc>
        <w:tc>
          <w:tcPr>
            <w:tcW w:w="102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10,146,132</w:t>
            </w:r>
          </w:p>
        </w:tc>
        <w:tc>
          <w:tcPr>
            <w:tcW w:w="1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10,024,916</w:t>
            </w:r>
          </w:p>
        </w:tc>
        <w:tc>
          <w:tcPr>
            <w:tcW w:w="18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10,095,401</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80" w:type="dxa"/>
            <w:vAlign w:val="bottom"/>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420,806,448</w:t>
            </w: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421,535,944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80" w:type="dxa"/>
            <w:vAlign w:val="bottom"/>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 - 613.1%</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27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rPr>
                <w:sz w:val="20"/>
                <w:szCs w:val="20"/>
                <w:color w:val="auto"/>
              </w:rPr>
            </w:pPr>
            <w:r>
              <w:rPr>
                <w:rFonts w:ascii="Arial" w:cs="Arial" w:eastAsia="Arial" w:hAnsi="Arial"/>
                <w:sz w:val="11"/>
                <w:szCs w:val="11"/>
                <w:b w:val="1"/>
                <w:bCs w:val="1"/>
                <w:color w:val="auto"/>
              </w:rPr>
              <w:t>Cash and Cash Equivalents - 32.2%</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BlackRock Federal FD Institutional 30</w:t>
            </w:r>
          </w:p>
        </w:tc>
        <w:tc>
          <w:tcPr>
            <w:tcW w:w="16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27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22,154,890</w:t>
            </w:r>
          </w:p>
        </w:tc>
        <w:tc>
          <w:tcPr>
            <w:tcW w:w="18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22,154,890</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80" w:type="dxa"/>
            <w:vAlign w:val="bottom"/>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22,154,890</w:t>
            </w: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22,154,890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2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w w:val="95"/>
              </w:rPr>
              <w:t>Total Investments and Cash Equivalents - .%</w:t>
            </w:r>
          </w:p>
        </w:tc>
        <w:tc>
          <w:tcPr>
            <w:tcW w:w="160" w:type="dxa"/>
            <w:vAlign w:val="bottom"/>
            <w:tcBorders>
              <w:bottom w:val="single" w:sz="8" w:color="CCECFF"/>
            </w:tcBorders>
            <w:shd w:val="clear" w:color="auto" w:fill="CCECFF"/>
          </w:tcPr>
          <w:p>
            <w:pPr>
              <w:spacing w:after="0"/>
              <w:rPr>
                <w:sz w:val="15"/>
                <w:szCs w:val="15"/>
                <w:color w:val="auto"/>
              </w:rPr>
            </w:pPr>
          </w:p>
        </w:tc>
        <w:tc>
          <w:tcPr>
            <w:tcW w:w="72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278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60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84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auto"/>
            </w:tcBorders>
            <w:shd w:val="clear" w:color="auto" w:fill="CCECFF"/>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442,961,338</w:t>
            </w:r>
          </w:p>
        </w:tc>
        <w:tc>
          <w:tcPr>
            <w:tcW w:w="18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443,690,834</w:t>
            </w:r>
          </w:p>
        </w:tc>
        <w:tc>
          <w:tcPr>
            <w:tcW w:w="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280" w:type="dxa"/>
            <w:vAlign w:val="bottom"/>
          </w:tcPr>
          <w:p>
            <w:pPr>
              <w:ind w:left="20"/>
              <w:spacing w:after="0" w:line="102" w:lineRule="exact"/>
              <w:rPr>
                <w:sz w:val="20"/>
                <w:szCs w:val="20"/>
                <w:color w:val="auto"/>
              </w:rPr>
            </w:pPr>
            <w:r>
              <w:rPr>
                <w:rFonts w:ascii="Arial" w:cs="Arial" w:eastAsia="Arial" w:hAnsi="Arial"/>
                <w:sz w:val="11"/>
                <w:szCs w:val="11"/>
                <w:b w:val="1"/>
                <w:bCs w:val="1"/>
                <w:color w:val="auto"/>
                <w:w w:val="89"/>
              </w:rPr>
              <w:t>Liabilities in Excess of Other Assets — (545.3)%</w:t>
            </w: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spacing w:after="0" w:line="102" w:lineRule="exact"/>
              <w:rPr>
                <w:sz w:val="20"/>
                <w:szCs w:val="20"/>
                <w:color w:val="auto"/>
              </w:rPr>
            </w:pPr>
            <w:r>
              <w:rPr>
                <w:rFonts w:ascii="Arial" w:cs="Arial" w:eastAsia="Arial" w:hAnsi="Arial"/>
                <w:sz w:val="11"/>
                <w:szCs w:val="11"/>
                <w:color w:val="auto"/>
                <w:w w:val="97"/>
              </w:rPr>
              <w:t>(374,932,253 )</w:t>
            </w:r>
          </w:p>
        </w:tc>
        <w:tc>
          <w:tcPr>
            <w:tcW w:w="0" w:type="dxa"/>
            <w:vAlign w:val="bottom"/>
          </w:tcPr>
          <w:p>
            <w:pPr>
              <w:spacing w:after="0"/>
              <w:rPr>
                <w:sz w:val="1"/>
                <w:szCs w:val="1"/>
                <w:color w:val="auto"/>
              </w:rPr>
            </w:pPr>
          </w:p>
        </w:tc>
      </w:tr>
      <w:tr>
        <w:trPr>
          <w:trHeight w:val="182"/>
        </w:trPr>
        <w:tc>
          <w:tcPr>
            <w:tcW w:w="22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Members' Equity—100.0%</w:t>
            </w:r>
          </w:p>
        </w:tc>
        <w:tc>
          <w:tcPr>
            <w:tcW w:w="160" w:type="dxa"/>
            <w:vAlign w:val="bottom"/>
            <w:tcBorders>
              <w:bottom w:val="single" w:sz="8" w:color="CCECFF"/>
            </w:tcBorders>
            <w:shd w:val="clear" w:color="auto" w:fill="CCECFF"/>
          </w:tcPr>
          <w:p>
            <w:pPr>
              <w:spacing w:after="0"/>
              <w:rPr>
                <w:sz w:val="15"/>
                <w:szCs w:val="15"/>
                <w:color w:val="auto"/>
              </w:rPr>
            </w:pPr>
          </w:p>
        </w:tc>
        <w:tc>
          <w:tcPr>
            <w:tcW w:w="72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278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60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84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6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68,758,581</w:t>
            </w:r>
          </w:p>
        </w:tc>
        <w:tc>
          <w:tcPr>
            <w:tcW w:w="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6520180</wp:posOffset>
            </wp:positionH>
            <wp:positionV relativeFrom="paragraph">
              <wp:posOffset>-776605</wp:posOffset>
            </wp:positionV>
            <wp:extent cx="25400" cy="57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-776605</wp:posOffset>
            </wp:positionV>
            <wp:extent cx="26035" cy="57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-416560</wp:posOffset>
            </wp:positionV>
            <wp:extent cx="25400"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-416560</wp:posOffset>
            </wp:positionV>
            <wp:extent cx="26035" cy="57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-230505</wp:posOffset>
            </wp:positionV>
            <wp:extent cx="254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-213995</wp:posOffset>
            </wp:positionV>
            <wp:extent cx="254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-230505</wp:posOffset>
            </wp:positionV>
            <wp:extent cx="2603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-213995</wp:posOffset>
            </wp:positionV>
            <wp:extent cx="2603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-24765</wp:posOffset>
            </wp:positionV>
            <wp:extent cx="2603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-8255</wp:posOffset>
            </wp:positionV>
            <wp:extent cx="2603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172275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11" w:lineRule="exact"/>
        <w:rPr>
          <w:sz w:val="20"/>
          <w:szCs w:val="20"/>
          <w:color w:val="auto"/>
        </w:rPr>
      </w:pPr>
    </w:p>
    <w:p>
      <w:pPr>
        <w:ind w:left="380" w:right="20" w:hanging="372"/>
        <w:spacing w:after="0" w:line="215" w:lineRule="auto"/>
        <w:tabs>
          <w:tab w:leader="none" w:pos="380" w:val="left"/>
        </w:tabs>
        <w:numPr>
          <w:ilvl w:val="0"/>
          <w:numId w:val="38"/>
        </w:numPr>
        <w:rPr>
          <w:rFonts w:ascii="Arial" w:cs="Arial" w:eastAsia="Arial" w:hAnsi="Arial"/>
          <w:sz w:val="14"/>
          <w:szCs w:val="14"/>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4"/>
          <w:szCs w:val="14"/>
          <w:color w:val="auto"/>
          <w:vertAlign w:val="superscript"/>
        </w:rPr>
      </w:pPr>
    </w:p>
    <w:p>
      <w:pPr>
        <w:ind w:left="380" w:hanging="372"/>
        <w:spacing w:after="0" w:line="181" w:lineRule="auto"/>
        <w:tabs>
          <w:tab w:leader="none" w:pos="380" w:val="left"/>
        </w:tabs>
        <w:numPr>
          <w:ilvl w:val="0"/>
          <w:numId w:val="38"/>
        </w:numPr>
        <w:rPr>
          <w:rFonts w:ascii="Arial" w:cs="Arial" w:eastAsia="Arial" w:hAnsi="Arial"/>
          <w:sz w:val="14"/>
          <w:szCs w:val="14"/>
          <w:color w:val="auto"/>
          <w:vertAlign w:val="superscript"/>
        </w:rPr>
      </w:pPr>
      <w:r>
        <w:rPr>
          <w:rFonts w:ascii="Arial" w:cs="Arial" w:eastAsia="Arial" w:hAnsi="Arial"/>
          <w:sz w:val="11"/>
          <w:szCs w:val="11"/>
          <w:color w:val="auto"/>
        </w:rPr>
        <w:t>Valued based on PSLF’s accounting policy.</w:t>
      </w:r>
    </w:p>
    <w:p>
      <w:pPr>
        <w:ind w:left="400" w:hanging="392"/>
        <w:spacing w:after="0" w:line="191" w:lineRule="auto"/>
        <w:tabs>
          <w:tab w:leader="none" w:pos="400" w:val="left"/>
        </w:tabs>
        <w:numPr>
          <w:ilvl w:val="0"/>
          <w:numId w:val="38"/>
        </w:numPr>
        <w:rPr>
          <w:rFonts w:ascii="Arial" w:cs="Arial" w:eastAsia="Arial" w:hAnsi="Arial"/>
          <w:sz w:val="14"/>
          <w:szCs w:val="14"/>
          <w:color w:val="auto"/>
          <w:vertAlign w:val="superscript"/>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3" w:name="page44"/>
    <w:bookmarkEnd w:id="43"/>
    <w:p>
      <w:pPr>
        <w:ind w:left="460"/>
        <w:spacing w:after="0"/>
        <w:rPr>
          <w:sz w:val="20"/>
          <w:szCs w:val="20"/>
          <w:color w:val="auto"/>
        </w:rPr>
      </w:pPr>
      <w:r>
        <w:rPr>
          <w:rFonts w:ascii="Arial" w:cs="Arial" w:eastAsia="Arial" w:hAnsi="Arial"/>
          <w:sz w:val="14"/>
          <w:szCs w:val="14"/>
          <w:color w:val="auto"/>
        </w:rPr>
        <w:t>Below is a listing of PSLF’s individual investments as of September 30,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Current</w:t>
            </w:r>
          </w:p>
        </w:tc>
        <w:tc>
          <w:tcPr>
            <w:tcW w:w="18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40" w:type="dxa"/>
            <w:vAlign w:val="bottom"/>
          </w:tcPr>
          <w:p>
            <w:pPr>
              <w:spacing w:after="0"/>
              <w:rPr>
                <w:sz w:val="9"/>
                <w:szCs w:val="9"/>
                <w:color w:val="auto"/>
              </w:rPr>
            </w:pPr>
          </w:p>
        </w:tc>
        <w:tc>
          <w:tcPr>
            <w:tcW w:w="26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Spread Above</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Par</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restart"/>
          </w:tcPr>
          <w:p>
            <w:pPr>
              <w:jc w:val="right"/>
              <w:ind w:right="82"/>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(2)</w:t>
            </w:r>
          </w:p>
        </w:tc>
        <w:tc>
          <w:tcPr>
            <w:tcW w:w="0" w:type="dxa"/>
            <w:vAlign w:val="bottom"/>
          </w:tcPr>
          <w:p>
            <w:pPr>
              <w:spacing w:after="0"/>
              <w:rPr>
                <w:sz w:val="1"/>
                <w:szCs w:val="1"/>
                <w:color w:val="auto"/>
              </w:rPr>
            </w:pPr>
          </w:p>
        </w:tc>
      </w:tr>
      <w:tr>
        <w:trPr>
          <w:trHeight w:val="149"/>
        </w:trPr>
        <w:tc>
          <w:tcPr>
            <w:tcW w:w="3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1"/>
              </w:rPr>
              <w:t>Coupon</w:t>
            </w: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4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First Lien Secured Debt - 570.7%</w:t>
            </w:r>
          </w:p>
        </w:tc>
        <w:tc>
          <w:tcPr>
            <w:tcW w:w="140" w:type="dxa"/>
            <w:vAlign w:val="bottom"/>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60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60" w:type="dxa"/>
            <w:vAlign w:val="bottom"/>
            <w:tcBorders>
              <w:top w:val="single" w:sz="8" w:color="auto"/>
            </w:tcBorders>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Ad.net Acquisition, LLC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05/06/26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 + 600</w:t>
            </w:r>
          </w:p>
        </w:tc>
        <w:tc>
          <w:tcPr>
            <w:tcW w:w="3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4,987,500</w:t>
            </w:r>
          </w:p>
        </w:tc>
        <w:tc>
          <w:tcPr>
            <w:tcW w:w="300" w:type="dxa"/>
            <w:vAlign w:val="bottom"/>
            <w:gridSpan w:val="2"/>
          </w:tcPr>
          <w:p>
            <w:pPr>
              <w:jc w:val="right"/>
              <w:ind w:right="31"/>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4,919,652</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4,912,688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Altamira Technologies, LLC</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07/24/25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8.00%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L+700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921,231</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911,674</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863,654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American Insulated Glass, LLC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12/21/23</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2"/>
              </w:rPr>
              <w:t>Building Materials</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L+550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14,625,244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14,480,504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14,478,992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Any Hour Services</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07/21/27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L+525</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6,500,000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6,378,125</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6,370,000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Apex Service Partners, LLC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07/31/25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6.25%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1M L+550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6,569,222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6,517,624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6,503,530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 Term Loan B</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07/31/25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6.55%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ind w:left="740"/>
              <w:spacing w:after="0"/>
              <w:rPr>
                <w:sz w:val="20"/>
                <w:szCs w:val="20"/>
                <w:color w:val="auto"/>
              </w:rPr>
            </w:pPr>
            <w:r>
              <w:rPr>
                <w:rFonts w:ascii="Arial" w:cs="Arial" w:eastAsia="Arial" w:hAnsi="Arial"/>
                <w:sz w:val="11"/>
                <w:szCs w:val="11"/>
                <w:color w:val="auto"/>
                <w:w w:val="90"/>
              </w:rPr>
              <w:t>—</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3,346,690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3,313,038</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3,313,223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Applied Technical Services, LLC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12/29/26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Environmental Services</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L+575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7,443,750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7,335,875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7,294,875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Bottom Line Systems, LLC</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02/13/23</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6.25%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L+550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13,729,432</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13,673,678</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13,729,432</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Crash Champions, LLC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08/05/25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0"/>
              </w:rPr>
              <w:t>Auto Sector</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1M L+525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5,985,000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5,873,298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5,865,300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DRS Holdings III, Inc.</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11/03/25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Products</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7.25%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L+625</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13,428,053</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13,335,008</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13,334,057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ECL Entertainment, LLC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03/31/28</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0"/>
              </w:rPr>
              <w:t>Hotels, Motels, Inns and Gaming</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8.25%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L+750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4,603,846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4,559,898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4,707,433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ECM Industries, LLC</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12/23/25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Electronics</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L+450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2,826,993</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2,804,979</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2,770,453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Global Holdings InterCo LLC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03/16/26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Banking, Finance, Insurance &amp; Real Estate</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L+600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7,462,500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7,360,276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7,425,188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Hancock Roofing and Construction L.L.C.</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12/31/26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6.00%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L+500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5,955,000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5,819,284</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5,895,450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Holdco Sands Intermediate, LLC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12/19/25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L+600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12,070,714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11,934,092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12,010,361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HW Holdco, LLC</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12/10/24</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L+450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14,587,500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14,499,086</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14,441,625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IMIA Holdings, Inc.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04/09/27</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L+600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9,059,429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8,889,612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8,878,241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Integrity Marketing Acquisition, LLC</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08/27/25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L+550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7,868,080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7,803,025</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7,828,740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Juniper Landscaping of Florida, LLC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12/22/21</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L+550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9,420,290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9,420,290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9,420,290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K2 Pure Solutions NoCal, L.P.</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12/20/23</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8.00%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L+700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14,587,500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14,478,841</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14,199,473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LAV Gear Holdings, Inc.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10/31/24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0"/>
              </w:rPr>
              <w:t>Leisure, Amusement, Motion Pictures, Entertainment</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8.50%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L+750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2,119,558</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2,106,623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1,986,661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Lightspeed Buyer Inc.</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02/03/26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L+550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12,471,593</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12,273,343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12,471,593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Lombart Brothers, Inc.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04/13/23</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7.25%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1M L+825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16,816,670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16,728,518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16,816,670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MAG DS Corp.</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04/01/27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L+550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5,836,801</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5,581,189</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5,253,121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Mars Acquisition Holdings Corp.</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05/14/26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1M L+575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8,000,000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7,851,584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7,920,000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MBS Holdings, Inc.</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04/16/27</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Telecommunications</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L+550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7,481,250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7,337,946</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7,331,625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MeritDirect, LLC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05/23/24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L+550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13,386,132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13,271,890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13,252,270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PlayPower, Inc.</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05/08/26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Products</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5.65%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L+575</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3,805,440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3,777,669</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3,735,687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Radius Aerospace, Inc.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03/31/25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L+600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13,334,912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13,201,809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13,068,214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Rancho Health MSO, Inc.</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12/18/25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L+550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5,231,625</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5,140,072</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5,231,625</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Recteq, LLC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01/29/26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Consumer Products</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L+450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9,950,000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9,774,928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9,850,500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Research Now Group, LLC and Dynata, LLC</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12/20/24</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4"/>
              </w:rPr>
              <w:t>Business Services</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L+600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14,694,656</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14,601,817</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14,507,887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Riverpoint Medical, LLC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06/20/25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5.50%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1M L+550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3,245,909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3,216,526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3,205,984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Sales Benchmark Index LLC</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01/03/25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4"/>
              </w:rPr>
              <w:t>Business Services</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7.75%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L+750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7,632,493</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7,526,205</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7,441,681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Sargent &amp; Greenleaf Inc.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12/20/24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Electronics</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L+575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5,232,159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5,180,794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5,232,159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Signature Systems Holding Company</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05/03/24</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8.50%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L+525</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13,500,000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13,396,987</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13,365,000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Solutionreach, Inc.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01/17/24</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7"/>
              </w:rPr>
              <w:t>Communications</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1M L+600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11,881,773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11,758,141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11,881,773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STV Group Incorporated</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12/11/26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Transportation</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5.33%</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L+450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12,098,653</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12,002,839</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12,038,160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TAC LifePort Purchaser, LLC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03/01/26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7.00%</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1M L+525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4,967,133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4,891,093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4,965,530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TeleGuam Holdings, LLC</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11/20/25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Telecommunications</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L+525</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4,593,270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4,557,883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4,547,337</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Teneo Holdings LLC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07/18/25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6.25%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1M L+575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2,996,753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2,883,779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2,980,511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TPC Canada Parent, Inc. and TPC US Parent, LLC</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11/24/25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5"/>
              </w:rPr>
              <w:t>Food</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6.25%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L+625</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5,593,148</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5,537,216</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5,425,353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TVC Enterprises, LLC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03/26/26</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0"/>
              </w:rPr>
              <w:t>Transportation</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3M L+550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12,773,152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12,642,764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12,773,152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TWS Acquisition Corporation</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06/16/25</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Education</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7.25%</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L+450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9,647,753</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9,514,502</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9,647,753</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Tyto Athene, LLC</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04/03/28</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6.25%</w:t>
            </w:r>
          </w:p>
        </w:tc>
        <w:tc>
          <w:tcPr>
            <w:tcW w:w="1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3"/>
              </w:rPr>
              <w:t>1M L+675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9,950,000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9,853,217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9,950,000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UBEO, LLC</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04/03/24</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Printing and Publishing</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5.50%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L+500</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4,710,212</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4,676,033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4,686,661</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Vision Purchaser Corporation</w:t>
            </w:r>
          </w:p>
        </w:tc>
        <w:tc>
          <w:tcPr>
            <w:tcW w:w="780" w:type="dxa"/>
            <w:vAlign w:val="bottom"/>
            <w:gridSpan w:val="2"/>
          </w:tcPr>
          <w:p>
            <w:pPr>
              <w:jc w:val="center"/>
              <w:ind w:left="106"/>
              <w:spacing w:after="0"/>
              <w:rPr>
                <w:sz w:val="20"/>
                <w:szCs w:val="20"/>
                <w:color w:val="auto"/>
              </w:rPr>
            </w:pPr>
            <w:r>
              <w:rPr>
                <w:rFonts w:ascii="Arial" w:cs="Arial" w:eastAsia="Arial" w:hAnsi="Arial"/>
                <w:sz w:val="11"/>
                <w:szCs w:val="11"/>
                <w:color w:val="auto"/>
                <w:w w:val="88"/>
              </w:rPr>
              <w:t>06/10/25</w:t>
            </w:r>
          </w:p>
        </w:tc>
        <w:tc>
          <w:tcPr>
            <w:tcW w:w="140" w:type="dxa"/>
            <w:vAlign w:val="bottom"/>
          </w:tcPr>
          <w:p>
            <w:pPr>
              <w:spacing w:after="0"/>
              <w:rPr>
                <w:sz w:val="11"/>
                <w:szCs w:val="11"/>
                <w:color w:val="auto"/>
              </w:rPr>
            </w:pPr>
          </w:p>
        </w:tc>
        <w:tc>
          <w:tcPr>
            <w:tcW w:w="26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86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7.75%</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14,248,804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14,055,791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14,035,072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Wildcat Buyerco, Inc.</w:t>
            </w:r>
          </w:p>
        </w:tc>
        <w:tc>
          <w:tcPr>
            <w:tcW w:w="780" w:type="dxa"/>
            <w:vAlign w:val="bottom"/>
            <w:gridSpan w:val="2"/>
            <w:shd w:val="clear" w:color="auto" w:fill="CCECFF"/>
          </w:tcPr>
          <w:p>
            <w:pPr>
              <w:jc w:val="center"/>
              <w:ind w:left="106"/>
              <w:spacing w:after="0"/>
              <w:rPr>
                <w:sz w:val="20"/>
                <w:szCs w:val="20"/>
                <w:color w:val="auto"/>
              </w:rPr>
            </w:pPr>
            <w:r>
              <w:rPr>
                <w:rFonts w:ascii="Arial" w:cs="Arial" w:eastAsia="Arial" w:hAnsi="Arial"/>
                <w:sz w:val="11"/>
                <w:szCs w:val="11"/>
                <w:color w:val="auto"/>
                <w:w w:val="88"/>
              </w:rPr>
              <w:t>02/27/26</w:t>
            </w: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Electronics</w:t>
            </w:r>
          </w:p>
        </w:tc>
        <w:tc>
          <w:tcPr>
            <w:tcW w:w="86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6.00%</w:t>
            </w: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7,424,623</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7,360,375</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7,387,500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409,602,447</w:t>
            </w: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405,009,393</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405,232,480</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b w:val="1"/>
                <w:bCs w:val="1"/>
                <w:color w:val="auto"/>
              </w:rPr>
              <w:t>Cash and Cash Equivalents—18.9%</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Arial" w:cs="Arial" w:eastAsia="Arial" w:hAnsi="Arial"/>
                <w:sz w:val="11"/>
                <w:szCs w:val="11"/>
                <w:color w:val="auto"/>
              </w:rPr>
              <w:t>BlackRock Federal FD Institutional 30</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11,013,454</w:t>
            </w:r>
          </w:p>
        </w:tc>
        <w:tc>
          <w:tcPr>
            <w:tcW w:w="16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11,013,454</w:t>
            </w:r>
          </w:p>
        </w:tc>
        <w:tc>
          <w:tcPr>
            <w:tcW w:w="4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Arial" w:cs="Arial" w:eastAsia="Arial" w:hAnsi="Arial"/>
                <w:sz w:val="11"/>
                <w:szCs w:val="11"/>
                <w:color w:val="auto"/>
              </w:rPr>
              <w:t>US Bank Cash</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26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11,013,454</w:t>
            </w:r>
          </w:p>
        </w:tc>
        <w:tc>
          <w:tcPr>
            <w:tcW w:w="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11,013,454</w:t>
            </w:r>
          </w:p>
        </w:tc>
        <w:tc>
          <w:tcPr>
            <w:tcW w:w="4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40" w:type="dxa"/>
            <w:vAlign w:val="bottom"/>
          </w:tcPr>
          <w:p>
            <w:pPr>
              <w:ind w:left="20"/>
              <w:spacing w:after="0"/>
              <w:rPr>
                <w:sz w:val="20"/>
                <w:szCs w:val="20"/>
                <w:color w:val="auto"/>
              </w:rPr>
            </w:pPr>
            <w:r>
              <w:rPr>
                <w:rFonts w:ascii="Arial" w:cs="Arial" w:eastAsia="Arial" w:hAnsi="Arial"/>
                <w:sz w:val="11"/>
                <w:szCs w:val="11"/>
                <w:b w:val="1"/>
                <w:bCs w:val="1"/>
                <w:color w:val="auto"/>
              </w:rPr>
              <w:t>Total Investments and Cash Equivalents—592.7%</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416,022,848</w:t>
            </w:r>
          </w:p>
        </w:tc>
        <w:tc>
          <w:tcPr>
            <w:tcW w:w="1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416,245,935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Liabilities in Excess of Other Assets—(492.7)%</w:t>
            </w: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0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w w:val="98"/>
              </w:rPr>
              <w:t>(348,213,498</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3040" w:type="dxa"/>
            <w:vAlign w:val="bottom"/>
          </w:tcPr>
          <w:p>
            <w:pPr>
              <w:ind w:left="20"/>
              <w:spacing w:after="0"/>
              <w:rPr>
                <w:sz w:val="20"/>
                <w:szCs w:val="20"/>
                <w:color w:val="auto"/>
              </w:rPr>
            </w:pPr>
            <w:r>
              <w:rPr>
                <w:rFonts w:ascii="Arial" w:cs="Arial" w:eastAsia="Arial" w:hAnsi="Arial"/>
                <w:sz w:val="11"/>
                <w:szCs w:val="11"/>
                <w:b w:val="1"/>
                <w:bCs w:val="1"/>
                <w:color w:val="auto"/>
              </w:rPr>
              <w:t>Members' Equity—100.0%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68,032,437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6537325</wp:posOffset>
            </wp:positionH>
            <wp:positionV relativeFrom="paragraph">
              <wp:posOffset>-321945</wp:posOffset>
            </wp:positionV>
            <wp:extent cx="26035"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-321945</wp:posOffset>
            </wp:positionV>
            <wp:extent cx="26035"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946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172275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4" w:lineRule="exact"/>
        <w:rPr>
          <w:sz w:val="20"/>
          <w:szCs w:val="20"/>
          <w:color w:val="auto"/>
        </w:rPr>
      </w:pPr>
    </w:p>
    <w:p>
      <w:pPr>
        <w:ind w:left="380" w:right="20" w:hanging="372"/>
        <w:spacing w:after="0" w:line="215" w:lineRule="auto"/>
        <w:tabs>
          <w:tab w:leader="none" w:pos="380" w:val="left"/>
        </w:tabs>
        <w:numPr>
          <w:ilvl w:val="0"/>
          <w:numId w:val="39"/>
        </w:numPr>
        <w:rPr>
          <w:rFonts w:ascii="Arial" w:cs="Arial" w:eastAsia="Arial" w:hAnsi="Arial"/>
          <w:sz w:val="14"/>
          <w:szCs w:val="14"/>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4"/>
          <w:szCs w:val="14"/>
          <w:color w:val="auto"/>
          <w:vertAlign w:val="superscript"/>
        </w:rPr>
      </w:pPr>
    </w:p>
    <w:p>
      <w:pPr>
        <w:ind w:left="380" w:hanging="372"/>
        <w:spacing w:after="0" w:line="191" w:lineRule="auto"/>
        <w:tabs>
          <w:tab w:leader="none" w:pos="380" w:val="left"/>
        </w:tabs>
        <w:numPr>
          <w:ilvl w:val="0"/>
          <w:numId w:val="39"/>
        </w:numPr>
        <w:rPr>
          <w:rFonts w:ascii="Arial" w:cs="Arial" w:eastAsia="Arial" w:hAnsi="Arial"/>
          <w:sz w:val="14"/>
          <w:szCs w:val="14"/>
          <w:color w:val="auto"/>
          <w:vertAlign w:val="superscript"/>
        </w:rPr>
      </w:pPr>
      <w:r>
        <w:rPr>
          <w:rFonts w:ascii="Arial" w:cs="Arial" w:eastAsia="Arial" w:hAnsi="Arial"/>
          <w:sz w:val="11"/>
          <w:szCs w:val="11"/>
          <w:color w:val="auto"/>
        </w:rPr>
        <w:t>Valued based on PSLF’s accounting policy.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82"/>
        </w:trPr>
        <w:tc>
          <w:tcPr>
            <w:tcW w:w="7420" w:type="dxa"/>
            <w:vAlign w:val="bottom"/>
          </w:tcPr>
          <w:p>
            <w:pPr>
              <w:ind w:left="460"/>
              <w:spacing w:after="0"/>
              <w:rPr>
                <w:sz w:val="20"/>
                <w:szCs w:val="20"/>
                <w:color w:val="auto"/>
              </w:rPr>
            </w:pPr>
            <w:r>
              <w:rPr>
                <w:rFonts w:ascii="Arial" w:cs="Arial" w:eastAsia="Arial" w:hAnsi="Arial"/>
                <w:sz w:val="14"/>
                <w:szCs w:val="14"/>
                <w:color w:val="auto"/>
              </w:rPr>
              <w:t>Below is the financial information for PSLF:</w:t>
            </w: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7420" w:type="dxa"/>
            <w:vAlign w:val="bottom"/>
          </w:tcPr>
          <w:p>
            <w:pPr>
              <w:ind w:left="4480"/>
              <w:spacing w:after="0"/>
              <w:rPr>
                <w:sz w:val="20"/>
                <w:szCs w:val="20"/>
                <w:color w:val="auto"/>
              </w:rPr>
            </w:pPr>
            <w:r>
              <w:rPr>
                <w:rFonts w:ascii="Arial" w:cs="Arial" w:eastAsia="Arial" w:hAnsi="Arial"/>
                <w:sz w:val="14"/>
                <w:szCs w:val="14"/>
                <w:b w:val="1"/>
                <w:bCs w:val="1"/>
                <w:color w:val="auto"/>
              </w:rPr>
              <w:t>Statements of Assets and Liabilities</w:t>
            </w:r>
          </w:p>
        </w:tc>
        <w:tc>
          <w:tcPr>
            <w:tcW w:w="180" w:type="dxa"/>
            <w:vAlign w:val="bottom"/>
          </w:tcPr>
          <w:p>
            <w:pPr>
              <w:spacing w:after="0"/>
              <w:rPr>
                <w:sz w:val="24"/>
                <w:szCs w:val="24"/>
                <w:color w:val="auto"/>
              </w:rPr>
            </w:pPr>
          </w:p>
        </w:tc>
        <w:tc>
          <w:tcPr>
            <w:tcW w:w="15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w w:val="98"/>
              </w:rPr>
              <w:t>December 31, 2021</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September 30, 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20" w:type="dxa"/>
            <w:vAlign w:val="bottom"/>
            <w:shd w:val="clear" w:color="auto" w:fill="CCECFF"/>
          </w:tcPr>
          <w:p>
            <w:pPr>
              <w:ind w:left="20"/>
              <w:spacing w:after="0"/>
              <w:rPr>
                <w:sz w:val="20"/>
                <w:szCs w:val="20"/>
                <w:color w:val="auto"/>
              </w:rPr>
            </w:pPr>
            <w:r>
              <w:rPr>
                <w:rFonts w:ascii="Arial" w:cs="Arial" w:eastAsia="Arial" w:hAnsi="Arial"/>
                <w:sz w:val="14"/>
                <w:szCs w:val="14"/>
                <w:color w:val="auto"/>
              </w:rPr>
              <w:t>Investments at fair value (cost—$420,806,448 and $405,009,393, respectively)</w:t>
            </w: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421,535,944</w:t>
            </w:r>
          </w:p>
        </w:tc>
        <w:tc>
          <w:tcPr>
            <w:tcW w:w="4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405,232,480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tcPr>
          <w:p>
            <w:pPr>
              <w:ind w:left="20"/>
              <w:spacing w:after="0"/>
              <w:rPr>
                <w:sz w:val="20"/>
                <w:szCs w:val="20"/>
                <w:color w:val="auto"/>
              </w:rPr>
            </w:pPr>
            <w:r>
              <w:rPr>
                <w:rFonts w:ascii="Arial" w:cs="Arial" w:eastAsia="Arial" w:hAnsi="Arial"/>
                <w:sz w:val="14"/>
                <w:szCs w:val="14"/>
                <w:color w:val="auto"/>
              </w:rPr>
              <w:t>Cash and cash equivalents (cost—$22,154,890 and $11,013,454, respectively)</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22,154,890</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11,013,454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Interest receivable</w:t>
            </w:r>
          </w:p>
        </w:tc>
        <w:tc>
          <w:tcPr>
            <w:tcW w:w="180" w:type="dxa"/>
            <w:vAlign w:val="bottom"/>
            <w:tcBorders>
              <w:bottom w:val="single" w:sz="8" w:color="auto"/>
            </w:tcBorders>
            <w:shd w:val="clear" w:color="auto" w:fill="CCECFF"/>
          </w:tcPr>
          <w:p>
            <w:pPr>
              <w:spacing w:after="0"/>
              <w:rPr>
                <w:sz w:val="15"/>
                <w:szCs w:val="15"/>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1,059,745</w:t>
            </w:r>
          </w:p>
        </w:tc>
        <w:tc>
          <w:tcPr>
            <w:tcW w:w="30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auto"/>
            </w:tcBorders>
            <w:shd w:val="clear" w:color="auto" w:fill="CCECFF"/>
          </w:tcPr>
          <w:p>
            <w:pPr>
              <w:spacing w:after="0"/>
              <w:rPr>
                <w:sz w:val="15"/>
                <w:szCs w:val="15"/>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1,175,230</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20" w:type="dxa"/>
            <w:vAlign w:val="bottom"/>
          </w:tcPr>
          <w:p>
            <w:pPr>
              <w:ind w:left="56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444,750,579</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417,421,164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2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shd w:val="clear" w:color="auto" w:fill="CCECFF"/>
          </w:tcPr>
          <w:p>
            <w:pPr>
              <w:spacing w:after="0"/>
              <w:rPr>
                <w:sz w:val="14"/>
                <w:szCs w:val="14"/>
                <w:color w:val="auto"/>
              </w:rPr>
            </w:pPr>
          </w:p>
        </w:tc>
        <w:tc>
          <w:tcPr>
            <w:tcW w:w="15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5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color w:val="auto"/>
              </w:rPr>
              <w:t>Distribution payable</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3,000,000</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2,800,000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shd w:val="clear" w:color="auto" w:fill="CCECFF"/>
          </w:tcPr>
          <w:p>
            <w:pPr>
              <w:ind w:left="20"/>
              <w:spacing w:after="0"/>
              <w:rPr>
                <w:sz w:val="20"/>
                <w:szCs w:val="20"/>
                <w:color w:val="auto"/>
              </w:rPr>
            </w:pPr>
            <w:r>
              <w:rPr>
                <w:rFonts w:ascii="Arial" w:cs="Arial" w:eastAsia="Arial" w:hAnsi="Arial"/>
                <w:sz w:val="14"/>
                <w:szCs w:val="14"/>
                <w:color w:val="auto"/>
              </w:rPr>
              <w:t>Payable for investments purchased</w:t>
            </w:r>
          </w:p>
        </w:tc>
        <w:tc>
          <w:tcPr>
            <w:tcW w:w="180" w:type="dxa"/>
            <w:vAlign w:val="bottom"/>
            <w:shd w:val="clear" w:color="auto" w:fill="CCECFF"/>
          </w:tcPr>
          <w:p>
            <w:pPr>
              <w:spacing w:after="0"/>
              <w:rPr>
                <w:sz w:val="15"/>
                <w:szCs w:val="15"/>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10,824,110</w:t>
            </w:r>
          </w:p>
        </w:tc>
        <w:tc>
          <w:tcPr>
            <w:tcW w:w="3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12,792,969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20" w:type="dxa"/>
            <w:vAlign w:val="bottom"/>
          </w:tcPr>
          <w:p>
            <w:pPr>
              <w:ind w:left="20"/>
              <w:spacing w:after="0"/>
              <w:rPr>
                <w:sz w:val="20"/>
                <w:szCs w:val="20"/>
                <w:color w:val="auto"/>
              </w:rPr>
            </w:pPr>
            <w:r>
              <w:rPr>
                <w:rFonts w:ascii="Arial" w:cs="Arial" w:eastAsia="Arial" w:hAnsi="Arial"/>
                <w:sz w:val="14"/>
                <w:szCs w:val="14"/>
                <w:color w:val="auto"/>
              </w:rPr>
              <w:t>Credit facility payable</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252,000,000</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224,000,000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shd w:val="clear" w:color="auto" w:fill="CCECFF"/>
          </w:tcPr>
          <w:p>
            <w:pPr>
              <w:ind w:left="20"/>
              <w:spacing w:after="0"/>
              <w:rPr>
                <w:sz w:val="20"/>
                <w:szCs w:val="20"/>
                <w:color w:val="auto"/>
              </w:rPr>
            </w:pPr>
            <w:r>
              <w:rPr>
                <w:rFonts w:ascii="Arial" w:cs="Arial" w:eastAsia="Arial" w:hAnsi="Arial"/>
                <w:sz w:val="14"/>
                <w:szCs w:val="14"/>
                <w:color w:val="auto"/>
              </w:rPr>
              <w:t>Notes payable to members</w:t>
            </w:r>
          </w:p>
        </w:tc>
        <w:tc>
          <w:tcPr>
            <w:tcW w:w="180" w:type="dxa"/>
            <w:vAlign w:val="bottom"/>
            <w:shd w:val="clear" w:color="auto" w:fill="CCECFF"/>
          </w:tcPr>
          <w:p>
            <w:pPr>
              <w:spacing w:after="0"/>
              <w:rPr>
                <w:sz w:val="15"/>
                <w:szCs w:val="15"/>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106,040,612</w:t>
            </w:r>
          </w:p>
        </w:tc>
        <w:tc>
          <w:tcPr>
            <w:tcW w:w="3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106,040,612</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tcPr>
          <w:p>
            <w:pPr>
              <w:ind w:left="20"/>
              <w:spacing w:after="0"/>
              <w:rPr>
                <w:sz w:val="20"/>
                <w:szCs w:val="20"/>
                <w:color w:val="auto"/>
              </w:rPr>
            </w:pPr>
            <w:r>
              <w:rPr>
                <w:rFonts w:ascii="Arial" w:cs="Arial" w:eastAsia="Arial" w:hAnsi="Arial"/>
                <w:sz w:val="14"/>
                <w:szCs w:val="14"/>
                <w:color w:val="auto"/>
              </w:rPr>
              <w:t>Interest payable on credit facility</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1,619,074</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1,499,406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20" w:type="dxa"/>
            <w:vAlign w:val="bottom"/>
            <w:shd w:val="clear" w:color="auto" w:fill="CCECFF"/>
          </w:tcPr>
          <w:p>
            <w:pPr>
              <w:ind w:left="20"/>
              <w:spacing w:after="0"/>
              <w:rPr>
                <w:sz w:val="20"/>
                <w:szCs w:val="20"/>
                <w:color w:val="auto"/>
              </w:rPr>
            </w:pPr>
            <w:r>
              <w:rPr>
                <w:rFonts w:ascii="Arial" w:cs="Arial" w:eastAsia="Arial" w:hAnsi="Arial"/>
                <w:sz w:val="14"/>
                <w:szCs w:val="14"/>
                <w:color w:val="auto"/>
              </w:rPr>
              <w:t>Interest payable on members notes</w:t>
            </w:r>
          </w:p>
        </w:tc>
        <w:tc>
          <w:tcPr>
            <w:tcW w:w="180" w:type="dxa"/>
            <w:vAlign w:val="bottom"/>
            <w:shd w:val="clear" w:color="auto" w:fill="CCECFF"/>
          </w:tcPr>
          <w:p>
            <w:pPr>
              <w:spacing w:after="0"/>
              <w:rPr>
                <w:sz w:val="15"/>
                <w:szCs w:val="15"/>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1,643,629</w:t>
            </w:r>
          </w:p>
        </w:tc>
        <w:tc>
          <w:tcPr>
            <w:tcW w:w="3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1,643,629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tcPr>
          <w:p>
            <w:pPr>
              <w:ind w:left="20"/>
              <w:spacing w:after="0"/>
              <w:rPr>
                <w:sz w:val="20"/>
                <w:szCs w:val="20"/>
                <w:color w:val="auto"/>
              </w:rPr>
            </w:pPr>
            <w:r>
              <w:rPr>
                <w:rFonts w:ascii="Arial" w:cs="Arial" w:eastAsia="Arial" w:hAnsi="Arial"/>
                <w:sz w:val="14"/>
                <w:szCs w:val="14"/>
                <w:color w:val="auto"/>
              </w:rPr>
              <w:t>Accrued other expenses</w:t>
            </w: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864,573</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612,111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20" w:type="dxa"/>
            <w:vAlign w:val="bottom"/>
            <w:tcBorders>
              <w:bottom w:val="single" w:sz="8" w:color="CCECFF"/>
            </w:tcBorders>
            <w:shd w:val="clear" w:color="auto" w:fill="CCECFF"/>
          </w:tcPr>
          <w:p>
            <w:pPr>
              <w:ind w:left="56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shd w:val="clear" w:color="auto" w:fill="CCECFF"/>
          </w:tcPr>
          <w:p>
            <w:pPr>
              <w:spacing w:after="0"/>
              <w:rPr>
                <w:sz w:val="14"/>
                <w:szCs w:val="14"/>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375,991,998</w:t>
            </w:r>
          </w:p>
        </w:tc>
        <w:tc>
          <w:tcPr>
            <w:tcW w:w="30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349,388,727</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20" w:type="dxa"/>
            <w:vAlign w:val="bottom"/>
          </w:tcPr>
          <w:p>
            <w:pPr>
              <w:ind w:left="20"/>
              <w:spacing w:after="0" w:line="169"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9"/>
                <w:szCs w:val="19"/>
                <w:color w:val="auto"/>
                <w:vertAlign w:val="superscript"/>
              </w:rPr>
              <w:t>(1)</w:t>
            </w: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20" w:type="dxa"/>
            <w:vAlign w:val="bottom"/>
            <w:tcBorders>
              <w:bottom w:val="single" w:sz="8" w:color="CCECFF"/>
            </w:tcBorders>
            <w:shd w:val="clear" w:color="auto" w:fill="CCECFF"/>
          </w:tcPr>
          <w:p>
            <w:pPr>
              <w:ind w:left="560"/>
              <w:spacing w:after="0"/>
              <w:rPr>
                <w:sz w:val="20"/>
                <w:szCs w:val="20"/>
                <w:color w:val="auto"/>
              </w:rPr>
            </w:pPr>
            <w:r>
              <w:rPr>
                <w:rFonts w:ascii="Arial" w:cs="Arial" w:eastAsia="Arial" w:hAnsi="Arial"/>
                <w:sz w:val="14"/>
                <w:szCs w:val="14"/>
                <w:b w:val="1"/>
                <w:bCs w:val="1"/>
                <w:color w:val="auto"/>
              </w:rPr>
              <w:t>Members' equity</w:t>
            </w:r>
          </w:p>
        </w:tc>
        <w:tc>
          <w:tcPr>
            <w:tcW w:w="180" w:type="dxa"/>
            <w:vAlign w:val="bottom"/>
            <w:tcBorders>
              <w:bottom w:val="single" w:sz="8" w:color="auto"/>
            </w:tcBorders>
            <w:shd w:val="clear" w:color="auto" w:fill="CCECFF"/>
          </w:tcPr>
          <w:p>
            <w:pPr>
              <w:spacing w:after="0"/>
              <w:rPr>
                <w:sz w:val="14"/>
                <w:szCs w:val="14"/>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68,758,581</w:t>
            </w:r>
          </w:p>
        </w:tc>
        <w:tc>
          <w:tcPr>
            <w:tcW w:w="30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68,032,437</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20" w:type="dxa"/>
            <w:vAlign w:val="bottom"/>
          </w:tcPr>
          <w:p>
            <w:pPr>
              <w:ind w:left="560"/>
              <w:spacing w:after="0"/>
              <w:rPr>
                <w:sz w:val="20"/>
                <w:szCs w:val="20"/>
                <w:color w:val="auto"/>
              </w:rPr>
            </w:pPr>
            <w:r>
              <w:rPr>
                <w:rFonts w:ascii="Arial" w:cs="Arial" w:eastAsia="Arial" w:hAnsi="Arial"/>
                <w:sz w:val="14"/>
                <w:szCs w:val="14"/>
                <w:b w:val="1"/>
                <w:bCs w:val="1"/>
                <w:color w:val="auto"/>
              </w:rPr>
              <w:t>Total liabilities and members' equity</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444,750,579</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417,421,164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-1522095</wp:posOffset>
            </wp:positionV>
            <wp:extent cx="68580" cy="57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-1522095</wp:posOffset>
            </wp:positionV>
            <wp:extent cx="68580" cy="57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-382270</wp:posOffset>
            </wp:positionV>
            <wp:extent cx="68580" cy="57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wp:posOffset>
            </wp:positionV>
            <wp:extent cx="68580" cy="57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-142240</wp:posOffset>
            </wp:positionV>
            <wp:extent cx="68580" cy="57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57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7227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94"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4"/>
          <w:szCs w:val="14"/>
          <w:color w:val="auto"/>
          <w:vertAlign w:val="superscript"/>
        </w:rPr>
      </w:pPr>
      <w:r>
        <w:rPr>
          <w:rFonts w:ascii="Arial" w:cs="Arial" w:eastAsia="Arial" w:hAnsi="Arial"/>
          <w:sz w:val="11"/>
          <w:szCs w:val="11"/>
          <w:color w:val="auto"/>
        </w:rPr>
        <w:t>As of December 31, 2021 and September 30, 2021, PSLF did not have any unfunded commitments to fund investments.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00" w:type="dxa"/>
            <w:vAlign w:val="bottom"/>
          </w:tcPr>
          <w:p>
            <w:pPr>
              <w:spacing w:after="0"/>
              <w:rPr>
                <w:sz w:val="15"/>
                <w:szCs w:val="15"/>
                <w:color w:val="auto"/>
              </w:rPr>
            </w:pPr>
          </w:p>
        </w:tc>
        <w:tc>
          <w:tcPr>
            <w:tcW w:w="4340" w:type="dxa"/>
            <w:vAlign w:val="bottom"/>
            <w:gridSpan w:val="2"/>
          </w:tcPr>
          <w:p>
            <w:pPr>
              <w:jc w:val="right"/>
              <w:ind w:right="2128"/>
              <w:spacing w:after="0"/>
              <w:rPr>
                <w:sz w:val="20"/>
                <w:szCs w:val="20"/>
                <w:color w:val="auto"/>
              </w:rPr>
            </w:pPr>
            <w:r>
              <w:rPr>
                <w:rFonts w:ascii="Arial" w:cs="Arial" w:eastAsia="Arial" w:hAnsi="Arial"/>
                <w:sz w:val="14"/>
                <w:szCs w:val="14"/>
                <w:b w:val="1"/>
                <w:bCs w:val="1"/>
                <w:color w:val="auto"/>
              </w:rPr>
              <w:t>Statements of Operations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42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December 31,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20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Investment income:</w:t>
            </w:r>
          </w:p>
        </w:tc>
        <w:tc>
          <w:tcPr>
            <w:tcW w:w="328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6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6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4200" w:type="dxa"/>
            <w:vAlign w:val="bottom"/>
          </w:tcPr>
          <w:p>
            <w:pPr>
              <w:ind w:left="200"/>
              <w:spacing w:after="0"/>
              <w:rPr>
                <w:sz w:val="20"/>
                <w:szCs w:val="20"/>
                <w:color w:val="auto"/>
              </w:rPr>
            </w:pPr>
            <w:r>
              <w:rPr>
                <w:rFonts w:ascii="Arial" w:cs="Arial" w:eastAsia="Arial" w:hAnsi="Arial"/>
                <w:sz w:val="14"/>
                <w:szCs w:val="14"/>
                <w:color w:val="auto"/>
              </w:rPr>
              <w:t>Interest</w:t>
            </w:r>
          </w:p>
        </w:tc>
        <w:tc>
          <w:tcPr>
            <w:tcW w:w="4340" w:type="dxa"/>
            <w:vAlign w:val="bottom"/>
            <w:gridSpan w:val="2"/>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7,570,459</w:t>
            </w:r>
          </w:p>
        </w:tc>
        <w:tc>
          <w:tcPr>
            <w:tcW w:w="100" w:type="dxa"/>
            <w:vAlign w:val="bottom"/>
          </w:tcPr>
          <w:p>
            <w:pPr>
              <w:spacing w:after="0"/>
              <w:rPr>
                <w:sz w:val="15"/>
                <w:szCs w:val="15"/>
                <w:color w:val="auto"/>
              </w:rPr>
            </w:pPr>
          </w:p>
        </w:tc>
        <w:tc>
          <w:tcPr>
            <w:tcW w:w="12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6,561,996</w:t>
            </w:r>
          </w:p>
        </w:tc>
        <w:tc>
          <w:tcPr>
            <w:tcW w:w="100" w:type="dxa"/>
            <w:vAlign w:val="bottom"/>
          </w:tcPr>
          <w:p>
            <w:pPr>
              <w:spacing w:after="0"/>
              <w:rPr>
                <w:sz w:val="15"/>
                <w:szCs w:val="15"/>
                <w:color w:val="auto"/>
              </w:rPr>
            </w:pPr>
          </w:p>
        </w:tc>
      </w:tr>
      <w:tr>
        <w:trPr>
          <w:trHeight w:val="175"/>
        </w:trPr>
        <w:tc>
          <w:tcPr>
            <w:tcW w:w="42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Other income</w:t>
            </w:r>
          </w:p>
        </w:tc>
        <w:tc>
          <w:tcPr>
            <w:tcW w:w="3280" w:type="dxa"/>
            <w:vAlign w:val="bottom"/>
            <w:tcBorders>
              <w:bottom w:val="single" w:sz="8" w:color="CCECFF"/>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spacing w:after="0"/>
              <w:rPr>
                <w:sz w:val="15"/>
                <w:szCs w:val="15"/>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103,028</w:t>
            </w:r>
          </w:p>
        </w:tc>
        <w:tc>
          <w:tcPr>
            <w:tcW w:w="100" w:type="dxa"/>
            <w:vAlign w:val="bottom"/>
            <w:tcBorders>
              <w:bottom w:val="single" w:sz="8" w:color="CCECFF"/>
            </w:tcBorders>
            <w:shd w:val="clear" w:color="auto" w:fill="CCECFF"/>
          </w:tcPr>
          <w:p>
            <w:pPr>
              <w:spacing w:after="0"/>
              <w:rPr>
                <w:sz w:val="15"/>
                <w:szCs w:val="15"/>
                <w:color w:val="auto"/>
              </w:rPr>
            </w:pPr>
          </w:p>
        </w:tc>
        <w:tc>
          <w:tcPr>
            <w:tcW w:w="1200" w:type="dxa"/>
            <w:vAlign w:val="bottom"/>
            <w:tcBorders>
              <w:bottom w:val="single" w:sz="8" w:color="auto"/>
            </w:tcBorders>
            <w:shd w:val="clear" w:color="auto" w:fill="CCECFF"/>
          </w:tcPr>
          <w:p>
            <w:pPr>
              <w:spacing w:after="0"/>
              <w:rPr>
                <w:sz w:val="15"/>
                <w:szCs w:val="15"/>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436,957</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4200" w:type="dxa"/>
            <w:vAlign w:val="bottom"/>
          </w:tcPr>
          <w:p>
            <w:pPr>
              <w:ind w:left="200"/>
              <w:spacing w:after="0"/>
              <w:rPr>
                <w:sz w:val="20"/>
                <w:szCs w:val="20"/>
                <w:color w:val="auto"/>
              </w:rPr>
            </w:pPr>
            <w:r>
              <w:rPr>
                <w:rFonts w:ascii="Arial" w:cs="Arial" w:eastAsia="Arial" w:hAnsi="Arial"/>
                <w:sz w:val="14"/>
                <w:szCs w:val="14"/>
                <w:b w:val="1"/>
                <w:bCs w:val="1"/>
                <w:color w:val="auto"/>
              </w:rPr>
              <w:t>Total investment income</w:t>
            </w:r>
          </w:p>
        </w:tc>
        <w:tc>
          <w:tcPr>
            <w:tcW w:w="32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7,673,487</w:t>
            </w:r>
          </w:p>
        </w:tc>
        <w:tc>
          <w:tcPr>
            <w:tcW w:w="1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6,998,953</w:t>
            </w:r>
          </w:p>
        </w:tc>
        <w:tc>
          <w:tcPr>
            <w:tcW w:w="100" w:type="dxa"/>
            <w:vAlign w:val="bottom"/>
          </w:tcPr>
          <w:p>
            <w:pPr>
              <w:spacing w:after="0"/>
              <w:rPr>
                <w:sz w:val="14"/>
                <w:szCs w:val="14"/>
                <w:color w:val="auto"/>
              </w:rPr>
            </w:pPr>
          </w:p>
        </w:tc>
      </w:tr>
      <w:tr>
        <w:trPr>
          <w:trHeight w:val="169"/>
        </w:trPr>
        <w:tc>
          <w:tcPr>
            <w:tcW w:w="420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Expenses:</w:t>
            </w:r>
          </w:p>
        </w:tc>
        <w:tc>
          <w:tcPr>
            <w:tcW w:w="328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6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6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4200" w:type="dxa"/>
            <w:vAlign w:val="bottom"/>
          </w:tcPr>
          <w:p>
            <w:pPr>
              <w:ind w:left="200"/>
              <w:spacing w:after="0"/>
              <w:rPr>
                <w:sz w:val="20"/>
                <w:szCs w:val="20"/>
                <w:color w:val="auto"/>
              </w:rPr>
            </w:pPr>
            <w:r>
              <w:rPr>
                <w:rFonts w:ascii="Arial" w:cs="Arial" w:eastAsia="Arial" w:hAnsi="Arial"/>
                <w:sz w:val="14"/>
                <w:szCs w:val="14"/>
                <w:color w:val="auto"/>
              </w:rPr>
              <w:t>Interest and expenses on credit facility</w:t>
            </w:r>
          </w:p>
        </w:tc>
        <w:tc>
          <w:tcPr>
            <w:tcW w:w="3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1,608,709</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1,754,377</w:t>
            </w:r>
          </w:p>
        </w:tc>
        <w:tc>
          <w:tcPr>
            <w:tcW w:w="100" w:type="dxa"/>
            <w:vAlign w:val="bottom"/>
          </w:tcPr>
          <w:p>
            <w:pPr>
              <w:spacing w:after="0"/>
              <w:rPr>
                <w:sz w:val="15"/>
                <w:szCs w:val="15"/>
                <w:color w:val="auto"/>
              </w:rPr>
            </w:pPr>
          </w:p>
        </w:tc>
      </w:tr>
      <w:tr>
        <w:trPr>
          <w:trHeight w:val="176"/>
        </w:trPr>
        <w:tc>
          <w:tcPr>
            <w:tcW w:w="42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Interest expense on members notes</w:t>
            </w:r>
          </w:p>
        </w:tc>
        <w:tc>
          <w:tcPr>
            <w:tcW w:w="328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6"/>
              </w:rPr>
              <w:t>2,438,934</w:t>
            </w:r>
          </w:p>
        </w:tc>
        <w:tc>
          <w:tcPr>
            <w:tcW w:w="100" w:type="dxa"/>
            <w:vAlign w:val="bottom"/>
            <w:shd w:val="clear" w:color="auto" w:fill="CCECFF"/>
          </w:tcPr>
          <w:p>
            <w:pPr>
              <w:spacing w:after="0"/>
              <w:rPr>
                <w:sz w:val="15"/>
                <w:szCs w:val="15"/>
                <w:color w:val="auto"/>
              </w:rPr>
            </w:pPr>
          </w:p>
        </w:tc>
        <w:tc>
          <w:tcPr>
            <w:tcW w:w="1200" w:type="dxa"/>
            <w:vAlign w:val="bottom"/>
            <w:shd w:val="clear" w:color="auto" w:fill="CCECFF"/>
          </w:tcPr>
          <w:p>
            <w:pPr>
              <w:spacing w:after="0"/>
              <w:rPr>
                <w:sz w:val="15"/>
                <w:szCs w:val="15"/>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9"/>
              </w:rPr>
              <w:t>2,299,879</w:t>
            </w:r>
          </w:p>
        </w:tc>
        <w:tc>
          <w:tcPr>
            <w:tcW w:w="100" w:type="dxa"/>
            <w:vAlign w:val="bottom"/>
            <w:shd w:val="clear" w:color="auto" w:fill="CCECFF"/>
          </w:tcPr>
          <w:p>
            <w:pPr>
              <w:spacing w:after="0"/>
              <w:rPr>
                <w:sz w:val="15"/>
                <w:szCs w:val="15"/>
                <w:color w:val="auto"/>
              </w:rPr>
            </w:pPr>
          </w:p>
        </w:tc>
      </w:tr>
      <w:tr>
        <w:trPr>
          <w:trHeight w:val="175"/>
        </w:trPr>
        <w:tc>
          <w:tcPr>
            <w:tcW w:w="4200" w:type="dxa"/>
            <w:vAlign w:val="bottom"/>
          </w:tcPr>
          <w:p>
            <w:pPr>
              <w:ind w:left="200"/>
              <w:spacing w:after="0"/>
              <w:rPr>
                <w:sz w:val="20"/>
                <w:szCs w:val="20"/>
                <w:color w:val="auto"/>
              </w:rPr>
            </w:pPr>
            <w:r>
              <w:rPr>
                <w:rFonts w:ascii="Arial" w:cs="Arial" w:eastAsia="Arial" w:hAnsi="Arial"/>
                <w:sz w:val="14"/>
                <w:szCs w:val="14"/>
                <w:color w:val="auto"/>
              </w:rPr>
              <w:t>Administrative services expenses</w:t>
            </w:r>
          </w:p>
        </w:tc>
        <w:tc>
          <w:tcPr>
            <w:tcW w:w="3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292,965</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292,965</w:t>
            </w:r>
          </w:p>
        </w:tc>
        <w:tc>
          <w:tcPr>
            <w:tcW w:w="100" w:type="dxa"/>
            <w:vAlign w:val="bottom"/>
          </w:tcPr>
          <w:p>
            <w:pPr>
              <w:spacing w:after="0"/>
              <w:rPr>
                <w:sz w:val="15"/>
                <w:szCs w:val="15"/>
                <w:color w:val="auto"/>
              </w:rPr>
            </w:pPr>
          </w:p>
        </w:tc>
      </w:tr>
      <w:tr>
        <w:trPr>
          <w:trHeight w:val="175"/>
        </w:trPr>
        <w:tc>
          <w:tcPr>
            <w:tcW w:w="42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Other general and administrative expenses</w:t>
            </w:r>
          </w:p>
        </w:tc>
        <w:tc>
          <w:tcPr>
            <w:tcW w:w="3280" w:type="dxa"/>
            <w:vAlign w:val="bottom"/>
            <w:tcBorders>
              <w:bottom w:val="single" w:sz="8" w:color="CCECFF"/>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spacing w:after="0"/>
              <w:rPr>
                <w:sz w:val="15"/>
                <w:szCs w:val="15"/>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111,648</w:t>
            </w:r>
          </w:p>
        </w:tc>
        <w:tc>
          <w:tcPr>
            <w:tcW w:w="100" w:type="dxa"/>
            <w:vAlign w:val="bottom"/>
            <w:tcBorders>
              <w:bottom w:val="single" w:sz="8" w:color="CCECFF"/>
            </w:tcBorders>
            <w:shd w:val="clear" w:color="auto" w:fill="CCECFF"/>
          </w:tcPr>
          <w:p>
            <w:pPr>
              <w:spacing w:after="0"/>
              <w:rPr>
                <w:sz w:val="15"/>
                <w:szCs w:val="15"/>
                <w:color w:val="auto"/>
              </w:rPr>
            </w:pPr>
          </w:p>
        </w:tc>
        <w:tc>
          <w:tcPr>
            <w:tcW w:w="1200" w:type="dxa"/>
            <w:vAlign w:val="bottom"/>
            <w:tcBorders>
              <w:bottom w:val="single" w:sz="8" w:color="auto"/>
            </w:tcBorders>
            <w:shd w:val="clear" w:color="auto" w:fill="CCECFF"/>
          </w:tcPr>
          <w:p>
            <w:pPr>
              <w:spacing w:after="0"/>
              <w:rPr>
                <w:sz w:val="15"/>
                <w:szCs w:val="15"/>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111,648</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4200" w:type="dxa"/>
            <w:vAlign w:val="bottom"/>
          </w:tcPr>
          <w:p>
            <w:pPr>
              <w:ind w:left="200"/>
              <w:spacing w:after="0"/>
              <w:rPr>
                <w:sz w:val="20"/>
                <w:szCs w:val="20"/>
                <w:color w:val="auto"/>
              </w:rPr>
            </w:pPr>
            <w:r>
              <w:rPr>
                <w:rFonts w:ascii="Arial" w:cs="Arial" w:eastAsia="Arial" w:hAnsi="Arial"/>
                <w:sz w:val="14"/>
                <w:szCs w:val="14"/>
                <w:b w:val="1"/>
                <w:bCs w:val="1"/>
                <w:color w:val="auto"/>
              </w:rPr>
              <w:t>Total expenses</w:t>
            </w:r>
          </w:p>
        </w:tc>
        <w:tc>
          <w:tcPr>
            <w:tcW w:w="32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4,452,256</w:t>
            </w:r>
          </w:p>
        </w:tc>
        <w:tc>
          <w:tcPr>
            <w:tcW w:w="1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4,458,869</w:t>
            </w:r>
          </w:p>
        </w:tc>
        <w:tc>
          <w:tcPr>
            <w:tcW w:w="100" w:type="dxa"/>
            <w:vAlign w:val="bottom"/>
          </w:tcPr>
          <w:p>
            <w:pPr>
              <w:spacing w:after="0"/>
              <w:rPr>
                <w:sz w:val="14"/>
                <w:szCs w:val="14"/>
                <w:color w:val="auto"/>
              </w:rPr>
            </w:pPr>
          </w:p>
        </w:tc>
      </w:tr>
      <w:tr>
        <w:trPr>
          <w:trHeight w:val="169"/>
        </w:trPr>
        <w:tc>
          <w:tcPr>
            <w:tcW w:w="42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Net investment income</w:t>
            </w:r>
          </w:p>
        </w:tc>
        <w:tc>
          <w:tcPr>
            <w:tcW w:w="3280" w:type="dxa"/>
            <w:vAlign w:val="bottom"/>
            <w:tcBorders>
              <w:bottom w:val="single" w:sz="8" w:color="CCECFF"/>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spacing w:after="0"/>
              <w:rPr>
                <w:sz w:val="14"/>
                <w:szCs w:val="14"/>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96"/>
              </w:rPr>
              <w:t>3,221,231</w:t>
            </w:r>
          </w:p>
        </w:tc>
        <w:tc>
          <w:tcPr>
            <w:tcW w:w="100" w:type="dxa"/>
            <w:vAlign w:val="bottom"/>
            <w:tcBorders>
              <w:bottom w:val="single" w:sz="8" w:color="CCECFF"/>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spacing w:after="0"/>
              <w:rPr>
                <w:sz w:val="14"/>
                <w:szCs w:val="14"/>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99"/>
              </w:rPr>
              <w:t>2,540,084</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Realized and unrealized gain on investments:</w:t>
            </w:r>
          </w:p>
        </w:tc>
        <w:tc>
          <w:tcPr>
            <w:tcW w:w="3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4200" w:type="dxa"/>
            <w:vAlign w:val="bottom"/>
            <w:shd w:val="clear" w:color="auto" w:fill="CCECFF"/>
          </w:tcPr>
          <w:p>
            <w:pPr>
              <w:ind w:left="20"/>
              <w:spacing w:after="0"/>
              <w:rPr>
                <w:sz w:val="20"/>
                <w:szCs w:val="20"/>
                <w:color w:val="auto"/>
              </w:rPr>
            </w:pPr>
            <w:r>
              <w:rPr>
                <w:rFonts w:ascii="Arial" w:cs="Arial" w:eastAsia="Arial" w:hAnsi="Arial"/>
                <w:sz w:val="14"/>
                <w:szCs w:val="14"/>
                <w:color w:val="auto"/>
              </w:rPr>
              <w:t>Net realized (loss) gain on investments</w:t>
            </w:r>
          </w:p>
        </w:tc>
        <w:tc>
          <w:tcPr>
            <w:tcW w:w="328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74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(1,496 )</w:t>
            </w:r>
          </w:p>
        </w:tc>
        <w:tc>
          <w:tcPr>
            <w:tcW w:w="1200" w:type="dxa"/>
            <w:vAlign w:val="bottom"/>
            <w:shd w:val="clear" w:color="auto" w:fill="CCECFF"/>
          </w:tcPr>
          <w:p>
            <w:pPr>
              <w:spacing w:after="0"/>
              <w:rPr>
                <w:sz w:val="15"/>
                <w:szCs w:val="15"/>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464,337</w:t>
            </w:r>
          </w:p>
        </w:tc>
        <w:tc>
          <w:tcPr>
            <w:tcW w:w="100" w:type="dxa"/>
            <w:vAlign w:val="bottom"/>
            <w:shd w:val="clear" w:color="auto" w:fill="CCECFF"/>
          </w:tcPr>
          <w:p>
            <w:pPr>
              <w:spacing w:after="0"/>
              <w:rPr>
                <w:sz w:val="15"/>
                <w:szCs w:val="15"/>
                <w:color w:val="auto"/>
              </w:rPr>
            </w:pPr>
          </w:p>
        </w:tc>
      </w:tr>
      <w:tr>
        <w:trPr>
          <w:trHeight w:val="175"/>
        </w:trPr>
        <w:tc>
          <w:tcPr>
            <w:tcW w:w="4200" w:type="dxa"/>
            <w:vAlign w:val="bottom"/>
          </w:tcPr>
          <w:p>
            <w:pPr>
              <w:ind w:left="20"/>
              <w:spacing w:after="0"/>
              <w:rPr>
                <w:sz w:val="20"/>
                <w:szCs w:val="20"/>
                <w:color w:val="auto"/>
              </w:rPr>
            </w:pPr>
            <w:r>
              <w:rPr>
                <w:rFonts w:ascii="Arial" w:cs="Arial" w:eastAsia="Arial" w:hAnsi="Arial"/>
                <w:sz w:val="14"/>
                <w:szCs w:val="14"/>
                <w:color w:val="auto"/>
              </w:rPr>
              <w:t>Net change in unrealized appreciation on investments</w:t>
            </w:r>
          </w:p>
        </w:tc>
        <w:tc>
          <w:tcPr>
            <w:tcW w:w="32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506,409</w:t>
            </w:r>
          </w:p>
        </w:tc>
        <w:tc>
          <w:tcPr>
            <w:tcW w:w="1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2,710,252</w:t>
            </w:r>
          </w:p>
        </w:tc>
        <w:tc>
          <w:tcPr>
            <w:tcW w:w="100" w:type="dxa"/>
            <w:vAlign w:val="bottom"/>
          </w:tcPr>
          <w:p>
            <w:pPr>
              <w:spacing w:after="0"/>
              <w:rPr>
                <w:sz w:val="15"/>
                <w:szCs w:val="15"/>
                <w:color w:val="auto"/>
              </w:rPr>
            </w:pPr>
          </w:p>
        </w:tc>
      </w:tr>
      <w:tr>
        <w:trPr>
          <w:trHeight w:val="169"/>
        </w:trPr>
        <w:tc>
          <w:tcPr>
            <w:tcW w:w="42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b w:val="1"/>
                <w:bCs w:val="1"/>
                <w:color w:val="auto"/>
              </w:rPr>
              <w:t>Net realized and unrealized gain from investments</w:t>
            </w:r>
          </w:p>
        </w:tc>
        <w:tc>
          <w:tcPr>
            <w:tcW w:w="3280" w:type="dxa"/>
            <w:vAlign w:val="bottom"/>
            <w:tcBorders>
              <w:bottom w:val="single" w:sz="8" w:color="CCECFF"/>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spacing w:after="0"/>
              <w:rPr>
                <w:sz w:val="14"/>
                <w:szCs w:val="14"/>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504,913</w:t>
            </w:r>
          </w:p>
        </w:tc>
        <w:tc>
          <w:tcPr>
            <w:tcW w:w="100" w:type="dxa"/>
            <w:vAlign w:val="bottom"/>
            <w:tcBorders>
              <w:bottom w:val="single" w:sz="8" w:color="CCECFF"/>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spacing w:after="0"/>
              <w:rPr>
                <w:sz w:val="14"/>
                <w:szCs w:val="14"/>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99"/>
              </w:rPr>
              <w:t>3,174,589</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Net increase in members' equity resulting from operations</w:t>
            </w:r>
          </w:p>
        </w:tc>
        <w:tc>
          <w:tcPr>
            <w:tcW w:w="4340" w:type="dxa"/>
            <w:vAlign w:val="bottom"/>
            <w:gridSpan w:val="2"/>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3,726,144</w:t>
            </w:r>
          </w:p>
        </w:tc>
        <w:tc>
          <w:tcPr>
            <w:tcW w:w="100" w:type="dxa"/>
            <w:vAlign w:val="bottom"/>
          </w:tcPr>
          <w:p>
            <w:pPr>
              <w:spacing w:after="0"/>
              <w:rPr>
                <w:sz w:val="14"/>
                <w:szCs w:val="14"/>
                <w:color w:val="auto"/>
              </w:rPr>
            </w:pPr>
          </w:p>
        </w:tc>
        <w:tc>
          <w:tcPr>
            <w:tcW w:w="12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5,714,673</w:t>
            </w:r>
          </w:p>
        </w:tc>
        <w:tc>
          <w:tcPr>
            <w:tcW w:w="100" w:type="dxa"/>
            <w:vAlign w:val="bottom"/>
          </w:tcPr>
          <w:p>
            <w:pPr>
              <w:spacing w:after="0"/>
              <w:rPr>
                <w:sz w:val="14"/>
                <w:szCs w:val="14"/>
                <w:color w:val="auto"/>
              </w:rPr>
            </w:pPr>
          </w:p>
        </w:tc>
      </w:tr>
      <w:tr>
        <w:trPr>
          <w:trHeight w:val="20"/>
        </w:trPr>
        <w:tc>
          <w:tcPr>
            <w:tcW w:w="42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-1530985</wp:posOffset>
            </wp:positionV>
            <wp:extent cx="68580" cy="571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-1530985</wp:posOffset>
            </wp:positionV>
            <wp:extent cx="68580" cy="57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-845185</wp:posOffset>
            </wp:positionV>
            <wp:extent cx="68580" cy="57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-845185</wp:posOffset>
            </wp:positionV>
            <wp:extent cx="68580" cy="57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-605155</wp:posOffset>
            </wp:positionV>
            <wp:extent cx="68580" cy="57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-605155</wp:posOffset>
            </wp:positionV>
            <wp:extent cx="68580" cy="57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-142240</wp:posOffset>
            </wp:positionV>
            <wp:extent cx="68580" cy="571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57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7145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94"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4"/>
          <w:szCs w:val="14"/>
          <w:color w:val="auto"/>
          <w:vertAlign w:val="superscript"/>
        </w:rPr>
      </w:pPr>
      <w:r>
        <w:rPr>
          <w:rFonts w:ascii="Arial" w:cs="Arial" w:eastAsia="Arial" w:hAnsi="Arial"/>
          <w:sz w:val="11"/>
          <w:szCs w:val="11"/>
          <w:color w:val="auto"/>
        </w:rPr>
        <w:t>No management or incentive fees are payable by PSLF.</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163" w:lineRule="exact"/>
        <w:rPr>
          <w:sz w:val="20"/>
          <w:szCs w:val="20"/>
          <w:color w:val="auto"/>
        </w:rPr>
      </w:pPr>
    </w:p>
    <w:p>
      <w:pPr>
        <w:ind w:right="360" w:firstLine="449"/>
        <w:spacing w:after="0" w:line="273" w:lineRule="auto"/>
        <w:rPr>
          <w:sz w:val="20"/>
          <w:szCs w:val="20"/>
          <w:color w:val="auto"/>
        </w:rPr>
      </w:pPr>
      <w:r>
        <w:rPr>
          <w:rFonts w:ascii="Arial" w:cs="Arial" w:eastAsia="Arial" w:hAnsi="Arial"/>
          <w:sz w:val="14"/>
          <w:szCs w:val="14"/>
          <w:color w:val="auto"/>
        </w:rPr>
        <w:t>Subsequent to quarter end the Company declared an increase in its second fiscal quarter 2022 distribution to $0.14 per share, payable on April 1, 2022 to stockholders of record as of March 17, 2022.</w:t>
      </w:r>
    </w:p>
    <w:p>
      <w:pPr>
        <w:spacing w:after="0" w:line="120" w:lineRule="exact"/>
        <w:rPr>
          <w:sz w:val="20"/>
          <w:szCs w:val="20"/>
          <w:color w:val="auto"/>
        </w:rPr>
      </w:pPr>
    </w:p>
    <w:p>
      <w:pPr>
        <w:ind w:right="100" w:firstLine="449"/>
        <w:spacing w:after="0" w:line="273" w:lineRule="auto"/>
        <w:rPr>
          <w:sz w:val="20"/>
          <w:szCs w:val="20"/>
          <w:color w:val="auto"/>
        </w:rPr>
      </w:pPr>
      <w:r>
        <w:rPr>
          <w:rFonts w:ascii="Arial" w:cs="Arial" w:eastAsia="Arial" w:hAnsi="Arial"/>
          <w:sz w:val="14"/>
          <w:szCs w:val="14"/>
          <w:color w:val="auto"/>
        </w:rPr>
        <w:t>Subsequent to quarter-end, we announced a share repurchase plan which allows us to repurchase up to $25.0 million of our outstanding common stock in the open market at prices below our net asset value as reported in our then most recently published consolidated financial statements. The program will expire on March 31, 2023.</w:t>
      </w:r>
    </w:p>
    <w:p>
      <w:pPr>
        <w:spacing w:after="0" w:line="120" w:lineRule="exact"/>
        <w:rPr>
          <w:sz w:val="20"/>
          <w:szCs w:val="20"/>
          <w:color w:val="auto"/>
        </w:rPr>
      </w:pPr>
    </w:p>
    <w:p>
      <w:pPr>
        <w:ind w:right="100" w:firstLine="449"/>
        <w:spacing w:after="0" w:line="273" w:lineRule="auto"/>
        <w:rPr>
          <w:sz w:val="20"/>
          <w:szCs w:val="20"/>
          <w:color w:val="auto"/>
        </w:rPr>
      </w:pPr>
      <w:r>
        <w:rPr>
          <w:rFonts w:ascii="Arial" w:cs="Arial" w:eastAsia="Arial" w:hAnsi="Arial"/>
          <w:sz w:val="14"/>
          <w:szCs w:val="14"/>
          <w:color w:val="auto"/>
        </w:rPr>
        <w:t>Subsequent to quarter end we and Pantheon Ventures (UK) LLP, have agreed to increase our capital commitments to PSLF from $169.8 million to $234.8 million. PNNT's portion of this capital commitment increase is $39.3 million.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63" w:lineRule="exact"/>
        <w:rPr>
          <w:sz w:val="20"/>
          <w:szCs w:val="20"/>
          <w:color w:val="auto"/>
        </w:rPr>
      </w:pPr>
    </w:p>
    <w:p>
      <w:pPr>
        <w:jc w:val="both"/>
        <w:ind w:right="140" w:firstLine="449"/>
        <w:spacing w:after="0" w:line="257"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31" w:lineRule="exact"/>
        <w:rPr>
          <w:sz w:val="20"/>
          <w:szCs w:val="20"/>
          <w:color w:val="auto"/>
        </w:rPr>
      </w:pPr>
    </w:p>
    <w:p>
      <w:pPr>
        <w:ind w:right="120" w:firstLine="449"/>
        <w:spacing w:after="0" w:line="249"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37" w:lineRule="exact"/>
        <w:rPr>
          <w:sz w:val="20"/>
          <w:szCs w:val="20"/>
          <w:color w:val="auto"/>
        </w:rPr>
      </w:pPr>
    </w:p>
    <w:p>
      <w:pPr>
        <w:ind w:right="60" w:firstLine="449"/>
        <w:spacing w:after="0" w:line="257" w:lineRule="auto"/>
        <w:rPr>
          <w:sz w:val="20"/>
          <w:szCs w:val="20"/>
          <w:color w:val="auto"/>
        </w:rPr>
      </w:pPr>
      <w:r>
        <w:rPr>
          <w:rFonts w:ascii="Arial" w:cs="Arial" w:eastAsia="Arial" w:hAnsi="Arial"/>
          <w:sz w:val="14"/>
          <w:szCs w:val="14"/>
          <w:color w:val="auto"/>
        </w:rPr>
        <w:t>During the three months ended December 31, 2021, we declared distributions of $0.12 per share, for total distributions of $8.0 million. For the same periods in the prior year, we declared distributions of $0.12 for total distributions of $8.0 million. We monitor available net investment income to determine if a return of capital for tax purposes may occur for the fiscal year. To the extent our taxable earnings fall below the total amount of our distributions for any given fiscal year, stockholders will be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5" w:name="page46"/>
    <w:bookmarkEnd w:id="45"/>
    <w:p>
      <w:pPr>
        <w:ind w:right="160"/>
        <w:spacing w:after="0" w:line="273" w:lineRule="auto"/>
        <w:rPr>
          <w:sz w:val="20"/>
          <w:szCs w:val="20"/>
          <w:color w:val="auto"/>
        </w:rPr>
      </w:pPr>
      <w:r>
        <w:rPr>
          <w:rFonts w:ascii="Arial" w:cs="Arial" w:eastAsia="Arial" w:hAnsi="Arial"/>
          <w:sz w:val="14"/>
          <w:szCs w:val="14"/>
          <w:color w:val="auto"/>
        </w:rPr>
        <w:t>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163" w:lineRule="exact"/>
        <w:rPr>
          <w:sz w:val="20"/>
          <w:szCs w:val="20"/>
          <w:color w:val="auto"/>
        </w:rPr>
      </w:pPr>
    </w:p>
    <w:p>
      <w:pPr>
        <w:ind w:right="260" w:firstLine="449"/>
        <w:spacing w:after="0" w:line="27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20" w:lineRule="exact"/>
        <w:rPr>
          <w:sz w:val="20"/>
          <w:szCs w:val="20"/>
          <w:color w:val="auto"/>
        </w:rPr>
      </w:pPr>
    </w:p>
    <w:p>
      <w:pPr>
        <w:ind w:right="60" w:firstLine="449"/>
        <w:spacing w:after="0" w:line="252"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63" w:lineRule="exact"/>
        <w:rPr>
          <w:sz w:val="20"/>
          <w:szCs w:val="20"/>
          <w:color w:val="auto"/>
        </w:rPr>
      </w:pPr>
    </w:p>
    <w:p>
      <w:pPr>
        <w:ind w:right="180" w:firstLine="449"/>
        <w:spacing w:after="0" w:line="277" w:lineRule="auto"/>
        <w:rPr>
          <w:sz w:val="20"/>
          <w:szCs w:val="20"/>
          <w:color w:val="auto"/>
        </w:rPr>
      </w:pPr>
      <w:r>
        <w:rPr>
          <w:rFonts w:ascii="Arial" w:cs="Arial" w:eastAsia="Arial" w:hAnsi="Arial"/>
          <w:sz w:val="13"/>
          <w:szCs w:val="13"/>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is evaluating the potential impact that the adoption of this guidance will have on the Company’s financial statements.</w:t>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67" w:lineRule="exact"/>
        <w:rPr>
          <w:sz w:val="20"/>
          <w:szCs w:val="20"/>
          <w:color w:val="auto"/>
        </w:rPr>
      </w:pPr>
    </w:p>
    <w:p>
      <w:pPr>
        <w:ind w:firstLine="449"/>
        <w:spacing w:after="0" w:line="249" w:lineRule="auto"/>
        <w:rPr>
          <w:sz w:val="20"/>
          <w:szCs w:val="20"/>
          <w:color w:val="auto"/>
        </w:rPr>
      </w:pPr>
      <w:r>
        <w:rPr>
          <w:rFonts w:ascii="Arial" w:cs="Arial" w:eastAsia="Arial" w:hAnsi="Arial"/>
          <w:sz w:val="14"/>
          <w:szCs w:val="14"/>
          <w:color w:val="auto"/>
        </w:rPr>
        <w:t>We are subject to financial market risks, including changes in interest rates. As of December 31, 2021, our debt portfolio consisted of 93% variable-rate investments and 7% fixed rate investments. The variable-rate loans are usually based on a LIBOR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37" w:lineRule="exact"/>
        <w:rPr>
          <w:sz w:val="20"/>
          <w:szCs w:val="20"/>
          <w:color w:val="auto"/>
        </w:rPr>
      </w:pPr>
    </w:p>
    <w:p>
      <w:pPr>
        <w:ind w:right="80" w:firstLine="449"/>
        <w:spacing w:after="0" w:line="27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 in Interest Income,</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Change in Interest Rates</w:t>
            </w:r>
          </w:p>
        </w:tc>
        <w:tc>
          <w:tcPr>
            <w:tcW w:w="240" w:type="dxa"/>
            <w:vAlign w:val="bottom"/>
          </w:tcPr>
          <w:p>
            <w:pPr>
              <w:spacing w:after="0"/>
              <w:rPr>
                <w:sz w:val="12"/>
                <w:szCs w:val="12"/>
                <w:color w:val="auto"/>
              </w:rPr>
            </w:pPr>
          </w:p>
        </w:tc>
        <w:tc>
          <w:tcPr>
            <w:tcW w:w="2820" w:type="dxa"/>
            <w:vAlign w:val="bottom"/>
          </w:tcPr>
          <w:p>
            <w:pPr>
              <w:jc w:val="right"/>
              <w:ind w:right="288"/>
              <w:spacing w:after="0" w:line="149" w:lineRule="exact"/>
              <w:rPr>
                <w:sz w:val="20"/>
                <w:szCs w:val="20"/>
                <w:color w:val="auto"/>
              </w:rPr>
            </w:pPr>
            <w:r>
              <w:rPr>
                <w:rFonts w:ascii="Arial" w:cs="Arial" w:eastAsia="Arial" w:hAnsi="Arial"/>
                <w:sz w:val="14"/>
                <w:szCs w:val="14"/>
                <w:b w:val="1"/>
                <w:bCs w:val="1"/>
                <w:color w:val="auto"/>
              </w:rPr>
              <w:t>Net of Interest Expense</w:t>
            </w: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Net of Interest</w:t>
            </w:r>
          </w:p>
        </w:tc>
        <w:tc>
          <w:tcPr>
            <w:tcW w:w="0" w:type="dxa"/>
            <w:vAlign w:val="bottom"/>
          </w:tcPr>
          <w:p>
            <w:pPr>
              <w:spacing w:after="0"/>
              <w:rPr>
                <w:sz w:val="1"/>
                <w:szCs w:val="1"/>
                <w:color w:val="auto"/>
              </w:rPr>
            </w:pPr>
          </w:p>
        </w:tc>
      </w:tr>
      <w:tr>
        <w:trPr>
          <w:trHeight w:val="185"/>
        </w:trPr>
        <w:tc>
          <w:tcPr>
            <w:tcW w:w="36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tcPr>
          <w:p>
            <w:pPr>
              <w:jc w:val="right"/>
              <w:ind w:right="548"/>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Expense Per Share</w:t>
            </w:r>
          </w:p>
        </w:tc>
        <w:tc>
          <w:tcPr>
            <w:tcW w:w="0" w:type="dxa"/>
            <w:vAlign w:val="bottom"/>
          </w:tcPr>
          <w:p>
            <w:pPr>
              <w:spacing w:after="0"/>
              <w:rPr>
                <w:sz w:val="1"/>
                <w:szCs w:val="1"/>
                <w:color w:val="auto"/>
              </w:rPr>
            </w:pPr>
          </w:p>
        </w:tc>
      </w:tr>
      <w:tr>
        <w:trPr>
          <w:trHeight w:val="169"/>
        </w:trPr>
        <w:tc>
          <w:tcPr>
            <w:tcW w:w="360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4"/>
                <w:szCs w:val="14"/>
                <w:color w:val="auto"/>
                <w:w w:val="96"/>
              </w:rPr>
              <w:t>Down 1%</w:t>
            </w:r>
          </w:p>
        </w:tc>
        <w:tc>
          <w:tcPr>
            <w:tcW w:w="240" w:type="dxa"/>
            <w:vAlign w:val="bottom"/>
            <w:shd w:val="clear" w:color="auto" w:fill="CCECFF"/>
          </w:tcPr>
          <w:p>
            <w:pPr>
              <w:spacing w:after="0"/>
              <w:rPr>
                <w:sz w:val="14"/>
                <w:szCs w:val="14"/>
                <w:color w:val="auto"/>
              </w:rPr>
            </w:pPr>
          </w:p>
        </w:tc>
        <w:tc>
          <w:tcPr>
            <w:tcW w:w="2820" w:type="dxa"/>
            <w:vAlign w:val="bottom"/>
            <w:tcBorders>
              <w:top w:val="single" w:sz="8" w:color="auto"/>
            </w:tcBorders>
            <w:shd w:val="clear" w:color="auto" w:fill="CCECFF"/>
          </w:tcPr>
          <w:p>
            <w:pPr>
              <w:jc w:val="right"/>
              <w:ind w:right="266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562</w:t>
            </w:r>
          </w:p>
        </w:tc>
        <w:tc>
          <w:tcPr>
            <w:tcW w:w="360" w:type="dxa"/>
            <w:vAlign w:val="bottom"/>
            <w:shd w:val="clear" w:color="auto" w:fill="CCECFF"/>
          </w:tcPr>
          <w:p>
            <w:pPr>
              <w:spacing w:after="0"/>
              <w:rPr>
                <w:sz w:val="14"/>
                <w:szCs w:val="14"/>
                <w:color w:val="auto"/>
              </w:rPr>
            </w:pPr>
          </w:p>
        </w:tc>
        <w:tc>
          <w:tcPr>
            <w:tcW w:w="480" w:type="dxa"/>
            <w:vAlign w:val="bottom"/>
            <w:tcBorders>
              <w:top w:val="single" w:sz="8" w:color="auto"/>
            </w:tcBorders>
            <w:shd w:val="clear" w:color="auto" w:fill="CCECFF"/>
          </w:tcPr>
          <w:p>
            <w:pPr>
              <w:jc w:val="right"/>
              <w:ind w:right="328"/>
              <w:spacing w:after="0"/>
              <w:rPr>
                <w:sz w:val="20"/>
                <w:szCs w:val="20"/>
                <w:color w:val="auto"/>
              </w:rPr>
            </w:pPr>
            <w:r>
              <w:rPr>
                <w:rFonts w:ascii="Arial" w:cs="Arial" w:eastAsia="Arial" w:hAnsi="Arial"/>
                <w:sz w:val="14"/>
                <w:szCs w:val="14"/>
                <w:color w:val="auto"/>
                <w:w w:val="76"/>
              </w:rPr>
              <w:t>$</w:t>
            </w:r>
          </w:p>
        </w:tc>
        <w:tc>
          <w:tcPr>
            <w:tcW w:w="29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2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(2,967 )</w:t>
            </w:r>
          </w:p>
        </w:tc>
        <w:tc>
          <w:tcPr>
            <w:tcW w:w="480" w:type="dxa"/>
            <w:vAlign w:val="bottom"/>
          </w:tcPr>
          <w:p>
            <w:pPr>
              <w:spacing w:after="0"/>
              <w:rPr>
                <w:sz w:val="15"/>
                <w:szCs w:val="15"/>
                <w:color w:val="auto"/>
              </w:rPr>
            </w:pPr>
          </w:p>
        </w:tc>
        <w:tc>
          <w:tcPr>
            <w:tcW w:w="3080" w:type="dxa"/>
            <w:vAlign w:val="bottom"/>
            <w:gridSpan w:val="2"/>
          </w:tcPr>
          <w:p>
            <w:pPr>
              <w:jc w:val="right"/>
              <w:ind w:right="40"/>
              <w:spacing w:after="0"/>
              <w:rPr>
                <w:sz w:val="20"/>
                <w:szCs w:val="20"/>
                <w:color w:val="auto"/>
              </w:rPr>
            </w:pPr>
            <w:r>
              <w:rPr>
                <w:rFonts w:ascii="Arial" w:cs="Arial" w:eastAsia="Arial" w:hAnsi="Arial"/>
                <w:sz w:val="14"/>
                <w:szCs w:val="14"/>
                <w:color w:val="auto"/>
              </w:rPr>
              <w:t>(0.04 )</w:t>
            </w:r>
          </w:p>
        </w:tc>
        <w:tc>
          <w:tcPr>
            <w:tcW w:w="0" w:type="dxa"/>
            <w:vAlign w:val="bottom"/>
          </w:tcPr>
          <w:p>
            <w:pPr>
              <w:spacing w:after="0"/>
              <w:rPr>
                <w:sz w:val="1"/>
                <w:szCs w:val="1"/>
                <w:color w:val="auto"/>
              </w:rPr>
            </w:pPr>
          </w:p>
        </w:tc>
      </w:tr>
      <w:tr>
        <w:trPr>
          <w:trHeight w:val="175"/>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240" w:type="dxa"/>
            <w:vAlign w:val="bottom"/>
            <w:shd w:val="clear" w:color="auto" w:fill="CCECFF"/>
          </w:tcPr>
          <w:p>
            <w:pPr>
              <w:spacing w:after="0"/>
              <w:rPr>
                <w:sz w:val="15"/>
                <w:szCs w:val="15"/>
                <w:color w:val="auto"/>
              </w:rPr>
            </w:pPr>
          </w:p>
        </w:tc>
        <w:tc>
          <w:tcPr>
            <w:tcW w:w="2820" w:type="dxa"/>
            <w:vAlign w:val="bottom"/>
            <w:shd w:val="clear" w:color="auto" w:fill="CCECFF"/>
          </w:tcPr>
          <w:p>
            <w:pPr>
              <w:spacing w:after="0"/>
              <w:rPr>
                <w:sz w:val="15"/>
                <w:szCs w:val="15"/>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2,132</w:t>
            </w:r>
          </w:p>
        </w:tc>
        <w:tc>
          <w:tcPr>
            <w:tcW w:w="36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2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2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7,231</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80" w:type="dxa"/>
            <w:vAlign w:val="bottom"/>
          </w:tcPr>
          <w:p>
            <w:pPr>
              <w:jc w:val="right"/>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3060" w:type="dxa"/>
            <w:vAlign w:val="bottom"/>
            <w:gridSpan w:val="2"/>
            <w:shd w:val="clear" w:color="auto" w:fill="CCECFF"/>
          </w:tcPr>
          <w:p>
            <w:pPr>
              <w:jc w:val="right"/>
              <w:ind w:right="26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12,331</w:t>
            </w:r>
          </w:p>
        </w:tc>
        <w:tc>
          <w:tcPr>
            <w:tcW w:w="360" w:type="dxa"/>
            <w:vAlign w:val="bottom"/>
            <w:shd w:val="clear" w:color="auto" w:fill="CCECFF"/>
          </w:tcPr>
          <w:p>
            <w:pPr>
              <w:spacing w:after="0"/>
              <w:rPr>
                <w:sz w:val="15"/>
                <w:szCs w:val="15"/>
                <w:color w:val="auto"/>
              </w:rPr>
            </w:pPr>
          </w:p>
        </w:tc>
        <w:tc>
          <w:tcPr>
            <w:tcW w:w="480" w:type="dxa"/>
            <w:vAlign w:val="bottom"/>
            <w:shd w:val="clear" w:color="auto" w:fill="CCECFF"/>
          </w:tcPr>
          <w:p>
            <w:pPr>
              <w:jc w:val="right"/>
              <w:ind w:right="328"/>
              <w:spacing w:after="0"/>
              <w:rPr>
                <w:sz w:val="20"/>
                <w:szCs w:val="20"/>
                <w:color w:val="auto"/>
              </w:rPr>
            </w:pPr>
            <w:r>
              <w:rPr>
                <w:rFonts w:ascii="Arial" w:cs="Arial" w:eastAsia="Arial" w:hAnsi="Arial"/>
                <w:sz w:val="14"/>
                <w:szCs w:val="14"/>
                <w:color w:val="auto"/>
                <w:w w:val="76"/>
              </w:rPr>
              <w:t>$</w:t>
            </w:r>
          </w:p>
        </w:tc>
        <w:tc>
          <w:tcPr>
            <w:tcW w:w="2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0.18</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20" w:firstLine="449"/>
        <w:spacing w:after="0" w:line="257"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31" w:lineRule="exact"/>
        <w:rPr>
          <w:sz w:val="20"/>
          <w:szCs w:val="20"/>
          <w:color w:val="auto"/>
        </w:rPr>
      </w:pPr>
    </w:p>
    <w:p>
      <w:pPr>
        <w:ind w:right="160" w:firstLine="449"/>
        <w:spacing w:after="0" w:line="257"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3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Truist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167" w:lineRule="exact"/>
        <w:rPr>
          <w:sz w:val="20"/>
          <w:szCs w:val="20"/>
          <w:color w:val="auto"/>
        </w:rPr>
      </w:pPr>
    </w:p>
    <w:p>
      <w:pPr>
        <w:ind w:right="80" w:firstLine="449"/>
        <w:spacing w:after="0" w:line="268"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27" w:lineRule="exact"/>
        <w:rPr>
          <w:sz w:val="20"/>
          <w:szCs w:val="20"/>
          <w:color w:val="auto"/>
        </w:rPr>
      </w:pPr>
    </w:p>
    <w:p>
      <w:pPr>
        <w:ind w:right="320" w:firstLine="449"/>
        <w:spacing w:after="0" w:line="27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December 31, 2021 that have materially affected, or are reasonably likely to materially affect, our internal control over financial reporting.</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color w:val="auto"/>
        </w:rPr>
        <w:t>PART II – OTHER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167" w:lineRule="exact"/>
        <w:rPr>
          <w:sz w:val="20"/>
          <w:szCs w:val="20"/>
          <w:color w:val="auto"/>
        </w:rPr>
      </w:pPr>
    </w:p>
    <w:p>
      <w:pPr>
        <w:ind w:right="40" w:firstLine="449"/>
        <w:spacing w:after="0" w:line="252"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67" w:lineRule="exact"/>
        <w:rPr>
          <w:sz w:val="20"/>
          <w:szCs w:val="20"/>
          <w:color w:val="auto"/>
        </w:rPr>
      </w:pPr>
    </w:p>
    <w:p>
      <w:pPr>
        <w:ind w:firstLine="449"/>
        <w:spacing w:after="0" w:line="252"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2021 filed on November 17, 2021 which could materially affect our business, financial condition and/or operating results. The risks described below, as well as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Legislation enacted in 2018 allows us to incur additional leverage.</w:t>
      </w:r>
    </w:p>
    <w:p>
      <w:pPr>
        <w:spacing w:after="0" w:line="163" w:lineRule="exact"/>
        <w:rPr>
          <w:sz w:val="20"/>
          <w:szCs w:val="20"/>
          <w:color w:val="auto"/>
        </w:rPr>
      </w:pPr>
    </w:p>
    <w:p>
      <w:pPr>
        <w:ind w:firstLine="449"/>
        <w:spacing w:after="0" w:line="265" w:lineRule="auto"/>
        <w:rPr>
          <w:sz w:val="20"/>
          <w:szCs w:val="20"/>
          <w:color w:val="auto"/>
        </w:rPr>
      </w:pPr>
      <w:r>
        <w:rPr>
          <w:rFonts w:ascii="Arial" w:cs="Arial" w:eastAsia="Arial" w:hAnsi="Arial"/>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As of February 5, 2019, we are able to incur additional indebtedness so long as we comply with the applicable disclosure requirements,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were reduced from 1.50% to 1.00% on gross assets that exceed 200% of the Company’s total net assets as of the immediately preceding quarter-end.</w:t>
      </w:r>
    </w:p>
    <w:p>
      <w:pPr>
        <w:spacing w:after="0" w:line="128" w:lineRule="exact"/>
        <w:rPr>
          <w:sz w:val="20"/>
          <w:szCs w:val="20"/>
          <w:color w:val="auto"/>
        </w:rPr>
      </w:pPr>
    </w:p>
    <w:p>
      <w:pPr>
        <w:ind w:right="280" w:firstLine="495"/>
        <w:spacing w:after="0" w:line="27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20" w:lineRule="exact"/>
        <w:rPr>
          <w:sz w:val="20"/>
          <w:szCs w:val="20"/>
          <w:color w:val="auto"/>
        </w:rPr>
      </w:pPr>
    </w:p>
    <w:p>
      <w:pPr>
        <w:jc w:val="both"/>
        <w:ind w:right="80" w:firstLine="449"/>
        <w:spacing w:after="0" w:line="257" w:lineRule="auto"/>
        <w:rPr>
          <w:sz w:val="20"/>
          <w:szCs w:val="20"/>
          <w:color w:val="auto"/>
        </w:rPr>
      </w:pPr>
      <w:r>
        <w:rPr>
          <w:rFonts w:ascii="Arial" w:cs="Arial" w:eastAsia="Arial" w:hAnsi="Arial"/>
          <w:sz w:val="14"/>
          <w:szCs w:val="14"/>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31" w:lineRule="exact"/>
        <w:rPr>
          <w:sz w:val="20"/>
          <w:szCs w:val="20"/>
          <w:color w:val="auto"/>
        </w:rPr>
      </w:pPr>
    </w:p>
    <w:p>
      <w:pPr>
        <w:ind w:right="120" w:firstLine="449"/>
        <w:spacing w:after="0" w:line="270" w:lineRule="auto"/>
        <w:rPr>
          <w:sz w:val="20"/>
          <w:szCs w:val="20"/>
          <w:color w:val="auto"/>
        </w:rPr>
      </w:pPr>
      <w:r>
        <w:rPr>
          <w:rFonts w:ascii="Arial" w:cs="Arial" w:eastAsia="Arial" w:hAnsi="Arial"/>
          <w:sz w:val="13"/>
          <w:szCs w:val="13"/>
          <w:color w:val="auto"/>
        </w:rPr>
        <w:t>As noted above, on November 13, 2018 and February 5, 2019, our board of directors, including a “required majority” (as such term is defined in Section 57(o) of the 1940 Act), and our stockholders, respectively, approved a reduction of our asset coverage ratio from 200% to 150%. As a result, as of February 6,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25" w:lineRule="exact"/>
        <w:rPr>
          <w:sz w:val="20"/>
          <w:szCs w:val="20"/>
          <w:color w:val="auto"/>
        </w:rPr>
      </w:pPr>
    </w:p>
    <w:p>
      <w:pPr>
        <w:ind w:right="20" w:firstLine="449"/>
        <w:spacing w:after="0" w:line="277" w:lineRule="auto"/>
        <w:rPr>
          <w:sz w:val="20"/>
          <w:szCs w:val="20"/>
          <w:color w:val="auto"/>
        </w:rPr>
      </w:pPr>
      <w:r>
        <w:rPr>
          <w:rFonts w:ascii="Arial" w:cs="Arial" w:eastAsia="Arial" w:hAnsi="Arial"/>
          <w:sz w:val="13"/>
          <w:szCs w:val="13"/>
          <w:color w:val="auto"/>
        </w:rPr>
        <w:t>We are partially dependent on our SBIC Fund for cash distributions to enable us to meet the distribution requirements in order to permit us to be subject to tax as a RIC. In this regard, our SBIC Fund is limited by the SBA regulations governing SBICs from making certain distributions to us that may be necessary to satisfy the requirements to be subject to tax as a RIC. In such a case, we would need to request a waiver of the SBA’s restrictions for our SBIC Fund to make certain distributions to enable us to be subject to tax as a RIC. We cannot assure you that the SBA will grant such waiver, and if our SBIC Fund is unable to obtain a waiver, compliance with the SBA regulations may cause us to incur a corporate-level income tax.</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163" w:lineRule="exact"/>
        <w:rPr>
          <w:sz w:val="20"/>
          <w:szCs w:val="20"/>
          <w:color w:val="auto"/>
        </w:rPr>
      </w:pPr>
    </w:p>
    <w:p>
      <w:pPr>
        <w:ind w:firstLine="449"/>
        <w:spacing w:after="0" w:line="265" w:lineRule="auto"/>
        <w:rPr>
          <w:sz w:val="20"/>
          <w:szCs w:val="20"/>
          <w:color w:val="auto"/>
        </w:rPr>
      </w:pPr>
      <w:r>
        <w:rPr>
          <w:rFonts w:ascii="Arial" w:cs="Arial" w:eastAsia="Arial" w:hAnsi="Arial"/>
          <w:sz w:val="13"/>
          <w:szCs w:val="13"/>
          <w:color w:val="auto"/>
        </w:rPr>
        <w:t>We have indebtedness outstanding pursuant to the Truist Credit Facility, 2024 Notes, 2026 Notes, 2026 Notes-2 and SBA debentures and expect in the future to borrow additional amounts under the Truist Credit Facility or other debt securities, subject to market availability, and, may increase the size of the Truist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SBIC II, in connection with borrowings under the Truist Credit Facility. In the case of a liquidation event, those lenders would receive proceeds before our stockholders. Additionally, the SBA, as a lender and an administrative agent, has a superior claim over the assets of SBIC II in relation to our other creditors. Any future debt issuance will increase our leverage and may be subordinate to the Truist Credit Facility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28" w:lineRule="exact"/>
        <w:rPr>
          <w:sz w:val="20"/>
          <w:szCs w:val="20"/>
          <w:color w:val="auto"/>
        </w:rPr>
      </w:pPr>
    </w:p>
    <w:p>
      <w:pPr>
        <w:jc w:val="both"/>
        <w:ind w:right="100" w:firstLine="495"/>
        <w:spacing w:after="0" w:line="252" w:lineRule="auto"/>
        <w:rPr>
          <w:sz w:val="20"/>
          <w:szCs w:val="20"/>
          <w:color w:val="auto"/>
        </w:rPr>
      </w:pPr>
      <w:r>
        <w:rPr>
          <w:rFonts w:ascii="Arial" w:cs="Arial" w:eastAsia="Arial" w:hAnsi="Arial"/>
          <w:sz w:val="14"/>
          <w:szCs w:val="14"/>
          <w:color w:val="auto"/>
        </w:rPr>
        <w:t>As noted above, on November 13, 2018 and February 5, 2019, our board of directors, including a “required majority” (as such term is defined in Section 57(o) of the 1940 Act), and our stockholders, respectively, approved a reduction of our asset coverage ratio. As a result, as of February 6,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did not engage in any sales of unregistered securities during the three months ended December 31, 2021.</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Not applicable.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None.</w:t>
      </w:r>
    </w:p>
    <w:p>
      <w:pPr>
        <w:spacing w:after="0" w:line="3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color w:val="auto"/>
        </w:rPr>
        <w:t>Item 6. Exhibits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176" w:lineRule="exact"/>
        <w:rPr>
          <w:sz w:val="20"/>
          <w:szCs w:val="20"/>
          <w:color w:val="auto"/>
        </w:rPr>
      </w:pPr>
    </w:p>
    <w:p>
      <w:pPr>
        <w:ind w:left="100"/>
        <w:spacing w:after="0"/>
        <w:tabs>
          <w:tab w:leader="none" w:pos="480" w:val="left"/>
        </w:tabs>
        <w:rPr>
          <w:rFonts w:ascii="Arial" w:cs="Arial" w:eastAsia="Arial" w:hAnsi="Arial"/>
          <w:sz w:val="13"/>
          <w:szCs w:val="13"/>
          <w:u w:val="single" w:color="auto"/>
          <w:color w:val="0000FF"/>
        </w:rPr>
      </w:pPr>
      <w:r>
        <w:rPr>
          <w:rFonts w:ascii="Arial" w:cs="Arial" w:eastAsia="Arial" w:hAnsi="Arial"/>
          <w:sz w:val="14"/>
          <w:szCs w:val="14"/>
          <w:color w:val="auto"/>
        </w:rPr>
        <w:t>3.1</w:t>
      </w:r>
      <w:r>
        <w:rPr>
          <w:sz w:val="20"/>
          <w:szCs w:val="20"/>
          <w:color w:val="auto"/>
        </w:rPr>
        <w:tab/>
      </w:r>
      <w:hyperlink r:id="rId544">
        <w:r>
          <w:rPr>
            <w:rFonts w:ascii="Arial" w:cs="Arial" w:eastAsia="Arial" w:hAnsi="Arial"/>
            <w:sz w:val="13"/>
            <w:szCs w:val="13"/>
            <w:u w:val="single" w:color="auto"/>
            <w:color w:val="0000FF"/>
          </w:rPr>
          <w:t>Articles of Incorporation (Incorporated by reference to Exhibit 99(a) to the Registrant’s Pre-Effective Amendment No. 3 to the Registration Statement on Form N-2/A (File No. 333-</w:t>
        </w:r>
      </w:hyperlink>
    </w:p>
    <w:p>
      <w:pPr>
        <w:ind w:left="500"/>
        <w:spacing w:after="0"/>
        <w:rPr>
          <w:rFonts w:ascii="Arial" w:cs="Arial" w:eastAsia="Arial" w:hAnsi="Arial"/>
          <w:sz w:val="14"/>
          <w:szCs w:val="14"/>
          <w:u w:val="single" w:color="auto"/>
          <w:color w:val="0000FF"/>
        </w:rPr>
      </w:pPr>
      <w:hyperlink r:id="rId544">
        <w:r>
          <w:rPr>
            <w:rFonts w:ascii="Arial" w:cs="Arial" w:eastAsia="Arial" w:hAnsi="Arial"/>
            <w:sz w:val="14"/>
            <w:szCs w:val="14"/>
            <w:u w:val="single" w:color="auto"/>
            <w:color w:val="0000FF"/>
          </w:rPr>
          <w:t>140092), filed on April 5, 2007).</w:t>
        </w:r>
      </w:hyperlink>
    </w:p>
    <w:p>
      <w:pPr>
        <w:spacing w:after="0" w:line="178" w:lineRule="exact"/>
        <w:rPr>
          <w:sz w:val="20"/>
          <w:szCs w:val="20"/>
          <w:color w:val="auto"/>
        </w:rPr>
      </w:pPr>
    </w:p>
    <w:p>
      <w:pPr>
        <w:ind w:left="100"/>
        <w:spacing w:after="0"/>
        <w:tabs>
          <w:tab w:leader="none" w:pos="480" w:val="left"/>
        </w:tabs>
        <w:rPr>
          <w:rFonts w:ascii="Arial" w:cs="Arial" w:eastAsia="Arial" w:hAnsi="Arial"/>
          <w:sz w:val="13"/>
          <w:szCs w:val="13"/>
          <w:u w:val="single" w:color="auto"/>
          <w:color w:val="0000FF"/>
        </w:rPr>
      </w:pPr>
      <w:r>
        <w:rPr>
          <w:rFonts w:ascii="Arial" w:cs="Arial" w:eastAsia="Arial" w:hAnsi="Arial"/>
          <w:sz w:val="14"/>
          <w:szCs w:val="14"/>
          <w:color w:val="auto"/>
        </w:rPr>
        <w:t>3.2</w:t>
      </w:r>
      <w:r>
        <w:rPr>
          <w:sz w:val="20"/>
          <w:szCs w:val="20"/>
          <w:color w:val="auto"/>
        </w:rPr>
        <w:tab/>
      </w:r>
      <w:hyperlink r:id="rId545">
        <w:r>
          <w:rPr>
            <w:rFonts w:ascii="Arial" w:cs="Arial" w:eastAsia="Arial" w:hAnsi="Arial"/>
            <w:sz w:val="13"/>
            <w:szCs w:val="13"/>
            <w:u w:val="single" w:color="auto"/>
            <w:color w:val="0000FF"/>
          </w:rPr>
          <w:t>Second Amended and Restated Bylaws of the Registrant (Incorporated by reference to Exhibit 3.2 to the Registrant's Quarterly Report on Form 10-Q (File No. 814-00736), filed on May</w:t>
        </w:r>
      </w:hyperlink>
    </w:p>
    <w:p>
      <w:pPr>
        <w:ind w:left="500"/>
        <w:spacing w:after="0"/>
        <w:rPr>
          <w:rFonts w:ascii="Arial" w:cs="Arial" w:eastAsia="Arial" w:hAnsi="Arial"/>
          <w:sz w:val="14"/>
          <w:szCs w:val="14"/>
          <w:u w:val="single" w:color="auto"/>
          <w:color w:val="0000FF"/>
        </w:rPr>
      </w:pPr>
      <w:hyperlink r:id="rId545">
        <w:r>
          <w:rPr>
            <w:rFonts w:ascii="Arial" w:cs="Arial" w:eastAsia="Arial" w:hAnsi="Arial"/>
            <w:sz w:val="14"/>
            <w:szCs w:val="14"/>
            <w:u w:val="single" w:color="auto"/>
            <w:color w:val="0000FF"/>
          </w:rPr>
          <w:t>11, 2020).</w:t>
        </w:r>
      </w:hyperlink>
    </w:p>
    <w:p>
      <w:pPr>
        <w:spacing w:after="0" w:line="178" w:lineRule="exact"/>
        <w:rPr>
          <w:sz w:val="20"/>
          <w:szCs w:val="20"/>
          <w:color w:val="auto"/>
        </w:rPr>
      </w:pPr>
    </w:p>
    <w:p>
      <w:pPr>
        <w:ind w:left="100"/>
        <w:spacing w:after="0"/>
        <w:tabs>
          <w:tab w:leader="none" w:pos="480" w:val="left"/>
        </w:tabs>
        <w:rPr>
          <w:rFonts w:ascii="Arial" w:cs="Arial" w:eastAsia="Arial" w:hAnsi="Arial"/>
          <w:sz w:val="13"/>
          <w:szCs w:val="13"/>
          <w:u w:val="single" w:color="auto"/>
          <w:color w:val="0000FF"/>
        </w:rPr>
      </w:pPr>
      <w:r>
        <w:rPr>
          <w:rFonts w:ascii="Arial" w:cs="Arial" w:eastAsia="Arial" w:hAnsi="Arial"/>
          <w:sz w:val="14"/>
          <w:szCs w:val="14"/>
          <w:color w:val="auto"/>
        </w:rPr>
        <w:t>4.1</w:t>
      </w:r>
      <w:r>
        <w:rPr>
          <w:sz w:val="20"/>
          <w:szCs w:val="20"/>
          <w:color w:val="auto"/>
        </w:rPr>
        <w:tab/>
      </w:r>
      <w:hyperlink r:id="rId546">
        <w:r>
          <w:rPr>
            <w:rFonts w:ascii="Arial" w:cs="Arial" w:eastAsia="Arial" w:hAnsi="Arial"/>
            <w:sz w:val="13"/>
            <w:szCs w:val="13"/>
            <w:u w:val="single" w:color="auto"/>
            <w:color w:val="0000FF"/>
          </w:rPr>
          <w:t>Form of Share Certificate (Incorporated by reference to Exhibit 99(d)(1) to the Registrant’s Registration Statement on Form N-2 (File No. 333-150033), filed on April 2, 2008).</w:t>
        </w:r>
      </w:hyperlink>
    </w:p>
    <w:p>
      <w:pPr>
        <w:spacing w:after="0" w:line="190" w:lineRule="exact"/>
        <w:rPr>
          <w:sz w:val="20"/>
          <w:szCs w:val="20"/>
          <w:color w:val="auto"/>
        </w:rPr>
      </w:pPr>
    </w:p>
    <w:p>
      <w:pPr>
        <w:ind w:left="20"/>
        <w:spacing w:after="0"/>
        <w:tabs>
          <w:tab w:leader="none" w:pos="480" w:val="left"/>
        </w:tabs>
        <w:rPr>
          <w:rFonts w:ascii="Arial" w:cs="Arial" w:eastAsia="Arial" w:hAnsi="Arial"/>
          <w:sz w:val="13"/>
          <w:szCs w:val="13"/>
          <w:u w:val="single" w:color="auto"/>
          <w:color w:val="0000FF"/>
        </w:rPr>
      </w:pPr>
      <w:r>
        <w:rPr>
          <w:rFonts w:ascii="Arial" w:cs="Arial" w:eastAsia="Arial" w:hAnsi="Arial"/>
          <w:sz w:val="14"/>
          <w:szCs w:val="14"/>
          <w:color w:val="auto"/>
        </w:rPr>
        <w:t>31.1*</w:t>
      </w:r>
      <w:r>
        <w:rPr>
          <w:sz w:val="20"/>
          <w:szCs w:val="20"/>
          <w:color w:val="auto"/>
        </w:rPr>
        <w:tab/>
      </w:r>
      <w:hyperlink w:anchor="page51">
        <w:r>
          <w:rPr>
            <w:rFonts w:ascii="Arial" w:cs="Arial" w:eastAsia="Arial" w:hAnsi="Arial"/>
            <w:sz w:val="13"/>
            <w:szCs w:val="13"/>
            <w:u w:val="single" w:color="auto"/>
            <w:color w:val="0000FF"/>
          </w:rPr>
          <w:t>Certification of Chief Executive Officer pursuant to Rule 13a-14 of the Securities Exchange Act of 1934, as amended.</w:t>
        </w:r>
      </w:hyperlink>
    </w:p>
    <w:p>
      <w:pPr>
        <w:spacing w:after="0" w:line="190" w:lineRule="exact"/>
        <w:rPr>
          <w:sz w:val="20"/>
          <w:szCs w:val="20"/>
          <w:color w:val="auto"/>
        </w:rPr>
      </w:pPr>
    </w:p>
    <w:p>
      <w:pPr>
        <w:ind w:left="20"/>
        <w:spacing w:after="0"/>
        <w:tabs>
          <w:tab w:leader="none" w:pos="480" w:val="left"/>
        </w:tabs>
        <w:rPr>
          <w:rFonts w:ascii="Arial" w:cs="Arial" w:eastAsia="Arial" w:hAnsi="Arial"/>
          <w:sz w:val="13"/>
          <w:szCs w:val="13"/>
          <w:u w:val="single" w:color="auto"/>
          <w:color w:val="0000FF"/>
        </w:rPr>
      </w:pPr>
      <w:r>
        <w:rPr>
          <w:rFonts w:ascii="Arial" w:cs="Arial" w:eastAsia="Arial" w:hAnsi="Arial"/>
          <w:sz w:val="14"/>
          <w:szCs w:val="14"/>
          <w:color w:val="auto"/>
        </w:rPr>
        <w:t>31.2*</w:t>
      </w:r>
      <w:r>
        <w:rPr>
          <w:sz w:val="20"/>
          <w:szCs w:val="20"/>
          <w:color w:val="auto"/>
        </w:rPr>
        <w:tab/>
      </w:r>
      <w:hyperlink w:anchor="page52">
        <w:r>
          <w:rPr>
            <w:rFonts w:ascii="Arial" w:cs="Arial" w:eastAsia="Arial" w:hAnsi="Arial"/>
            <w:sz w:val="13"/>
            <w:szCs w:val="13"/>
            <w:u w:val="single" w:color="auto"/>
            <w:color w:val="0000FF"/>
          </w:rPr>
          <w:t>Certification of Chief Financial Officer pursuant to Rule 13a-14 of the Securities Exchange Act of 1934, as amended.</w:t>
        </w:r>
      </w:hyperlink>
    </w:p>
    <w:p>
      <w:pPr>
        <w:spacing w:after="0" w:line="190" w:lineRule="exact"/>
        <w:rPr>
          <w:sz w:val="20"/>
          <w:szCs w:val="20"/>
          <w:color w:val="auto"/>
        </w:rPr>
      </w:pPr>
    </w:p>
    <w:p>
      <w:pPr>
        <w:ind w:left="20"/>
        <w:spacing w:after="0"/>
        <w:tabs>
          <w:tab w:leader="none" w:pos="480" w:val="left"/>
        </w:tabs>
        <w:rPr>
          <w:rFonts w:ascii="Arial" w:cs="Arial" w:eastAsia="Arial" w:hAnsi="Arial"/>
          <w:sz w:val="13"/>
          <w:szCs w:val="13"/>
          <w:u w:val="single" w:color="auto"/>
          <w:color w:val="0000FF"/>
        </w:rPr>
      </w:pPr>
      <w:r>
        <w:rPr>
          <w:rFonts w:ascii="Arial" w:cs="Arial" w:eastAsia="Arial" w:hAnsi="Arial"/>
          <w:sz w:val="14"/>
          <w:szCs w:val="14"/>
          <w:color w:val="auto"/>
        </w:rPr>
        <w:t>32.1*</w:t>
      </w:r>
      <w:r>
        <w:rPr>
          <w:sz w:val="20"/>
          <w:szCs w:val="20"/>
          <w:color w:val="auto"/>
        </w:rPr>
        <w:tab/>
      </w:r>
      <w:hyperlink w:anchor="page53">
        <w:r>
          <w:rPr>
            <w:rFonts w:ascii="Arial" w:cs="Arial" w:eastAsia="Arial" w:hAnsi="Arial"/>
            <w:sz w:val="13"/>
            <w:szCs w:val="13"/>
            <w:u w:val="single" w:color="auto"/>
            <w:color w:val="0000FF"/>
          </w:rPr>
          <w:t>Certification of Chief Executive Officer pursuant to Section 906 of the Sarbanes-Oxley Act of 2002.</w:t>
        </w:r>
      </w:hyperlink>
    </w:p>
    <w:p>
      <w:pPr>
        <w:spacing w:after="0" w:line="190" w:lineRule="exact"/>
        <w:rPr>
          <w:sz w:val="20"/>
          <w:szCs w:val="20"/>
          <w:color w:val="auto"/>
        </w:rPr>
      </w:pPr>
    </w:p>
    <w:p>
      <w:pPr>
        <w:ind w:left="20"/>
        <w:spacing w:after="0"/>
        <w:tabs>
          <w:tab w:leader="none" w:pos="480" w:val="left"/>
        </w:tabs>
        <w:rPr>
          <w:rFonts w:ascii="Arial" w:cs="Arial" w:eastAsia="Arial" w:hAnsi="Arial"/>
          <w:sz w:val="13"/>
          <w:szCs w:val="13"/>
          <w:u w:val="single" w:color="auto"/>
          <w:color w:val="0000FF"/>
        </w:rPr>
      </w:pPr>
      <w:r>
        <w:rPr>
          <w:rFonts w:ascii="Arial" w:cs="Arial" w:eastAsia="Arial" w:hAnsi="Arial"/>
          <w:sz w:val="14"/>
          <w:szCs w:val="14"/>
          <w:color w:val="auto"/>
        </w:rPr>
        <w:t>32.2*</w:t>
      </w:r>
      <w:r>
        <w:rPr>
          <w:sz w:val="20"/>
          <w:szCs w:val="20"/>
          <w:color w:val="auto"/>
        </w:rPr>
        <w:tab/>
      </w:r>
      <w:hyperlink w:anchor="page54">
        <w:r>
          <w:rPr>
            <w:rFonts w:ascii="Arial" w:cs="Arial" w:eastAsia="Arial" w:hAnsi="Arial"/>
            <w:sz w:val="13"/>
            <w:szCs w:val="13"/>
            <w:u w:val="single" w:color="auto"/>
            <w:color w:val="0000FF"/>
          </w:rPr>
          <w:t>Certification of Chief Financial Officer pursuant to Section 906 of the Sarbanes-Oxley Act of 2002.</w:t>
        </w:r>
      </w:hyperlink>
    </w:p>
    <w:p>
      <w:pPr>
        <w:spacing w:after="0" w:line="190" w:lineRule="exact"/>
        <w:rPr>
          <w:sz w:val="20"/>
          <w:szCs w:val="20"/>
          <w:color w:val="auto"/>
        </w:rPr>
      </w:pPr>
    </w:p>
    <w:p>
      <w:pPr>
        <w:ind w:left="20"/>
        <w:spacing w:after="0"/>
        <w:tabs>
          <w:tab w:leader="none" w:pos="480" w:val="left"/>
        </w:tabs>
        <w:rPr>
          <w:rFonts w:ascii="Arial" w:cs="Arial" w:eastAsia="Arial" w:hAnsi="Arial"/>
          <w:sz w:val="13"/>
          <w:szCs w:val="13"/>
          <w:u w:val="single" w:color="auto"/>
          <w:color w:val="0000FF"/>
        </w:rPr>
      </w:pPr>
      <w:r>
        <w:rPr>
          <w:rFonts w:ascii="Arial" w:cs="Arial" w:eastAsia="Arial" w:hAnsi="Arial"/>
          <w:sz w:val="14"/>
          <w:szCs w:val="14"/>
          <w:color w:val="auto"/>
        </w:rPr>
        <w:t>99.1</w:t>
      </w:r>
      <w:r>
        <w:rPr>
          <w:sz w:val="20"/>
          <w:szCs w:val="20"/>
          <w:color w:val="auto"/>
        </w:rPr>
        <w:tab/>
      </w:r>
      <w:hyperlink r:id="rId547">
        <w:r>
          <w:rPr>
            <w:rFonts w:ascii="Arial" w:cs="Arial" w:eastAsia="Arial" w:hAnsi="Arial"/>
            <w:sz w:val="13"/>
            <w:szCs w:val="13"/>
            <w:u w:val="single" w:color="auto"/>
            <w:color w:val="0000FF"/>
          </w:rPr>
          <w:t>Privacy Policy of the Registrant (Incorporated by reference to Exhibit 99.1 to the Registrant’s Annual Report on Form 10-K (File No. 814-00736), filed on November 16,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19126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19" w:right="39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167" w:lineRule="exact"/>
        <w:rPr>
          <w:sz w:val="20"/>
          <w:szCs w:val="20"/>
          <w:color w:val="auto"/>
        </w:rPr>
      </w:pPr>
    </w:p>
    <w:p>
      <w:pPr>
        <w:ind w:firstLine="449"/>
        <w:spacing w:after="0" w:line="27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1220"/>
          </w:cols>
          <w:pgMar w:left="320" w:top="319" w:right="35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4"/>
          <w:szCs w:val="14"/>
          <w:color w:val="auto"/>
        </w:rPr>
        <w:t>February 9, 2022</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4"/>
          <w:szCs w:val="14"/>
          <w:color w:val="auto"/>
        </w:rPr>
        <w:t>February 9,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PENNANTPARK INVESTMENT CORPORATION</w:t>
      </w:r>
    </w:p>
    <w:p>
      <w:pPr>
        <w:spacing w:after="0" w:line="231"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12700</wp:posOffset>
            </wp:positionV>
            <wp:extent cx="334327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4"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Arthur H. Penn</w:t>
      </w:r>
    </w:p>
    <w:p>
      <w:pPr>
        <w:spacing w:after="0" w:line="25" w:lineRule="exact"/>
        <w:rPr>
          <w:sz w:val="20"/>
          <w:szCs w:val="20"/>
          <w:color w:val="auto"/>
        </w:rPr>
      </w:pPr>
    </w:p>
    <w:p>
      <w:pPr>
        <w:jc w:val="center"/>
        <w:ind w:right="640"/>
        <w:spacing w:after="0"/>
        <w:rPr>
          <w:sz w:val="20"/>
          <w:szCs w:val="20"/>
          <w:color w:val="auto"/>
        </w:rPr>
      </w:pPr>
      <w:r>
        <w:rPr>
          <w:rFonts w:ascii="Arial" w:cs="Arial" w:eastAsia="Arial" w:hAnsi="Arial"/>
          <w:sz w:val="13"/>
          <w:szCs w:val="13"/>
          <w:b w:val="1"/>
          <w:bCs w:val="1"/>
          <w:color w:val="auto"/>
        </w:rPr>
        <w:t>Chief Executive Officer and Chairman of the Board of Directors</w:t>
      </w:r>
    </w:p>
    <w:p>
      <w:pPr>
        <w:spacing w:after="0" w:line="4"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(Principal Executive Officer)</w:t>
      </w:r>
    </w:p>
    <w:p>
      <w:pPr>
        <w:spacing w:after="0" w:line="219"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/s/ Richard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12700</wp:posOffset>
            </wp:positionV>
            <wp:extent cx="334327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4"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auto"/>
        </w:rPr>
        <w:t>Richard Cheung</w:t>
      </w:r>
    </w:p>
    <w:p>
      <w:pPr>
        <w:spacing w:after="0" w:line="82"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3">
            <w:col w:w="4820" w:space="720"/>
            <w:col w:w="380" w:space="720"/>
            <w:col w:w="4580"/>
          </w:cols>
          <w:pgMar w:left="320" w:top="319" w:right="359" w:bottom="1440" w:gutter="0" w:footer="0" w:header="0"/>
          <w:type w:val="continuous"/>
        </w:sectPr>
      </w:pP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4"/>
          <w:szCs w:val="14"/>
          <w:b w:val="1"/>
          <w:bCs w:val="1"/>
          <w:color w:val="auto"/>
        </w:rPr>
        <w:t>EXHIBIT 31.1</w:t>
      </w:r>
    </w:p>
    <w:p>
      <w:pPr>
        <w:spacing w:after="0" w:line="162"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163" w:lineRule="exact"/>
        <w:rPr>
          <w:sz w:val="20"/>
          <w:szCs w:val="20"/>
          <w:color w:val="auto"/>
        </w:rPr>
      </w:pPr>
    </w:p>
    <w:p>
      <w:pPr>
        <w:ind w:left="620" w:hanging="143"/>
        <w:spacing w:after="0"/>
        <w:tabs>
          <w:tab w:leader="none" w:pos="6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63" w:lineRule="exact"/>
        <w:rPr>
          <w:rFonts w:ascii="Arial" w:cs="Arial" w:eastAsia="Arial" w:hAnsi="Arial"/>
          <w:sz w:val="14"/>
          <w:szCs w:val="14"/>
          <w:color w:val="auto"/>
        </w:rPr>
      </w:pPr>
    </w:p>
    <w:p>
      <w:pPr>
        <w:ind w:right="580" w:firstLine="477"/>
        <w:spacing w:after="0" w:line="273" w:lineRule="auto"/>
        <w:tabs>
          <w:tab w:leader="none" w:pos="613" w:val="left"/>
        </w:tabs>
        <w:numPr>
          <w:ilvl w:val="0"/>
          <w:numId w:val="4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right="460" w:firstLine="477"/>
        <w:spacing w:after="0" w:line="273" w:lineRule="auto"/>
        <w:tabs>
          <w:tab w:leader="none" w:pos="613" w:val="left"/>
        </w:tabs>
        <w:numPr>
          <w:ilvl w:val="0"/>
          <w:numId w:val="4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right="60" w:firstLine="477"/>
        <w:spacing w:after="0" w:line="273" w:lineRule="auto"/>
        <w:tabs>
          <w:tab w:leader="none" w:pos="613"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4"/>
          <w:szCs w:val="14"/>
          <w:color w:val="auto"/>
        </w:rPr>
      </w:pPr>
    </w:p>
    <w:p>
      <w:pPr>
        <w:jc w:val="both"/>
        <w:ind w:right="480" w:firstLine="757"/>
        <w:spacing w:after="0" w:line="257" w:lineRule="auto"/>
        <w:tabs>
          <w:tab w:leader="none" w:pos="919" w:val="left"/>
        </w:tabs>
        <w:numPr>
          <w:ilvl w:val="1"/>
          <w:numId w:val="4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4"/>
          <w:szCs w:val="14"/>
          <w:color w:val="auto"/>
        </w:rPr>
      </w:pPr>
    </w:p>
    <w:p>
      <w:pPr>
        <w:ind w:left="920" w:hanging="163"/>
        <w:spacing w:after="0"/>
        <w:tabs>
          <w:tab w:leader="none" w:pos="920" w:val="left"/>
        </w:tabs>
        <w:numPr>
          <w:ilvl w:val="1"/>
          <w:numId w:val="4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w:t>
      </w:r>
    </w:p>
    <w:p>
      <w:pPr>
        <w:spacing w:after="0" w:line="13" w:lineRule="exact"/>
        <w:rPr>
          <w:sz w:val="20"/>
          <w:szCs w:val="20"/>
          <w:color w:val="auto"/>
        </w:rPr>
      </w:pPr>
    </w:p>
    <w:p>
      <w:pPr>
        <w:ind w:right="740"/>
        <w:spacing w:after="0" w:line="255" w:lineRule="auto"/>
        <w:rPr>
          <w:sz w:val="20"/>
          <w:szCs w:val="20"/>
          <w:color w:val="auto"/>
        </w:rPr>
      </w:pPr>
      <w:r>
        <w:rPr>
          <w:rFonts w:ascii="Arial" w:cs="Arial" w:eastAsia="Arial" w:hAnsi="Arial"/>
          <w:sz w:val="14"/>
          <w:szCs w:val="14"/>
          <w:color w:val="auto"/>
        </w:rPr>
        <w:t>reasonable assurance regarding the reliability of financial reporting and the preparation of financial statements for external purposes in accordance with generally accepted accounting principles;</w:t>
      </w:r>
    </w:p>
    <w:p>
      <w:pPr>
        <w:spacing w:after="0" w:line="132" w:lineRule="exact"/>
        <w:rPr>
          <w:sz w:val="20"/>
          <w:szCs w:val="20"/>
          <w:color w:val="auto"/>
        </w:rPr>
      </w:pPr>
    </w:p>
    <w:p>
      <w:pPr>
        <w:ind w:right="260" w:firstLine="757"/>
        <w:spacing w:after="0" w:line="273" w:lineRule="auto"/>
        <w:tabs>
          <w:tab w:leader="none" w:pos="897" w:val="left"/>
        </w:tabs>
        <w:numPr>
          <w:ilvl w:val="1"/>
          <w:numId w:val="4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ind w:right="380" w:firstLine="757"/>
        <w:spacing w:after="0" w:line="312" w:lineRule="auto"/>
        <w:tabs>
          <w:tab w:leader="none" w:pos="905" w:val="left"/>
        </w:tabs>
        <w:numPr>
          <w:ilvl w:val="1"/>
          <w:numId w:val="4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right="540" w:firstLine="477"/>
        <w:spacing w:after="0" w:line="273" w:lineRule="auto"/>
        <w:tabs>
          <w:tab w:leader="none" w:pos="613"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4"/>
          <w:szCs w:val="14"/>
          <w:color w:val="auto"/>
        </w:rPr>
      </w:pPr>
    </w:p>
    <w:p>
      <w:pPr>
        <w:ind w:right="420" w:firstLine="757"/>
        <w:spacing w:after="0" w:line="273" w:lineRule="auto"/>
        <w:tabs>
          <w:tab w:leader="none" w:pos="897" w:val="left"/>
        </w:tabs>
        <w:numPr>
          <w:ilvl w:val="1"/>
          <w:numId w:val="4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right="620" w:firstLine="757"/>
        <w:spacing w:after="0" w:line="493" w:lineRule="auto"/>
        <w:tabs>
          <w:tab w:leader="none" w:pos="904" w:val="left"/>
        </w:tabs>
        <w:numPr>
          <w:ilvl w:val="1"/>
          <w:numId w:val="4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Dated: February 9, 2022</w:t>
      </w:r>
    </w:p>
    <w:p>
      <w:pPr>
        <w:ind w:left="2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Name:</w:t>
            </w:r>
          </w:p>
        </w:tc>
        <w:tc>
          <w:tcPr>
            <w:tcW w:w="388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rPr>
              <w:t>Arthur H. Penn</w:t>
            </w:r>
          </w:p>
        </w:tc>
        <w:tc>
          <w:tcPr>
            <w:tcW w:w="6760" w:type="dxa"/>
            <w:vAlign w:val="bottom"/>
          </w:tcPr>
          <w:p>
            <w:pPr>
              <w:spacing w:after="0"/>
              <w:rPr>
                <w:sz w:val="14"/>
                <w:szCs w:val="14"/>
                <w:color w:val="auto"/>
              </w:rPr>
            </w:pPr>
          </w:p>
        </w:tc>
      </w:tr>
      <w:tr>
        <w:trPr>
          <w:trHeight w:val="182"/>
        </w:trPr>
        <w:tc>
          <w:tcPr>
            <w:tcW w:w="600" w:type="dxa"/>
            <w:vAlign w:val="bottom"/>
          </w:tcPr>
          <w:p>
            <w:pPr>
              <w:ind w:left="20"/>
              <w:spacing w:after="0"/>
              <w:rPr>
                <w:sz w:val="20"/>
                <w:szCs w:val="20"/>
                <w:color w:val="auto"/>
              </w:rPr>
            </w:pPr>
            <w:r>
              <w:rPr>
                <w:rFonts w:ascii="Arial" w:cs="Arial" w:eastAsia="Arial" w:hAnsi="Arial"/>
                <w:sz w:val="14"/>
                <w:szCs w:val="14"/>
                <w:color w:val="auto"/>
              </w:rPr>
              <w:t>Title:</w:t>
            </w:r>
          </w:p>
        </w:tc>
        <w:tc>
          <w:tcPr>
            <w:tcW w:w="3880" w:type="dxa"/>
            <w:vAlign w:val="bottom"/>
          </w:tcPr>
          <w:p>
            <w:pPr>
              <w:ind w:left="180"/>
              <w:spacing w:after="0"/>
              <w:rPr>
                <w:sz w:val="20"/>
                <w:szCs w:val="20"/>
                <w:color w:val="auto"/>
              </w:rPr>
            </w:pPr>
            <w:r>
              <w:rPr>
                <w:rFonts w:ascii="Arial" w:cs="Arial" w:eastAsia="Arial" w:hAnsi="Arial"/>
                <w:sz w:val="14"/>
                <w:szCs w:val="14"/>
                <w:color w:val="auto"/>
              </w:rPr>
              <w:t>Chief Executive Officer</w:t>
            </w:r>
          </w:p>
        </w:tc>
        <w:tc>
          <w:tcPr>
            <w:tcW w:w="6760" w:type="dxa"/>
            <w:vAlign w:val="bottom"/>
          </w:tcPr>
          <w:p>
            <w:pPr>
              <w:spacing w:after="0"/>
              <w:rPr>
                <w:sz w:val="15"/>
                <w:szCs w:val="15"/>
                <w:color w:val="auto"/>
              </w:rPr>
            </w:pPr>
          </w:p>
        </w:tc>
      </w:tr>
      <w:tr>
        <w:trPr>
          <w:trHeight w:val="680"/>
        </w:trPr>
        <w:tc>
          <w:tcPr>
            <w:tcW w:w="6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4"/>
          <w:szCs w:val="14"/>
          <w:b w:val="1"/>
          <w:bCs w:val="1"/>
          <w:color w:val="auto"/>
        </w:rPr>
        <w:t>EXHIBIT 31.2</w:t>
      </w:r>
    </w:p>
    <w:p>
      <w:pPr>
        <w:spacing w:after="0" w:line="162"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17"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 Richard Cheung, Chief Financial Officer of PennantPark Investment Corporation, certify that:</w:t>
      </w:r>
    </w:p>
    <w:p>
      <w:pPr>
        <w:spacing w:after="0" w:line="163" w:lineRule="exact"/>
        <w:rPr>
          <w:sz w:val="20"/>
          <w:szCs w:val="20"/>
          <w:color w:val="auto"/>
        </w:rPr>
      </w:pPr>
    </w:p>
    <w:p>
      <w:pPr>
        <w:ind w:left="620" w:hanging="143"/>
        <w:spacing w:after="0"/>
        <w:tabs>
          <w:tab w:leader="none" w:pos="6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63" w:lineRule="exact"/>
        <w:rPr>
          <w:rFonts w:ascii="Arial" w:cs="Arial" w:eastAsia="Arial" w:hAnsi="Arial"/>
          <w:sz w:val="14"/>
          <w:szCs w:val="14"/>
          <w:color w:val="auto"/>
        </w:rPr>
      </w:pPr>
    </w:p>
    <w:p>
      <w:pPr>
        <w:ind w:right="580" w:firstLine="477"/>
        <w:spacing w:after="0" w:line="273" w:lineRule="auto"/>
        <w:tabs>
          <w:tab w:leader="none" w:pos="613" w:val="left"/>
        </w:tabs>
        <w:numPr>
          <w:ilvl w:val="0"/>
          <w:numId w:val="4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right="460" w:firstLine="477"/>
        <w:spacing w:after="0" w:line="273" w:lineRule="auto"/>
        <w:tabs>
          <w:tab w:leader="none" w:pos="613" w:val="left"/>
        </w:tabs>
        <w:numPr>
          <w:ilvl w:val="0"/>
          <w:numId w:val="4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right="600" w:firstLine="476"/>
        <w:spacing w:after="0" w:line="273" w:lineRule="auto"/>
        <w:tabs>
          <w:tab w:leader="none" w:pos="612"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4"/>
          <w:szCs w:val="14"/>
          <w:color w:val="auto"/>
        </w:rPr>
      </w:pPr>
    </w:p>
    <w:p>
      <w:pPr>
        <w:jc w:val="both"/>
        <w:ind w:right="480" w:firstLine="757"/>
        <w:spacing w:after="0" w:line="257" w:lineRule="auto"/>
        <w:tabs>
          <w:tab w:leader="none" w:pos="919" w:val="left"/>
        </w:tabs>
        <w:numPr>
          <w:ilvl w:val="1"/>
          <w:numId w:val="45"/>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4"/>
          <w:szCs w:val="14"/>
          <w:color w:val="auto"/>
        </w:rPr>
      </w:pPr>
    </w:p>
    <w:p>
      <w:pPr>
        <w:ind w:right="740" w:firstLine="757"/>
        <w:spacing w:after="0" w:line="257" w:lineRule="auto"/>
        <w:tabs>
          <w:tab w:leader="none" w:pos="905" w:val="left"/>
        </w:tabs>
        <w:numPr>
          <w:ilvl w:val="1"/>
          <w:numId w:val="45"/>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4"/>
          <w:szCs w:val="14"/>
          <w:color w:val="auto"/>
        </w:rPr>
      </w:pPr>
    </w:p>
    <w:p>
      <w:pPr>
        <w:ind w:right="260" w:firstLine="757"/>
        <w:spacing w:after="0" w:line="273" w:lineRule="auto"/>
        <w:tabs>
          <w:tab w:leader="none" w:pos="897" w:val="left"/>
        </w:tabs>
        <w:numPr>
          <w:ilvl w:val="1"/>
          <w:numId w:val="4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ind w:right="380" w:firstLine="757"/>
        <w:spacing w:after="0" w:line="312" w:lineRule="auto"/>
        <w:tabs>
          <w:tab w:leader="none" w:pos="905" w:val="left"/>
        </w:tabs>
        <w:numPr>
          <w:ilvl w:val="1"/>
          <w:numId w:val="4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right="540" w:firstLine="477"/>
        <w:spacing w:after="0" w:line="273" w:lineRule="auto"/>
        <w:tabs>
          <w:tab w:leader="none" w:pos="613"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4"/>
          <w:szCs w:val="14"/>
          <w:color w:val="auto"/>
        </w:rPr>
      </w:pPr>
    </w:p>
    <w:p>
      <w:pPr>
        <w:ind w:right="420" w:firstLine="757"/>
        <w:spacing w:after="0" w:line="273" w:lineRule="auto"/>
        <w:tabs>
          <w:tab w:leader="none" w:pos="897" w:val="left"/>
        </w:tabs>
        <w:numPr>
          <w:ilvl w:val="1"/>
          <w:numId w:val="4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right="620" w:firstLine="757"/>
        <w:spacing w:after="0" w:line="493" w:lineRule="auto"/>
        <w:tabs>
          <w:tab w:leader="none" w:pos="904" w:val="left"/>
        </w:tabs>
        <w:numPr>
          <w:ilvl w:val="1"/>
          <w:numId w:val="4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Dated: February 9, 2022</w:t>
      </w:r>
    </w:p>
    <w:p>
      <w:pPr>
        <w:ind w:left="20"/>
        <w:spacing w:after="0"/>
        <w:rPr>
          <w:sz w:val="20"/>
          <w:szCs w:val="20"/>
          <w:color w:val="auto"/>
        </w:rPr>
      </w:pPr>
      <w:r>
        <w:rPr>
          <w:rFonts w:ascii="Arial" w:cs="Arial" w:eastAsia="Arial" w:hAnsi="Arial"/>
          <w:sz w:val="14"/>
          <w:szCs w:val="14"/>
          <w:color w:val="auto"/>
        </w:rPr>
        <w:t>/s/ Richard Cheung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Name:</w:t>
            </w:r>
          </w:p>
        </w:tc>
        <w:tc>
          <w:tcPr>
            <w:tcW w:w="388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Richard Cheung</w:t>
            </w:r>
          </w:p>
        </w:tc>
        <w:tc>
          <w:tcPr>
            <w:tcW w:w="6760" w:type="dxa"/>
            <w:vAlign w:val="bottom"/>
          </w:tcPr>
          <w:p>
            <w:pPr>
              <w:spacing w:after="0"/>
              <w:rPr>
                <w:sz w:val="14"/>
                <w:szCs w:val="14"/>
                <w:color w:val="auto"/>
              </w:rPr>
            </w:pPr>
          </w:p>
        </w:tc>
      </w:tr>
      <w:tr>
        <w:trPr>
          <w:trHeight w:val="182"/>
        </w:trPr>
        <w:tc>
          <w:tcPr>
            <w:tcW w:w="600" w:type="dxa"/>
            <w:vAlign w:val="bottom"/>
          </w:tcPr>
          <w:p>
            <w:pPr>
              <w:ind w:left="20"/>
              <w:spacing w:after="0"/>
              <w:rPr>
                <w:sz w:val="20"/>
                <w:szCs w:val="20"/>
                <w:color w:val="auto"/>
              </w:rPr>
            </w:pPr>
            <w:r>
              <w:rPr>
                <w:rFonts w:ascii="Arial" w:cs="Arial" w:eastAsia="Arial" w:hAnsi="Arial"/>
                <w:sz w:val="14"/>
                <w:szCs w:val="14"/>
                <w:color w:val="auto"/>
              </w:rPr>
              <w:t>Title:</w:t>
            </w:r>
          </w:p>
        </w:tc>
        <w:tc>
          <w:tcPr>
            <w:tcW w:w="3880" w:type="dxa"/>
            <w:vAlign w:val="bottom"/>
          </w:tcPr>
          <w:p>
            <w:pPr>
              <w:ind w:left="200"/>
              <w:spacing w:after="0"/>
              <w:rPr>
                <w:sz w:val="20"/>
                <w:szCs w:val="20"/>
                <w:color w:val="auto"/>
              </w:rPr>
            </w:pPr>
            <w:r>
              <w:rPr>
                <w:rFonts w:ascii="Arial" w:cs="Arial" w:eastAsia="Arial" w:hAnsi="Arial"/>
                <w:sz w:val="14"/>
                <w:szCs w:val="14"/>
                <w:color w:val="auto"/>
              </w:rPr>
              <w:t>Chief Financial Officer</w:t>
            </w:r>
          </w:p>
        </w:tc>
        <w:tc>
          <w:tcPr>
            <w:tcW w:w="6760" w:type="dxa"/>
            <w:vAlign w:val="bottom"/>
          </w:tcPr>
          <w:p>
            <w:pPr>
              <w:spacing w:after="0"/>
              <w:rPr>
                <w:sz w:val="15"/>
                <w:szCs w:val="15"/>
                <w:color w:val="auto"/>
              </w:rPr>
            </w:pPr>
          </w:p>
        </w:tc>
      </w:tr>
      <w:tr>
        <w:trPr>
          <w:trHeight w:val="478"/>
        </w:trPr>
        <w:tc>
          <w:tcPr>
            <w:tcW w:w="6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4"/>
          <w:szCs w:val="14"/>
          <w:b w:val="1"/>
          <w:bCs w:val="1"/>
          <w:color w:val="auto"/>
        </w:rPr>
        <w:t>EXHIBIT 32.1</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3"/>
          <w:szCs w:val="13"/>
          <w:color w:val="auto"/>
        </w:rPr>
        <w:t>In connection with this Report on Form 10-Q for the three months ended December 31, 2021 (the “Report”) of PennantPark Investment Corporation (the “Registrant”), as filed with the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Arthur H. Penn, Chief Executive Officer of the Registrant, hereby certify, to the best of my knowledge, that:</w:t>
      </w:r>
    </w:p>
    <w:p>
      <w:pPr>
        <w:spacing w:after="0" w:line="138" w:lineRule="exact"/>
        <w:rPr>
          <w:sz w:val="20"/>
          <w:szCs w:val="20"/>
          <w:color w:val="auto"/>
        </w:rPr>
      </w:pPr>
    </w:p>
    <w:p>
      <w:pPr>
        <w:ind w:left="780" w:hanging="284"/>
        <w:spacing w:after="0"/>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49" w:lineRule="exact"/>
        <w:rPr>
          <w:rFonts w:ascii="Arial" w:cs="Arial" w:eastAsia="Arial" w:hAnsi="Arial"/>
          <w:sz w:val="14"/>
          <w:szCs w:val="14"/>
          <w:color w:val="auto"/>
        </w:rPr>
      </w:pPr>
    </w:p>
    <w:p>
      <w:pPr>
        <w:ind w:left="780" w:hanging="284"/>
        <w:spacing w:after="0"/>
        <w:tabs>
          <w:tab w:leader="none" w:pos="7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Name:</w:t>
            </w:r>
          </w:p>
        </w:tc>
        <w:tc>
          <w:tcPr>
            <w:tcW w:w="388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Arthur H. Penn</w:t>
            </w:r>
          </w:p>
        </w:tc>
        <w:tc>
          <w:tcPr>
            <w:tcW w:w="6760" w:type="dxa"/>
            <w:vAlign w:val="bottom"/>
          </w:tcPr>
          <w:p>
            <w:pPr>
              <w:spacing w:after="0"/>
              <w:rPr>
                <w:sz w:val="14"/>
                <w:szCs w:val="14"/>
                <w:color w:val="auto"/>
              </w:rPr>
            </w:pPr>
          </w:p>
        </w:tc>
      </w:tr>
      <w:tr>
        <w:trPr>
          <w:trHeight w:val="176"/>
        </w:trPr>
        <w:tc>
          <w:tcPr>
            <w:tcW w:w="600" w:type="dxa"/>
            <w:vAlign w:val="bottom"/>
          </w:tcPr>
          <w:p>
            <w:pPr>
              <w:ind w:left="20"/>
              <w:spacing w:after="0"/>
              <w:rPr>
                <w:sz w:val="20"/>
                <w:szCs w:val="20"/>
                <w:color w:val="auto"/>
              </w:rPr>
            </w:pPr>
            <w:r>
              <w:rPr>
                <w:rFonts w:ascii="Arial" w:cs="Arial" w:eastAsia="Arial" w:hAnsi="Arial"/>
                <w:sz w:val="14"/>
                <w:szCs w:val="14"/>
                <w:color w:val="auto"/>
              </w:rPr>
              <w:t>Title:</w:t>
            </w:r>
          </w:p>
        </w:tc>
        <w:tc>
          <w:tcPr>
            <w:tcW w:w="3880" w:type="dxa"/>
            <w:vAlign w:val="bottom"/>
          </w:tcPr>
          <w:p>
            <w:pPr>
              <w:ind w:left="200"/>
              <w:spacing w:after="0"/>
              <w:rPr>
                <w:sz w:val="20"/>
                <w:szCs w:val="20"/>
                <w:color w:val="auto"/>
              </w:rPr>
            </w:pPr>
            <w:r>
              <w:rPr>
                <w:rFonts w:ascii="Arial" w:cs="Arial" w:eastAsia="Arial" w:hAnsi="Arial"/>
                <w:sz w:val="14"/>
                <w:szCs w:val="14"/>
                <w:color w:val="auto"/>
              </w:rPr>
              <w:t>Chief Executive Officer</w:t>
            </w:r>
          </w:p>
        </w:tc>
        <w:tc>
          <w:tcPr>
            <w:tcW w:w="6760" w:type="dxa"/>
            <w:vAlign w:val="bottom"/>
          </w:tcPr>
          <w:p>
            <w:pPr>
              <w:spacing w:after="0"/>
              <w:rPr>
                <w:sz w:val="15"/>
                <w:szCs w:val="15"/>
                <w:color w:val="auto"/>
              </w:rPr>
            </w:pPr>
          </w:p>
        </w:tc>
      </w:tr>
      <w:tr>
        <w:trPr>
          <w:trHeight w:val="182"/>
        </w:trPr>
        <w:tc>
          <w:tcPr>
            <w:tcW w:w="600" w:type="dxa"/>
            <w:vAlign w:val="bottom"/>
          </w:tcPr>
          <w:p>
            <w:pPr>
              <w:ind w:left="20"/>
              <w:spacing w:after="0"/>
              <w:rPr>
                <w:sz w:val="20"/>
                <w:szCs w:val="20"/>
                <w:color w:val="auto"/>
              </w:rPr>
            </w:pPr>
            <w:r>
              <w:rPr>
                <w:rFonts w:ascii="Arial" w:cs="Arial" w:eastAsia="Arial" w:hAnsi="Arial"/>
                <w:sz w:val="14"/>
                <w:szCs w:val="14"/>
                <w:color w:val="auto"/>
              </w:rPr>
              <w:t>Date:</w:t>
            </w:r>
          </w:p>
        </w:tc>
        <w:tc>
          <w:tcPr>
            <w:tcW w:w="3880" w:type="dxa"/>
            <w:vAlign w:val="bottom"/>
          </w:tcPr>
          <w:p>
            <w:pPr>
              <w:ind w:left="200"/>
              <w:spacing w:after="0"/>
              <w:rPr>
                <w:sz w:val="20"/>
                <w:szCs w:val="20"/>
                <w:color w:val="auto"/>
              </w:rPr>
            </w:pPr>
            <w:r>
              <w:rPr>
                <w:rFonts w:ascii="Arial" w:cs="Arial" w:eastAsia="Arial" w:hAnsi="Arial"/>
                <w:sz w:val="14"/>
                <w:szCs w:val="14"/>
                <w:color w:val="auto"/>
              </w:rPr>
              <w:t>February 9, 2022</w:t>
            </w:r>
          </w:p>
        </w:tc>
        <w:tc>
          <w:tcPr>
            <w:tcW w:w="6760" w:type="dxa"/>
            <w:vAlign w:val="bottom"/>
          </w:tcPr>
          <w:p>
            <w:pPr>
              <w:spacing w:after="0"/>
              <w:rPr>
                <w:sz w:val="15"/>
                <w:szCs w:val="15"/>
                <w:color w:val="auto"/>
              </w:rPr>
            </w:pPr>
          </w:p>
        </w:tc>
      </w:tr>
      <w:tr>
        <w:trPr>
          <w:trHeight w:val="451"/>
        </w:trPr>
        <w:tc>
          <w:tcPr>
            <w:tcW w:w="6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4"/>
          <w:szCs w:val="14"/>
          <w:b w:val="1"/>
          <w:bCs w:val="1"/>
          <w:color w:val="auto"/>
        </w:rPr>
        <w:t>EXHIBIT 32.2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3"/>
          <w:szCs w:val="13"/>
          <w:color w:val="auto"/>
        </w:rPr>
        <w:t>In connection with this Report on Form 10-Q for the three months ended December 31, 2021 (the “Report”) of PennantPark Investment Corporation (the “Registrant”), as filed with the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Richard Cheung, Chief Financial Officer of the Registrant, hereby certify, to the best of my knowledge, that:</w:t>
      </w:r>
    </w:p>
    <w:p>
      <w:pPr>
        <w:spacing w:after="0" w:line="138" w:lineRule="exact"/>
        <w:rPr>
          <w:sz w:val="20"/>
          <w:szCs w:val="20"/>
          <w:color w:val="auto"/>
        </w:rPr>
      </w:pPr>
    </w:p>
    <w:p>
      <w:pPr>
        <w:ind w:left="780" w:hanging="284"/>
        <w:spacing w:after="0"/>
        <w:tabs>
          <w:tab w:leader="none" w:pos="7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49" w:lineRule="exact"/>
        <w:rPr>
          <w:rFonts w:ascii="Arial" w:cs="Arial" w:eastAsia="Arial" w:hAnsi="Arial"/>
          <w:sz w:val="14"/>
          <w:szCs w:val="14"/>
          <w:color w:val="auto"/>
        </w:rPr>
      </w:pPr>
    </w:p>
    <w:p>
      <w:pPr>
        <w:ind w:left="780" w:hanging="284"/>
        <w:spacing w:after="0"/>
        <w:tabs>
          <w:tab w:leader="none" w:pos="7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Richard Cheung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Name:</w:t>
            </w:r>
          </w:p>
        </w:tc>
        <w:tc>
          <w:tcPr>
            <w:tcW w:w="388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Richard Cheung</w:t>
            </w:r>
          </w:p>
        </w:tc>
        <w:tc>
          <w:tcPr>
            <w:tcW w:w="6760" w:type="dxa"/>
            <w:vAlign w:val="bottom"/>
          </w:tcPr>
          <w:p>
            <w:pPr>
              <w:spacing w:after="0"/>
              <w:rPr>
                <w:sz w:val="14"/>
                <w:szCs w:val="14"/>
                <w:color w:val="auto"/>
              </w:rPr>
            </w:pPr>
          </w:p>
        </w:tc>
      </w:tr>
      <w:tr>
        <w:trPr>
          <w:trHeight w:val="176"/>
        </w:trPr>
        <w:tc>
          <w:tcPr>
            <w:tcW w:w="600" w:type="dxa"/>
            <w:vAlign w:val="bottom"/>
          </w:tcPr>
          <w:p>
            <w:pPr>
              <w:ind w:left="20"/>
              <w:spacing w:after="0"/>
              <w:rPr>
                <w:sz w:val="20"/>
                <w:szCs w:val="20"/>
                <w:color w:val="auto"/>
              </w:rPr>
            </w:pPr>
            <w:r>
              <w:rPr>
                <w:rFonts w:ascii="Arial" w:cs="Arial" w:eastAsia="Arial" w:hAnsi="Arial"/>
                <w:sz w:val="14"/>
                <w:szCs w:val="14"/>
                <w:color w:val="auto"/>
              </w:rPr>
              <w:t>Title:</w:t>
            </w:r>
          </w:p>
        </w:tc>
        <w:tc>
          <w:tcPr>
            <w:tcW w:w="3880" w:type="dxa"/>
            <w:vAlign w:val="bottom"/>
          </w:tcPr>
          <w:p>
            <w:pPr>
              <w:ind w:left="200"/>
              <w:spacing w:after="0"/>
              <w:rPr>
                <w:sz w:val="20"/>
                <w:szCs w:val="20"/>
                <w:color w:val="auto"/>
              </w:rPr>
            </w:pPr>
            <w:r>
              <w:rPr>
                <w:rFonts w:ascii="Arial" w:cs="Arial" w:eastAsia="Arial" w:hAnsi="Arial"/>
                <w:sz w:val="14"/>
                <w:szCs w:val="14"/>
                <w:color w:val="auto"/>
              </w:rPr>
              <w:t>Chief Financial Officer</w:t>
            </w:r>
          </w:p>
        </w:tc>
        <w:tc>
          <w:tcPr>
            <w:tcW w:w="6760" w:type="dxa"/>
            <w:vAlign w:val="bottom"/>
          </w:tcPr>
          <w:p>
            <w:pPr>
              <w:spacing w:after="0"/>
              <w:rPr>
                <w:sz w:val="15"/>
                <w:szCs w:val="15"/>
                <w:color w:val="auto"/>
              </w:rPr>
            </w:pPr>
          </w:p>
        </w:tc>
      </w:tr>
      <w:tr>
        <w:trPr>
          <w:trHeight w:val="182"/>
        </w:trPr>
        <w:tc>
          <w:tcPr>
            <w:tcW w:w="600" w:type="dxa"/>
            <w:vAlign w:val="bottom"/>
          </w:tcPr>
          <w:p>
            <w:pPr>
              <w:ind w:left="20"/>
              <w:spacing w:after="0"/>
              <w:rPr>
                <w:sz w:val="20"/>
                <w:szCs w:val="20"/>
                <w:color w:val="auto"/>
              </w:rPr>
            </w:pPr>
            <w:r>
              <w:rPr>
                <w:rFonts w:ascii="Arial" w:cs="Arial" w:eastAsia="Arial" w:hAnsi="Arial"/>
                <w:sz w:val="14"/>
                <w:szCs w:val="14"/>
                <w:color w:val="auto"/>
              </w:rPr>
              <w:t>Date:</w:t>
            </w:r>
          </w:p>
        </w:tc>
        <w:tc>
          <w:tcPr>
            <w:tcW w:w="3880" w:type="dxa"/>
            <w:vAlign w:val="bottom"/>
          </w:tcPr>
          <w:p>
            <w:pPr>
              <w:ind w:left="200"/>
              <w:spacing w:after="0"/>
              <w:rPr>
                <w:sz w:val="20"/>
                <w:szCs w:val="20"/>
                <w:color w:val="auto"/>
              </w:rPr>
            </w:pPr>
            <w:r>
              <w:rPr>
                <w:rFonts w:ascii="Arial" w:cs="Arial" w:eastAsia="Arial" w:hAnsi="Arial"/>
                <w:sz w:val="14"/>
                <w:szCs w:val="14"/>
                <w:color w:val="auto"/>
              </w:rPr>
              <w:t>February 9, 2022</w:t>
            </w:r>
          </w:p>
        </w:tc>
        <w:tc>
          <w:tcPr>
            <w:tcW w:w="6760" w:type="dxa"/>
            <w:vAlign w:val="bottom"/>
          </w:tcPr>
          <w:p>
            <w:pPr>
              <w:spacing w:after="0"/>
              <w:rPr>
                <w:sz w:val="15"/>
                <w:szCs w:val="15"/>
                <w:color w:val="auto"/>
              </w:rPr>
            </w:pPr>
          </w:p>
        </w:tc>
      </w:tr>
      <w:tr>
        <w:trPr>
          <w:trHeight w:val="478"/>
        </w:trPr>
        <w:tc>
          <w:tcPr>
            <w:tcW w:w="6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lowerLetter"/>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lowerLetter"/>
      <w:start w:val="2"/>
    </w:lvl>
  </w:abstractNum>
  <w:abstractNum w:abstractNumId="7">
    <w:nsid w:val="71F32454"/>
    <w:multiLevelType w:val="hybridMultilevel"/>
    <w:lvl w:ilvl="0">
      <w:lvlJc w:val="left"/>
      <w:lvlText w:val="(%1)"/>
      <w:numFmt w:val="lowerLetter"/>
      <w:start w:val="3"/>
    </w:lvl>
  </w:abstractNum>
  <w:abstractNum w:abstractNumId="8">
    <w:nsid w:val="2CA88611"/>
    <w:multiLevelType w:val="hybridMultilevel"/>
    <w:lvl w:ilvl="0">
      <w:lvlJc w:val="left"/>
      <w:lvlText w:val="(%1)"/>
      <w:numFmt w:val="lowerLetter"/>
      <w:start w:val="4"/>
    </w:lvl>
  </w:abstractNum>
  <w:abstractNum w:abstractNumId="9">
    <w:nsid w:val="836C40E"/>
    <w:multiLevelType w:val="hybridMultilevel"/>
    <w:lvl w:ilvl="0">
      <w:lvlJc w:val="left"/>
      <w:lvlText w:val="(%1)"/>
      <w:numFmt w:val="lowerLetter"/>
      <w:start w:val="5"/>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lowerLetter"/>
      <w:start w:val="6"/>
    </w:lvl>
  </w:abstractNum>
  <w:abstractNum w:abstractNumId="12">
    <w:nsid w:val="8138641"/>
    <w:multiLevelType w:val="hybridMultilevel"/>
    <w:lvl w:ilvl="0">
      <w:lvlJc w:val="left"/>
      <w:lvlText w:val="(%1)"/>
      <w:numFmt w:val="lowerLetter"/>
      <w:start w:val="7"/>
    </w:lvl>
  </w:abstractNum>
  <w:abstractNum w:abstractNumId="13">
    <w:nsid w:val="1E7FF521"/>
    <w:multiLevelType w:val="hybridMultilevel"/>
    <w:lvl w:ilvl="0">
      <w:lvlJc w:val="left"/>
      <w:lvlText w:val="(%1)"/>
      <w:numFmt w:val="lowerLetter"/>
      <w:start w:val="8"/>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lowerLetter"/>
      <w:start w:val="1"/>
    </w:lvl>
  </w:abstractNum>
  <w:abstractNum w:abstractNumId="29">
    <w:nsid w:val="2463B9EA"/>
    <w:multiLevelType w:val="hybridMultilevel"/>
    <w:lvl w:ilvl="0">
      <w:lvlJc w:val="left"/>
      <w:lvlText w:val="%1)"/>
      <w:numFmt w:val="lowerLetter"/>
      <w:start w:val="2"/>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
    </w:lvl>
    <w:lvl w:ilvl="1">
      <w:lvlJc w:val="left"/>
      <w:lvlText w:val="%2)"/>
      <w:numFmt w:val="lowerLetter"/>
      <w:start w:val="1"/>
    </w:lvl>
  </w:abstractNum>
  <w:abstractNum w:abstractNumId="42">
    <w:nsid w:val="57E4CCAF"/>
    <w:multiLevelType w:val="hybridMultilevel"/>
    <w:lvl w:ilvl="0">
      <w:lvlJc w:val="left"/>
      <w:lvlText w:val="%1"/>
      <w:numFmt w:val="decimal"/>
      <w:start w:val="1"/>
    </w:lvl>
    <w:lvl w:ilvl="1">
      <w:lvlJc w:val="left"/>
      <w:lvlText w:val="%2)"/>
      <w:numFmt w:val="lowerLetter"/>
      <w:start w:val="3"/>
    </w:lvl>
  </w:abstractNum>
  <w:abstractNum w:abstractNumId="43">
    <w:nsid w:val="7A6D8D3C"/>
    <w:multiLevelType w:val="hybridMultilevel"/>
    <w:lvl w:ilvl="0">
      <w:lvlJc w:val="left"/>
      <w:lvlText w:val="%1."/>
      <w:numFmt w:val="decimal"/>
      <w:start w:val="5"/>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8" Type="http://schemas.openxmlformats.org/officeDocument/2006/relationships/image" Target="media/image537.png"/><Relationship Id="rId549" Type="http://schemas.openxmlformats.org/officeDocument/2006/relationships/image" Target="media/image538.png"/><Relationship Id="rId550" Type="http://schemas.openxmlformats.org/officeDocument/2006/relationships/image" Target="media/image539.png"/><Relationship Id="rId551" Type="http://schemas.openxmlformats.org/officeDocument/2006/relationships/image" Target="media/image540.png"/><Relationship Id="rId552" Type="http://schemas.openxmlformats.org/officeDocument/2006/relationships/image" Target="media/image541.png"/><Relationship Id="rId553" Type="http://schemas.openxmlformats.org/officeDocument/2006/relationships/image" Target="media/image542.png"/><Relationship Id="rId554" Type="http://schemas.openxmlformats.org/officeDocument/2006/relationships/image" Target="media/image543.png"/><Relationship Id="rId555" Type="http://schemas.openxmlformats.org/officeDocument/2006/relationships/image" Target="media/image544.png"/><Relationship Id="rId556" Type="http://schemas.openxmlformats.org/officeDocument/2006/relationships/image" Target="media/image545.png"/><Relationship Id="rId557" Type="http://schemas.openxmlformats.org/officeDocument/2006/relationships/image" Target="media/image546.png"/><Relationship Id="rId558" Type="http://schemas.openxmlformats.org/officeDocument/2006/relationships/image" Target="media/image547.png"/><Relationship Id="rId559" Type="http://schemas.openxmlformats.org/officeDocument/2006/relationships/image" Target="media/image548.png"/><Relationship Id="rId560" Type="http://schemas.openxmlformats.org/officeDocument/2006/relationships/image" Target="media/image549.png"/><Relationship Id="rId544" Type="http://schemas.openxmlformats.org/officeDocument/2006/relationships/hyperlink" Target="https://www.sec.gov/Archives/edgar/data/1383414/000119312507075646/dex99a.htm" TargetMode="External"/><Relationship Id="rId545" Type="http://schemas.openxmlformats.org/officeDocument/2006/relationships/hyperlink" Target="https://www.sec.gov/Archives/edgar/data/1383414/000156459020024172/pnnt-ex32_163.htm" TargetMode="External"/><Relationship Id="rId546" Type="http://schemas.openxmlformats.org/officeDocument/2006/relationships/hyperlink" Target="https://www.sec.gov/Archives/edgar/data/1383414/000119312508072557/dex99d1.htm" TargetMode="External"/><Relationship Id="rId547" Type="http://schemas.openxmlformats.org/officeDocument/2006/relationships/hyperlink" Target="https://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2022-02-09T15:18:53Z</dcterms:created>
  <dcterms:modified xsi:type="dcterms:W3CDTF">2022-02-09T15:18:53Z</dcterms:modified>
</cp:coreProperties>
</file>