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860"/>
        <w:spacing w:after="0"/>
        <w:rPr>
          <w:sz w:val="20"/>
          <w:szCs w:val="20"/>
          <w:color w:val="auto"/>
        </w:rPr>
      </w:pPr>
      <w:r>
        <w:rPr>
          <w:rFonts w:ascii="Arial" w:cs="Arial" w:eastAsia="Arial" w:hAnsi="Arial"/>
          <w:sz w:val="18"/>
          <w:szCs w:val="18"/>
          <w:color w:val="auto"/>
        </w:rPr>
        <w:t>One International Place, 40th Floor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1029335" cy="351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spacing w:after="0" w:line="3" w:lineRule="exact"/>
        <w:rPr>
          <w:sz w:val="24"/>
          <w:szCs w:val="24"/>
          <w:color w:val="auto"/>
        </w:rPr>
      </w:pPr>
    </w:p>
    <w:p>
      <w:pPr>
        <w:ind w:left="5860"/>
        <w:spacing w:after="0"/>
        <w:rPr>
          <w:sz w:val="20"/>
          <w:szCs w:val="20"/>
          <w:color w:val="auto"/>
        </w:rPr>
      </w:pPr>
      <w:r>
        <w:rPr>
          <w:rFonts w:ascii="Arial" w:cs="Arial" w:eastAsia="Arial" w:hAnsi="Arial"/>
          <w:sz w:val="18"/>
          <w:szCs w:val="18"/>
          <w:color w:val="auto"/>
        </w:rPr>
        <w:t>100 Oliver Street</w:t>
      </w:r>
    </w:p>
    <w:p>
      <w:pPr>
        <w:spacing w:after="0" w:line="9" w:lineRule="exact"/>
        <w:rPr>
          <w:sz w:val="24"/>
          <w:szCs w:val="24"/>
          <w:color w:val="auto"/>
        </w:rPr>
      </w:pPr>
    </w:p>
    <w:p>
      <w:pPr>
        <w:ind w:left="5860"/>
        <w:spacing w:after="0"/>
        <w:rPr>
          <w:sz w:val="20"/>
          <w:szCs w:val="20"/>
          <w:color w:val="auto"/>
        </w:rPr>
      </w:pPr>
      <w:r>
        <w:rPr>
          <w:rFonts w:ascii="Arial" w:cs="Arial" w:eastAsia="Arial" w:hAnsi="Arial"/>
          <w:sz w:val="18"/>
          <w:szCs w:val="18"/>
          <w:color w:val="auto"/>
        </w:rPr>
        <w:t>Boston, MA 02110-2605</w:t>
      </w:r>
    </w:p>
    <w:p>
      <w:pPr>
        <w:spacing w:after="0" w:line="9" w:lineRule="exact"/>
        <w:rPr>
          <w:sz w:val="24"/>
          <w:szCs w:val="24"/>
          <w:color w:val="auto"/>
        </w:rPr>
      </w:pPr>
    </w:p>
    <w:p>
      <w:pPr>
        <w:ind w:left="5860"/>
        <w:spacing w:after="0"/>
        <w:rPr>
          <w:sz w:val="20"/>
          <w:szCs w:val="20"/>
          <w:color w:val="auto"/>
        </w:rPr>
      </w:pPr>
      <w:r>
        <w:rPr>
          <w:rFonts w:ascii="Arial" w:cs="Arial" w:eastAsia="Arial" w:hAnsi="Arial"/>
          <w:sz w:val="18"/>
          <w:szCs w:val="18"/>
          <w:color w:val="auto"/>
        </w:rPr>
        <w:t>+1 617 728 7100 Main</w:t>
      </w:r>
    </w:p>
    <w:p>
      <w:pPr>
        <w:spacing w:after="0" w:line="9" w:lineRule="exact"/>
        <w:rPr>
          <w:sz w:val="24"/>
          <w:szCs w:val="24"/>
          <w:color w:val="auto"/>
        </w:rPr>
      </w:pPr>
    </w:p>
    <w:p>
      <w:pPr>
        <w:ind w:left="5860"/>
        <w:spacing w:after="0"/>
        <w:rPr>
          <w:sz w:val="20"/>
          <w:szCs w:val="20"/>
          <w:color w:val="auto"/>
        </w:rPr>
      </w:pPr>
      <w:r>
        <w:rPr>
          <w:rFonts w:ascii="Arial" w:cs="Arial" w:eastAsia="Arial" w:hAnsi="Arial"/>
          <w:sz w:val="18"/>
          <w:szCs w:val="18"/>
          <w:color w:val="auto"/>
        </w:rPr>
        <w:t>+1 617 426 6567 Fax</w:t>
      </w:r>
    </w:p>
    <w:p>
      <w:pPr>
        <w:spacing w:after="0" w:line="9" w:lineRule="exact"/>
        <w:rPr>
          <w:sz w:val="24"/>
          <w:szCs w:val="24"/>
          <w:color w:val="auto"/>
        </w:rPr>
      </w:pPr>
    </w:p>
    <w:p>
      <w:pPr>
        <w:ind w:left="5860"/>
        <w:spacing w:after="0"/>
        <w:rPr>
          <w:sz w:val="20"/>
          <w:szCs w:val="20"/>
          <w:color w:val="auto"/>
        </w:rPr>
      </w:pPr>
      <w:r>
        <w:rPr>
          <w:rFonts w:ascii="Arial" w:cs="Arial" w:eastAsia="Arial" w:hAnsi="Arial"/>
          <w:sz w:val="18"/>
          <w:szCs w:val="18"/>
          <w:color w:val="auto"/>
        </w:rPr>
        <w:t>www.dechert.com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3719830</wp:posOffset>
            </wp:positionH>
            <wp:positionV relativeFrom="paragraph">
              <wp:posOffset>151765</wp:posOffset>
            </wp:positionV>
            <wp:extent cx="32848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5860"/>
        <w:spacing w:after="0"/>
        <w:rPr>
          <w:sz w:val="20"/>
          <w:szCs w:val="20"/>
          <w:color w:val="auto"/>
        </w:rPr>
      </w:pPr>
      <w:r>
        <w:rPr>
          <w:rFonts w:ascii="Arial" w:cs="Arial" w:eastAsia="Arial" w:hAnsi="Arial"/>
          <w:sz w:val="18"/>
          <w:szCs w:val="18"/>
          <w:b w:val="1"/>
          <w:bCs w:val="1"/>
          <w:color w:val="auto"/>
        </w:rPr>
        <w:t>THOMAS FRIEDMANN</w:t>
      </w:r>
    </w:p>
    <w:p>
      <w:pPr>
        <w:spacing w:after="0" w:line="27" w:lineRule="exact"/>
        <w:rPr>
          <w:sz w:val="24"/>
          <w:szCs w:val="24"/>
          <w:color w:val="auto"/>
        </w:rPr>
      </w:pPr>
    </w:p>
    <w:p>
      <w:pPr>
        <w:ind w:left="5860"/>
        <w:spacing w:after="0"/>
        <w:rPr>
          <w:sz w:val="20"/>
          <w:szCs w:val="20"/>
          <w:color w:val="auto"/>
        </w:rPr>
      </w:pPr>
      <w:r>
        <w:rPr>
          <w:rFonts w:ascii="Arial" w:cs="Arial" w:eastAsia="Arial" w:hAnsi="Arial"/>
          <w:sz w:val="18"/>
          <w:szCs w:val="18"/>
          <w:color w:val="auto"/>
        </w:rPr>
        <w:t>thomas.friedmann@dechert.com</w:t>
      </w:r>
    </w:p>
    <w:p>
      <w:pPr>
        <w:spacing w:after="0" w:line="9" w:lineRule="exact"/>
        <w:rPr>
          <w:sz w:val="24"/>
          <w:szCs w:val="24"/>
          <w:color w:val="auto"/>
        </w:rPr>
      </w:pPr>
    </w:p>
    <w:p>
      <w:pPr>
        <w:ind w:left="5860"/>
        <w:spacing w:after="0"/>
        <w:rPr>
          <w:sz w:val="20"/>
          <w:szCs w:val="20"/>
          <w:color w:val="auto"/>
        </w:rPr>
      </w:pPr>
      <w:r>
        <w:rPr>
          <w:rFonts w:ascii="Arial" w:cs="Arial" w:eastAsia="Arial" w:hAnsi="Arial"/>
          <w:sz w:val="18"/>
          <w:szCs w:val="18"/>
          <w:color w:val="auto"/>
        </w:rPr>
        <w:t>+1 617 728 7120 Direct</w:t>
      </w:r>
    </w:p>
    <w:p>
      <w:pPr>
        <w:spacing w:after="0" w:line="332" w:lineRule="exact"/>
        <w:rPr>
          <w:sz w:val="24"/>
          <w:szCs w:val="24"/>
          <w:color w:val="auto"/>
        </w:rPr>
      </w:pPr>
    </w:p>
    <w:p>
      <w:pPr>
        <w:spacing w:after="0"/>
        <w:rPr>
          <w:sz w:val="20"/>
          <w:szCs w:val="20"/>
          <w:color w:val="auto"/>
        </w:rPr>
      </w:pPr>
      <w:r>
        <w:rPr>
          <w:rFonts w:ascii="Arial" w:cs="Arial" w:eastAsia="Arial" w:hAnsi="Arial"/>
          <w:sz w:val="18"/>
          <w:szCs w:val="18"/>
          <w:color w:val="auto"/>
        </w:rPr>
        <w:t>April 26, 2019</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John Ganley and Megan Miller</w:t>
      </w:r>
    </w:p>
    <w:p>
      <w:pPr>
        <w:spacing w:after="0" w:line="238" w:lineRule="exact"/>
        <w:rPr>
          <w:sz w:val="24"/>
          <w:szCs w:val="24"/>
          <w:color w:val="auto"/>
        </w:rPr>
      </w:pPr>
    </w:p>
    <w:p>
      <w:pPr>
        <w:ind w:left="560"/>
        <w:spacing w:after="0"/>
        <w:tabs>
          <w:tab w:leader="none" w:pos="9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PennantPark Investment Corporation</w:t>
      </w:r>
    </w:p>
    <w:p>
      <w:pPr>
        <w:spacing w:after="0" w:line="23" w:lineRule="exact"/>
        <w:rPr>
          <w:sz w:val="24"/>
          <w:szCs w:val="24"/>
          <w:color w:val="auto"/>
        </w:rPr>
      </w:pPr>
    </w:p>
    <w:p>
      <w:pPr>
        <w:ind w:left="980"/>
        <w:spacing w:after="0"/>
        <w:rPr>
          <w:sz w:val="20"/>
          <w:szCs w:val="20"/>
          <w:color w:val="auto"/>
        </w:rPr>
      </w:pPr>
      <w:r>
        <w:rPr>
          <w:rFonts w:ascii="Arial" w:cs="Arial" w:eastAsia="Arial" w:hAnsi="Arial"/>
          <w:sz w:val="18"/>
          <w:szCs w:val="18"/>
          <w:color w:val="auto"/>
        </w:rPr>
        <w:t>Pre-Effective Amendment No. 1 to Registration Statement on Form N-2</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File Number 333-230014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00"/>
        <w:spacing w:after="0" w:line="302" w:lineRule="auto"/>
        <w:rPr>
          <w:sz w:val="20"/>
          <w:szCs w:val="20"/>
          <w:color w:val="auto"/>
        </w:rPr>
      </w:pPr>
      <w:r>
        <w:rPr>
          <w:rFonts w:ascii="Arial" w:cs="Arial" w:eastAsia="Arial" w:hAnsi="Arial"/>
          <w:sz w:val="16"/>
          <w:szCs w:val="16"/>
          <w:color w:val="auto"/>
        </w:rPr>
        <w:t>On behalf of PennantPark Investment Corporation,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we hereby respond to the comments raised by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pursuant to a telephone call on April 15, 2019 between Megan Miller of the Staff and Stephen Pratt of Dechert LLP, outside counsel to the Company, regarding Pre-Effective Amendment No. 1 to the Company’s Registration Statement on Form N-2 (Registration No. 333-230014) (as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the prospectus included therein.</w:t>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For your convenience, a transcription of the Staff’s comments is included in this letter, and each comment is followed by the applicable response.</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Capitalized terms used in this letter and not otherwise defined herein shall have the meanings specified in the Registration Statement.</w:t>
      </w: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ACCOUNTING COMMENTS</w:t>
      </w:r>
    </w:p>
    <w:p>
      <w:pPr>
        <w:spacing w:after="0" w:line="131" w:lineRule="exact"/>
        <w:rPr>
          <w:sz w:val="24"/>
          <w:szCs w:val="24"/>
          <w:color w:val="auto"/>
        </w:rPr>
      </w:pPr>
    </w:p>
    <w:p>
      <w:pPr>
        <w:ind w:left="860" w:right="20" w:hanging="424"/>
        <w:spacing w:after="0" w:line="282" w:lineRule="auto"/>
        <w:tabs>
          <w:tab w:leader="none" w:pos="8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With respect to the Senior Securities table, please supplementally explain why the asset coverage was calculated using the fair value of senior securities. Please refer to the November 17, 2015 AICPA Expert Panel Meeting Minutes.</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Company hereby acknowledges the Staff’s comment. The Company has historically calculated asset coverage in the Senior Securities table using the fair value of senior securities based on prior discussions with the Staff. The Company will calculate asset coverage for future periods included in the Senior Securities table based on par, not fair value.</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Supplementally, enclosed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an updated Senior Securities table showing all asset coverage calculations based on par.</w:t>
      </w:r>
    </w:p>
    <w:p>
      <w:pPr>
        <w:spacing w:after="0" w:line="127" w:lineRule="exact"/>
        <w:rPr>
          <w:sz w:val="24"/>
          <w:szCs w:val="24"/>
          <w:color w:val="auto"/>
        </w:rPr>
      </w:pPr>
    </w:p>
    <w:p>
      <w:pPr>
        <w:ind w:left="860" w:hanging="424"/>
        <w:spacing w:after="0"/>
        <w:tabs>
          <w:tab w:leader="none" w:pos="8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explain when the make-whole premium will be recorded on the Company’s books and records.</w:t>
      </w:r>
    </w:p>
    <w:p>
      <w:pPr>
        <w:sectPr>
          <w:pgSz w:w="11900" w:h="16838" w:orient="portrait"/>
          <w:cols w:equalWidth="0" w:num="1">
            <w:col w:w="10960"/>
          </w:cols>
          <w:pgMar w:left="440" w:top="233" w:right="499" w:bottom="1440" w:gutter="0" w:footer="0" w:header="0"/>
        </w:sectPr>
      </w:pPr>
    </w:p>
    <w:bookmarkStart w:id="1" w:name="page2"/>
    <w:bookmarkEnd w:id="1"/>
    <w:p>
      <w:pPr>
        <w:ind w:left="5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1029335" cy="351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April 26, 2019</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Page 2</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hereby acknowledges the Staff’s comment. The Company redeemed 100% of its $250.0 million aggregate principal amount of 4.500% notes due 2019 (the “</w:t>
      </w:r>
      <w:r>
        <w:rPr>
          <w:rFonts w:ascii="Arial" w:cs="Arial" w:eastAsia="Arial" w:hAnsi="Arial"/>
          <w:sz w:val="16"/>
          <w:szCs w:val="16"/>
          <w:u w:val="single" w:color="auto"/>
          <w:color w:val="auto"/>
        </w:rPr>
        <w:t>2019 Notes</w:t>
      </w:r>
      <w:r>
        <w:rPr>
          <w:rFonts w:ascii="Arial" w:cs="Arial" w:eastAsia="Arial" w:hAnsi="Arial"/>
          <w:sz w:val="16"/>
          <w:szCs w:val="16"/>
          <w:color w:val="auto"/>
        </w:rPr>
        <w:t>”) on March 4, 2019. Pursuant to the indenture governing the 2019 Notes, the make-whole premium payable upon redemption of the 2019 Note could not be calculated until immediately prior to such redemption. Accordingly, the make-whole premium was recorded on the Company’s books and records at that time when it was both certain and determinable and will be reflected in the Company’s quarterly financial statements for the fiscal quarter ending March 31, 2019. Supplementally, the Company notes that the redemption of the 2019 Notes was funded in part with proceeds from a new credit facility which was approved by the Company’s board of directors and closed in February 2019.</w:t>
      </w:r>
    </w:p>
    <w:p>
      <w:pPr>
        <w:spacing w:after="0" w:line="188" w:lineRule="exact"/>
        <w:rPr>
          <w:sz w:val="20"/>
          <w:szCs w:val="20"/>
          <w:color w:val="auto"/>
        </w:rPr>
      </w:pPr>
    </w:p>
    <w:p>
      <w:pPr>
        <w:ind w:left="860" w:hanging="424"/>
        <w:spacing w:after="0" w:line="261" w:lineRule="auto"/>
        <w:tabs>
          <w:tab w:leader="none" w:pos="8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The Staff notes ASU 2016-01 requires entities to disclose the changes in fair value attributable to instrument-specific credit risk of liabilities for which the fair value option is elected in other comprehensive income. Please supplementally explain why no disclosure was deemed necessary for the positions in which the fair value option was elected. Please refer to the September 19, 2017 AICPA Expert Panel Meeting Minutes.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Company hereby acknowledges the Staff’s comment and supplementally confirms that it considered ASU 2016-01 and the September 19, 2017 AICPA Expert Panel Meeting Minutes for liabilities recorded at fair value on its balance sheet. The Company respectfully submits that, although the Company marks its liabilities considering instrument specific risks, changes in instrument specific-risks were immaterial for the periods covered. The Company will continue to monitor instrument-specific risks going forward and make appropriate disclosures pursuant to ASU 2016-01 and the September 19, 2017 AICPA Expert Panel Meeting Minutes to the extent applicable.</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 * * * * * * *</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you have any questions, please feel free to contact the undersigned by telephone at 617.728.7120 (or by email at thomas.friedmann@dechert.com).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cooperation and attention to this matter.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Thomas J. Friedmann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374" w:lineRule="exact"/>
        <w:rPr>
          <w:sz w:val="20"/>
          <w:szCs w:val="20"/>
          <w:color w:val="auto"/>
        </w:rPr>
      </w:pPr>
    </w:p>
    <w:p>
      <w:pPr>
        <w:ind w:left="440" w:right="6420" w:hanging="436"/>
        <w:spacing w:after="0" w:line="308" w:lineRule="auto"/>
        <w:tabs>
          <w:tab w:leader="none" w:pos="432" w:val="left"/>
        </w:tabs>
        <w:numPr>
          <w:ilvl w:val="0"/>
          <w:numId w:val="4"/>
        </w:numPr>
        <w:rPr>
          <w:rFonts w:ascii="Arial" w:cs="Arial" w:eastAsia="Arial" w:hAnsi="Arial"/>
          <w:sz w:val="17"/>
          <w:szCs w:val="17"/>
          <w:color w:val="auto"/>
        </w:rPr>
      </w:pPr>
      <w:r>
        <w:rPr>
          <w:rFonts w:ascii="Arial" w:cs="Arial" w:eastAsia="Arial" w:hAnsi="Arial"/>
          <w:sz w:val="17"/>
          <w:szCs w:val="17"/>
          <w:color w:val="auto"/>
        </w:rPr>
        <w:t>Arthur H. Penn, PennantPark Investment Advisers, LLC Aviv Efrat, PennantPark Investment Corporation</w:t>
      </w:r>
    </w:p>
    <w:p>
      <w:pPr>
        <w:sectPr>
          <w:pgSz w:w="11900" w:h="16838" w:orient="portrait"/>
          <w:cols w:equalWidth="0" w:num="1">
            <w:col w:w="10920"/>
          </w:cols>
          <w:pgMar w:left="440" w:top="274" w:right="5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SENIOR SECURITIES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Total Amount</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Asset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 and Year</w:t>
            </w:r>
          </w:p>
        </w:tc>
        <w:tc>
          <w:tcPr>
            <w:tcW w:w="18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w w:val="90"/>
              </w:rPr>
              <w:t>Coverage</w:t>
            </w:r>
          </w:p>
        </w:tc>
        <w:tc>
          <w:tcPr>
            <w:tcW w:w="1460" w:type="dxa"/>
            <w:vAlign w:val="bottom"/>
            <w:gridSpan w:val="4"/>
          </w:tcPr>
          <w:p>
            <w:pPr>
              <w:ind w:left="540"/>
              <w:spacing w:after="0" w:line="149"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58"/>
        </w:trPr>
        <w:tc>
          <w:tcPr>
            <w:tcW w:w="5480" w:type="dxa"/>
            <w:vAlign w:val="bottom"/>
            <w:gridSpan w:val="3"/>
            <w:vMerge w:val="continue"/>
          </w:tcPr>
          <w:p>
            <w:pPr>
              <w:spacing w:after="0"/>
              <w:rPr>
                <w:sz w:val="13"/>
                <w:szCs w:val="13"/>
                <w:color w:val="auto"/>
              </w:rPr>
            </w:pPr>
          </w:p>
        </w:tc>
        <w:tc>
          <w:tcPr>
            <w:tcW w:w="2720" w:type="dxa"/>
            <w:vAlign w:val="bottom"/>
            <w:gridSpan w:val="3"/>
          </w:tcPr>
          <w:p>
            <w:pPr>
              <w:ind w:left="1800"/>
              <w:spacing w:after="0" w:line="158" w:lineRule="exact"/>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(1)</w:t>
            </w:r>
          </w:p>
        </w:tc>
        <w:tc>
          <w:tcPr>
            <w:tcW w:w="1380" w:type="dxa"/>
            <w:vAlign w:val="bottom"/>
            <w:gridSpan w:val="3"/>
          </w:tcPr>
          <w:p>
            <w:pPr>
              <w:ind w:left="540"/>
              <w:spacing w:after="0" w:line="158" w:lineRule="exact"/>
              <w:rPr>
                <w:sz w:val="20"/>
                <w:szCs w:val="20"/>
                <w:color w:val="auto"/>
              </w:rPr>
            </w:pPr>
            <w:r>
              <w:rPr>
                <w:rFonts w:ascii="Arial" w:cs="Arial" w:eastAsia="Arial" w:hAnsi="Arial"/>
                <w:sz w:val="14"/>
                <w:szCs w:val="14"/>
                <w:b w:val="1"/>
                <w:bCs w:val="1"/>
                <w:color w:val="auto"/>
                <w:w w:val="95"/>
              </w:rPr>
              <w:t>per Unit</w:t>
            </w:r>
            <w:r>
              <w:rPr>
                <w:rFonts w:ascii="Arial" w:cs="Arial" w:eastAsia="Arial" w:hAnsi="Arial"/>
                <w:sz w:val="12"/>
                <w:szCs w:val="12"/>
                <w:b w:val="1"/>
                <w:bCs w:val="1"/>
                <w:color w:val="auto"/>
                <w:w w:val="95"/>
              </w:rPr>
              <w:t>(2),(3)</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 2019 Notes and 2025 Notes</w:t>
            </w:r>
          </w:p>
        </w:tc>
        <w:tc>
          <w:tcPr>
            <w:tcW w:w="1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Fiscal 2019 (As of December 31, 2018, unaudited)</w:t>
            </w:r>
          </w:p>
        </w:tc>
        <w:tc>
          <w:tcPr>
            <w:tcW w:w="202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424,136</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2,434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20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330,520</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202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329,393</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2,971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0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371,590</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02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458,114</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2,561</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0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376,476</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202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216,750</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4,205</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20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202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240,900</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2,912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r>
              <w:rPr>
                <w:rFonts w:ascii="Arial" w:cs="Arial" w:eastAsia="Arial" w:hAnsi="Arial"/>
                <w:sz w:val="15"/>
                <w:szCs w:val="15"/>
                <w:color w:val="auto"/>
              </w:rPr>
              <w:t>(5)</w:t>
            </w:r>
          </w:p>
        </w:tc>
        <w:tc>
          <w:tcPr>
            <w:tcW w:w="20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247,600</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202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225,100</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2,115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0"/>
        </w:trPr>
        <w:tc>
          <w:tcPr>
            <w:tcW w:w="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54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40" w:hanging="4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130" w:lineRule="exact"/>
        <w:rPr>
          <w:rFonts w:ascii="Arial" w:cs="Arial" w:eastAsia="Arial" w:hAnsi="Arial"/>
          <w:sz w:val="18"/>
          <w:szCs w:val="18"/>
          <w:color w:val="auto"/>
        </w:rPr>
      </w:pPr>
    </w:p>
    <w:p>
      <w:pPr>
        <w:ind w:left="440" w:right="260" w:hanging="436"/>
        <w:spacing w:after="0" w:line="264"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spacing w:after="0" w:line="86" w:lineRule="exact"/>
        <w:rPr>
          <w:rFonts w:ascii="Arial" w:cs="Arial" w:eastAsia="Arial" w:hAnsi="Arial"/>
          <w:sz w:val="18"/>
          <w:szCs w:val="18"/>
          <w:color w:val="auto"/>
        </w:rPr>
      </w:pPr>
    </w:p>
    <w:p>
      <w:pPr>
        <w:ind w:left="440" w:right="360" w:hanging="436"/>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amounts exclude SBIC LP’s SBA debentures from our total amount outstanding and asset coverage per unit computation pursuant to an exemptive relief letter provided by the SEC in June 2011.</w:t>
      </w:r>
    </w:p>
    <w:p>
      <w:pPr>
        <w:spacing w:after="0" w:line="75" w:lineRule="exact"/>
        <w:rPr>
          <w:rFonts w:ascii="Arial" w:cs="Arial" w:eastAsia="Arial" w:hAnsi="Arial"/>
          <w:sz w:val="18"/>
          <w:szCs w:val="18"/>
          <w:color w:val="auto"/>
        </w:rPr>
      </w:pPr>
    </w:p>
    <w:p>
      <w:pPr>
        <w:ind w:left="440" w:right="20" w:hanging="436"/>
        <w:spacing w:after="0" w:line="264"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average market value per unit is derived based on the monthly average closing price of the 2025 Notes trading on NYSE under the symbol “PNTA” since issuance, which were issued in increments of $25 per unit. On June 29, 2017, the 2025 Notes were redeemed in full and no amounts were outstanding as of December 31, 2018.</w:t>
      </w:r>
    </w:p>
    <w:p>
      <w:pPr>
        <w:spacing w:after="0" w:line="86" w:lineRule="exact"/>
        <w:rPr>
          <w:rFonts w:ascii="Arial" w:cs="Arial" w:eastAsia="Arial" w:hAnsi="Arial"/>
          <w:sz w:val="18"/>
          <w:szCs w:val="18"/>
          <w:color w:val="auto"/>
        </w:rPr>
      </w:pPr>
    </w:p>
    <w:p>
      <w:pPr>
        <w:ind w:left="440" w:hanging="4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amount includes SBIC LP’s SBA debentures in the total amount outstanding and our asset coverage per unit computation.</w:t>
      </w:r>
    </w:p>
    <w:sectPr>
      <w:pgSz w:w="11900" w:h="16838" w:orient="portrait"/>
      <w:cols w:equalWidth="0" w:num="1">
        <w:col w:w="11040"/>
      </w:cols>
      <w:pgMar w:left="4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lowerLetter"/>
      <w:start w:val="29"/>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2019-12-20T23:42:12Z</dcterms:created>
  <dcterms:modified xsi:type="dcterms:W3CDTF">2019-12-20T23:42:12Z</dcterms:modified>
</cp:coreProperties>
</file>