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12"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CURRENT REPORT</w:t>
      </w:r>
    </w:p>
    <w:p>
      <w:pPr>
        <w:spacing w:after="0" w:line="206"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Pursuant to Section 13 or 15(d) of the</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5,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spacing w:after="0" w:line="230" w:lineRule="auto"/>
        <w:rPr>
          <w:sz w:val="20"/>
          <w:szCs w:val="20"/>
          <w:color w:val="auto"/>
        </w:rPr>
      </w:pPr>
      <w:r>
        <w:rPr>
          <w:rFonts w:ascii="Arial" w:cs="Arial" w:eastAsia="Arial" w:hAnsi="Arial"/>
          <w:sz w:val="22"/>
          <w:szCs w:val="22"/>
          <w:color w:val="auto"/>
        </w:rPr>
        <w:t>o Pre-commencement communications pursuant to Rule 14d-2(b) under the Exchange Act (17 CFR 240.14d-2(b))</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0"/>
        <w:spacing w:after="0"/>
        <w:rPr>
          <w:sz w:val="20"/>
          <w:szCs w:val="20"/>
          <w:color w:val="auto"/>
        </w:rPr>
      </w:pPr>
      <w:r>
        <w:rPr>
          <w:rFonts w:ascii="Arial" w:cs="Arial" w:eastAsia="Arial" w:hAnsi="Arial"/>
          <w:sz w:val="22"/>
          <w:szCs w:val="22"/>
          <w:color w:val="auto"/>
        </w:rPr>
        <w:t>On February 5, 2014, PennantPark Investment Corporation issued a press release announcing financial results for the first fiscal quarter ended December 31, 2013.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9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6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5,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February 5, 2014</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8"/>
              </w:rPr>
              <w:t>February 5,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8" w:right="49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2013</w:t>
      </w:r>
    </w:p>
    <w:p>
      <w:pPr>
        <w:spacing w:after="0" w:line="224"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NEW YORK, NY -- (Marketwired - February 05, 2014) - PennantPark Investment Corporation (NASDAQ: PNNT) announced today financial results for its first fiscal quarter ended December 31, 2013.</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2013</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1,209.3</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718.9</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10.80</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 (cost $240.0)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240.0</w:t>
            </w:r>
          </w:p>
        </w:tc>
      </w:tr>
      <w:tr>
        <w:trPr>
          <w:trHeight w:val="202"/>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64.3</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13.2%</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6, 2014</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February 6, 2014 to discuss its financial results. All interested parties are welcome to participate. You can access the conference call by dialing (877) 741-4248 approximately 5-10 minutes prior to the call. International callers should dial (719)</w:t>
      </w:r>
    </w:p>
    <w:p>
      <w:pPr>
        <w:spacing w:after="0" w:line="1" w:lineRule="exact"/>
        <w:rPr>
          <w:sz w:val="20"/>
          <w:szCs w:val="20"/>
          <w:color w:val="auto"/>
        </w:rPr>
      </w:pPr>
    </w:p>
    <w:p>
      <w:pPr>
        <w:jc w:val="both"/>
        <w:ind w:right="420"/>
        <w:spacing w:after="0" w:line="234" w:lineRule="auto"/>
        <w:rPr>
          <w:sz w:val="20"/>
          <w:szCs w:val="20"/>
          <w:color w:val="auto"/>
        </w:rPr>
      </w:pPr>
      <w:r>
        <w:rPr>
          <w:rFonts w:ascii="Arial" w:cs="Arial" w:eastAsia="Arial" w:hAnsi="Arial"/>
          <w:sz w:val="22"/>
          <w:szCs w:val="22"/>
          <w:color w:val="auto"/>
        </w:rPr>
        <w:t>325-4783. All callers should reference PennantPark Investment Corporation. An archived replay of the call will be available through February 20, 2014 by calling (888) 203-1112. International callers please dial (719) 457-0820. For all phone replays, please reference conference ID #2955698.</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As of December 31, 2013, our portfolio totaled $1,209.3 million and consisted of $320.6 million of senior secured loans, $409.9 million of second lien secured debt, $350.8 million of subordinated debt and $128.0 million of preferred and common equity investments. Our debt portfolio consisted of 48% fixed-rate and 52% variable-rate investments (including 49% with a LIBOR or prime floor). Our overall portfolio consisted of 66 companies with an average investment size of $18.3 million, had a weighted average yield on debt investments of 13.2% and was invested 26% in senior secured loans, 34% in second lien secured debt, 29% in subordinated debt and 11% in preferred and common equity investments.</w:t>
      </w:r>
    </w:p>
    <w:p>
      <w:pPr>
        <w:spacing w:after="0" w:line="150"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50"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For the three months ended December 31, 2013, we invested $228.0 million in nine new and seven existing portfolio companies with a weighted average yield on debt investments of 12.4%. Sales and repayments of investments for the three months ended December 31, 2013 totaled $144.0 million.</w:t>
      </w:r>
    </w:p>
    <w:p>
      <w:pPr>
        <w:spacing w:after="0" w:line="18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For the three months ended December 31, 2012, we invested $168.4 million in five new and seven existing portfolio companies with a weighted average yield on debt investments of 12.7%. Sales and repayments of investments for the three months ended December 31, 2012 totaled $110.8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2013 and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ectPr>
          <w:pgSz w:w="11900" w:h="16838" w:orient="portrait"/>
          <w:cols w:equalWidth="0" w:num="1">
            <w:col w:w="11240"/>
          </w:cols>
          <w:pgMar w:left="320" w:top="111" w:right="339" w:bottom="0" w:gutter="0" w:footer="0" w:header="0"/>
        </w:sectPr>
      </w:pPr>
    </w:p>
    <w:bookmarkStart w:id="3" w:name="page4"/>
    <w:bookmarkEnd w:id="3"/>
    <w:p>
      <w:pPr>
        <w:ind w:right="240"/>
        <w:spacing w:after="0" w:line="234" w:lineRule="auto"/>
        <w:rPr>
          <w:sz w:val="20"/>
          <w:szCs w:val="20"/>
          <w:color w:val="auto"/>
        </w:rPr>
      </w:pPr>
      <w:r>
        <w:rPr>
          <w:rFonts w:ascii="Arial" w:cs="Arial" w:eastAsia="Arial" w:hAnsi="Arial"/>
          <w:sz w:val="22"/>
          <w:szCs w:val="22"/>
          <w:color w:val="auto"/>
        </w:rPr>
        <w:t>Investment income for the three months ended December 31, 2013 was $34.4 million and was primarily attributable to $9.6 million from senior secured loans, $12.3 million from second lien secured debt investments, $11.4 million from subordinated debt investments and $1.1 million from common equity investments. Investment income for the three months ended December 31, 2012 was $33.0 million and was primarily attributable to $8.8 million from senior secured loans, $6.4 million from second lien secured debt investments and $16.5 million from subordinated debt investments and $1.3 million from common equity investments. The increase in investment income compared with the same period in the prior year is due to the growth of our portfolio.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Expenses for the three months ended December 31, 2013 totaled $16.5 million. Base management fees for the same period totaled $5.7 million, incentive fees totaled $4.5 million, debt related interest and expenses totaled $4.6 million and general and administrative expenses totaled $1.7 million. Expenses for the three months ended December 31, 2012 totaled $14.8 million. Base management fees for the same period totaled $5.1 million, incentive fees totaled $4.5 million, debt related interest and expenses totaled $3.1 million, general and administrative expenses and excise taxes totaled $2.1 million. The increase in expenses was primarily due to the higher cost of debt, which was partially offset by lower general and administrative expenses.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Net investment income totaled $18.0 million, or $0.27 per share, for the three months ended December 31, 2013, and $18.2 million, or $0.28 per share, for the three months ended December 31, 2012. The decrease in net investment income over the prior period was due to the higher cost of debt.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Sales and repayments of investments for the three months ended December 31, 2013 totaled $144.0 million and net realized gains totaled $2.7 million. Sales and repayments of investments totaled $110.8 million and net realized gains totaled $0.9 million for the three months ended December 31, 2012. The increase in net realized gains is due to a larger number of repayments of investments compared to the prior period.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and 2025 Notes</w:t>
      </w:r>
    </w:p>
    <w:p>
      <w:pPr>
        <w:spacing w:after="0" w:line="212"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For the three months ended December 31, 2013 and 2012 we reported a net unrealized appreciation on investments of $14.7 million and $10.0 million, respectively. As of December 31, 2013 and September 30, 2013, our net unrealized appreciation (depreciation) on investments totaled $1.4 million and $(13.3) million, respectively. The increase over the prior period was the result of changes in the market values of our investments offset by reversals of unrealized appreciation upon exiting our investments.</w:t>
      </w:r>
    </w:p>
    <w:p>
      <w:pPr>
        <w:spacing w:after="0" w:line="187" w:lineRule="exact"/>
        <w:rPr>
          <w:sz w:val="20"/>
          <w:szCs w:val="20"/>
          <w:color w:val="auto"/>
        </w:rPr>
      </w:pPr>
    </w:p>
    <w:p>
      <w:pPr>
        <w:jc w:val="both"/>
        <w:ind w:right="80"/>
        <w:spacing w:after="0" w:line="257" w:lineRule="auto"/>
        <w:rPr>
          <w:sz w:val="20"/>
          <w:szCs w:val="20"/>
          <w:color w:val="auto"/>
        </w:rPr>
      </w:pPr>
      <w:r>
        <w:rPr>
          <w:rFonts w:ascii="Arial" w:cs="Arial" w:eastAsia="Arial" w:hAnsi="Arial"/>
          <w:sz w:val="21"/>
          <w:szCs w:val="21"/>
          <w:color w:val="auto"/>
        </w:rPr>
        <w:t>For the three months ended December 31, 2013 and 2012 we reported a net unrealized depreciation (appreciation) on our Credit Facility and our 2025 Notes, of $4.1 million and $(0.5) million, respectively. Net change in unrealized appreciation on the Credit Facility and 2025 Notes over the prior period was due to changes in the capital markets.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Net increase in net assets resulting from operations totaled $39.5 million, or $0.59 per share, for the three months ended December 31, 2013. This compares to a net increase in net assets resulting from operations of $28.5 million, or $0.44 per share, for the three months ended December 31, 2012. The increase compared to the prior period was due to the continued growth of our portfolio and appreciation of our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2013 and September 30, 2013, there was $240.0 million (including a temporary draw of $12.0 million)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$145.5 million (including a temporary draw of $28.0 million), respectively, in outstanding borrowings under the Credit Facility,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a weighted average interest rate of 3.04% and 3.33%, respectively, exclusive of the fee on undrawn commitments of 0.50%.</w:t>
      </w:r>
    </w:p>
    <w:p>
      <w:pPr>
        <w:spacing w:after="0" w:line="22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As of December 31, 2013 and September 30, 2013 we had $71.3 million of 2025 Notes outstanding with a fixed interest rate of 6.25%, per year.</w:t>
      </w:r>
    </w:p>
    <w:p>
      <w:pPr>
        <w:spacing w:after="0" w:line="175"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We have funded SBIC II, with $37.5 million of equity capital and received a commitment from the SBA to allow SBIC II to access $75.0 million in SBA debentures. As of December 31, 2013 and September 30, 2013, our SBIC Funds had $225.0 and $150.0 million in SBA debt commitments, respectively, of which $150.0 million were drawn with a weighted average interest rate of 3.70%, exclusive of the 3.43% in upfront fees (4.04% after upfront fees). The SBA debentures' upfront fees of 3.43% consist of a commitment fee of 1.00% and an issuance discount of 2.43%. Both fees are amortized over the lives of the loans.</w:t>
      </w:r>
    </w:p>
    <w:p>
      <w:pPr>
        <w:sectPr>
          <w:pgSz w:w="11900" w:h="16838" w:orient="portrait"/>
          <w:cols w:equalWidth="0" w:num="1">
            <w:col w:w="11220"/>
          </w:cols>
          <w:pgMar w:left="320" w:top="118" w:right="359" w:bottom="0" w:gutter="0" w:footer="0" w:header="0"/>
        </w:sectPr>
      </w:pPr>
    </w:p>
    <w:bookmarkStart w:id="4" w:name="page5"/>
    <w:bookmarkEnd w:id="4"/>
    <w:p>
      <w:pPr>
        <w:ind w:right="280"/>
        <w:spacing w:after="0" w:line="329" w:lineRule="auto"/>
        <w:rPr>
          <w:sz w:val="20"/>
          <w:szCs w:val="20"/>
          <w:color w:val="auto"/>
        </w:rPr>
      </w:pPr>
      <w:r>
        <w:rPr>
          <w:rFonts w:ascii="Arial" w:cs="Arial" w:eastAsia="Arial" w:hAnsi="Arial"/>
          <w:sz w:val="19"/>
          <w:szCs w:val="19"/>
          <w:color w:val="auto"/>
        </w:rPr>
        <w:t>The annualized weighted average cost of debt for the three months ended December 31, 2013 and 2012, inclusive of the fee on the undrawn commitment on the Credit Facility and upfront fees on SBA debentures, was 4.20% and 3.93%, respectively.</w:t>
      </w:r>
    </w:p>
    <w:p>
      <w:pPr>
        <w:spacing w:after="0" w:line="104"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Our operating activities used cash of $104.1 million for the three months ended December 31, 2013, primarily for net purchases of investments. Our financing activities provided cash of $76.4 million for the same period, primarily from net borrowings under our Credit Facility.</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Our operating activities used cash of $35.8 million for the three months ended December 31, 2012, primarily for net purchases of investments. Our financing activities provided cash of $59.5 million for the same period, primarily from net borrowings under our Credit Facility and proceeds from our capital stock offering.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During the three months ended December 31, 2013 and 2012, we declared distributions of $0.28 per share or an aggregate of $18.6 million for each of the periods.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December 31,</w:t>
            </w:r>
          </w:p>
        </w:tc>
        <w:tc>
          <w:tcPr>
            <w:tcW w:w="1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2013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(cost-$1,001,294,305 and $928,078,589,</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$1,055,902,267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968,471,042</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(cost-$107,398,794 and $99,021,141,</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84,447,274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76,735,800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(cost-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$99,193,930 and $64,418,155,</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68,931,881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32,968,711</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(cost-$1,207,887,029</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$1,091,517,885,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1,209,281,422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1,078,175,553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30,803,635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58,440,829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8,685,856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10,894,893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6,661,622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5,815,817</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$1,255,432,535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$1,153,327,092</w:t>
            </w:r>
          </w:p>
        </w:tc>
      </w:tr>
      <w:tr>
        <w:trPr>
          <w:trHeight w:val="202"/>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18,633,086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18,619,812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14,450,000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52,544,704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32,474,167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7,241,667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(cost-$240,000,000</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$145,500,000,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240,000,000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145,500,000</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(cost-$150,000,000)</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150,000,000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(cost-$71,250,000)</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64,296,000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68,400,000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5,747,060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5,419,557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4,488,779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4,274,881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3,250,388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1,810,466</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3,227,868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2,009,806</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536,567,348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455,820,893</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66,546,734 and 66,499,327</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66,546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66,499</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756,554,170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756,017,096</w:t>
            </w:r>
          </w:p>
        </w:tc>
      </w:tr>
    </w:tbl>
    <w:p>
      <w:pPr>
        <w:sectPr>
          <w:pgSz w:w="11900" w:h="16838" w:orient="portrait"/>
          <w:cols w:equalWidth="0" w:num="1">
            <w:col w:w="11240"/>
          </w:cols>
          <w:pgMar w:left="320" w:top="118" w:right="339" w:bottom="0" w:gutter="0" w:footer="0" w:header="0"/>
        </w:sectPr>
      </w:pPr>
    </w:p>
    <w:bookmarkStart w:id="5" w:name="page6"/>
    <w:bookmarkEnd w:id="5"/>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Distributions in excess of net investment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(5,353,186)</w:t>
            </w:r>
          </w:p>
        </w:tc>
        <w:tc>
          <w:tcPr>
            <w:tcW w:w="3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(4,675,217)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net realized loss on investments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(40,750,736)</w:t>
            </w:r>
          </w:p>
        </w:tc>
        <w:tc>
          <w:tcPr>
            <w:tcW w:w="3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(43,409,847)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investments</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1,394,393</w:t>
            </w:r>
          </w:p>
        </w:tc>
        <w:tc>
          <w:tcPr>
            <w:tcW w:w="3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(13,342,332)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6,954,000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2,850,000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718,865,187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697,506,199</w:t>
            </w:r>
          </w:p>
        </w:tc>
      </w:tr>
      <w:tr>
        <w:trPr>
          <w:trHeight w:val="202"/>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$1,255,432,535</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$1,153,327,092</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10.80</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6700" w:type="dxa"/>
            <w:vAlign w:val="bottom"/>
            <w:gridSpan w:val="4"/>
          </w:tcPr>
          <w:p>
            <w:pPr>
              <w:jc w:val="center"/>
              <w:ind w:left="1132"/>
              <w:spacing w:after="0"/>
              <w:rPr>
                <w:sz w:val="20"/>
                <w:szCs w:val="20"/>
                <w:color w:val="auto"/>
              </w:rPr>
            </w:pPr>
            <w:r>
              <w:rPr>
                <w:rFonts w:ascii="Courier New" w:cs="Courier New" w:eastAsia="Courier New" w:hAnsi="Courier New"/>
                <w:sz w:val="18"/>
                <w:szCs w:val="18"/>
                <w:color w:val="auto"/>
                <w:w w:val="97"/>
              </w:rPr>
              <w:t>PENNANTPARK INVESTMENT CORPORATION AND SUBSIDIARIES</w:t>
            </w:r>
          </w:p>
        </w:tc>
        <w:tc>
          <w:tcPr>
            <w:tcW w:w="1320" w:type="dxa"/>
            <w:vAlign w:val="bottom"/>
          </w:tcPr>
          <w:p>
            <w:pPr>
              <w:spacing w:after="0"/>
              <w:rPr>
                <w:sz w:val="24"/>
                <w:szCs w:val="24"/>
                <w:color w:val="auto"/>
              </w:rPr>
            </w:pPr>
          </w:p>
        </w:tc>
      </w:tr>
      <w:tr>
        <w:trPr>
          <w:trHeight w:val="203"/>
        </w:trPr>
        <w:tc>
          <w:tcPr>
            <w:tcW w:w="6380" w:type="dxa"/>
            <w:vAlign w:val="bottom"/>
            <w:gridSpan w:val="3"/>
          </w:tcPr>
          <w:p>
            <w:pPr>
              <w:jc w:val="center"/>
              <w:ind w:left="143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jc w:val="center"/>
              <w:ind w:left="313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700" w:type="dxa"/>
            <w:vAlign w:val="bottom"/>
          </w:tcPr>
          <w:p>
            <w:pPr>
              <w:spacing w:after="0"/>
              <w:rPr>
                <w:sz w:val="17"/>
                <w:szCs w:val="17"/>
                <w:color w:val="auto"/>
              </w:rPr>
            </w:pPr>
          </w:p>
        </w:tc>
        <w:tc>
          <w:tcPr>
            <w:tcW w:w="33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2013</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 from:</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28,964,935</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25,768,617</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2,514,857</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4,366,274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1,264,610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1,392,503</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227,800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1,393,454</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1,202,707</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300,833</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34,438,689</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32,957,901</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5,747,060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5,128,611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4,488,779</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4,545,254</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4,559,523</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3,094,865</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911,596</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1,172,322</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776,614</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760,532</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taxes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16,483,572</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14,701,584</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75,301</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16,483,572</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14,776,885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17,955,117</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18,181,016</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investments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2,659,111</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871,132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14,215,508</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6,062,321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and controlled, affiliated</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521,217</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3,974,217</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 (appreciation)</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4,104,000</w:t>
            </w:r>
          </w:p>
        </w:tc>
        <w:tc>
          <w:tcPr>
            <w:tcW w:w="3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(547,500)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18,840,725</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9,489,038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from</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21,499,836</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10,360,170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39,454,953</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28,541,186</w:t>
            </w:r>
          </w:p>
        </w:tc>
      </w:tr>
      <w:tr>
        <w:trPr>
          <w:trHeight w:val="202"/>
        </w:trPr>
        <w:tc>
          <w:tcPr>
            <w:tcW w:w="4700" w:type="dxa"/>
            <w:vAlign w:val="bottom"/>
          </w:tcPr>
          <w:p>
            <w:pPr>
              <w:spacing w:after="0"/>
              <w:rPr>
                <w:sz w:val="17"/>
                <w:szCs w:val="17"/>
                <w:color w:val="auto"/>
              </w:rPr>
            </w:pPr>
          </w:p>
        </w:tc>
        <w:tc>
          <w:tcPr>
            <w:tcW w:w="33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0.59</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0.44</w:t>
            </w:r>
          </w:p>
        </w:tc>
      </w:tr>
      <w:tr>
        <w:trPr>
          <w:trHeight w:val="202"/>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ectPr>
          <w:pgSz w:w="11900" w:h="16925" w:orient="portrait"/>
          <w:cols w:equalWidth="0" w:num="1">
            <w:col w:w="11220"/>
          </w:cols>
          <w:pgMar w:left="320" w:top="136" w:right="359"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2020-05-05T15:07:12Z</dcterms:created>
  <dcterms:modified xsi:type="dcterms:W3CDTF">2020-05-05T15:07:12Z</dcterms:modified>
</cp:coreProperties>
</file>