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17,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November 17, 2021, PennantPark Investment Corporation, or the Company, issued a press release announcing its financial results for the fourth quarter and fiscal year ended September 30, 2021. A copy of the press release is furnished as Exhibit 99.1 to this report pursuant to Item 2.02 on Form 8-K and Regulation FD.</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impact on the Company’s business and operating results, see the Company’s Annual Report on Form 10-K for the fiscal year ended September 30, 2021, including “Item 2. Management's Discussion and Analysis of Financial Condition and Results of Operations – COVID-19 Developments” and “Item 1A. Risk Factors” therein.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 forma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Shell company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Investment Corporation dated November 17,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740" w:type="dxa"/>
            <w:vAlign w:val="bottom"/>
            <w:gridSpan w:val="3"/>
          </w:tcPr>
          <w:p>
            <w:pPr>
              <w:ind w:left="180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660" w:type="dxa"/>
            <w:vAlign w:val="bottom"/>
          </w:tcPr>
          <w:p>
            <w:pPr>
              <w:spacing w:after="0"/>
              <w:rPr>
                <w:sz w:val="20"/>
                <w:szCs w:val="20"/>
                <w:color w:val="auto"/>
              </w:rPr>
            </w:pPr>
            <w:r>
              <w:rPr>
                <w:rFonts w:ascii="Arial" w:cs="Arial" w:eastAsia="Arial" w:hAnsi="Arial"/>
                <w:sz w:val="18"/>
                <w:szCs w:val="18"/>
                <w:color w:val="auto"/>
              </w:rPr>
              <w:t>Date: November 17, 2021</w:t>
            </w:r>
          </w:p>
        </w:tc>
        <w:tc>
          <w:tcPr>
            <w:tcW w:w="4740" w:type="dxa"/>
            <w:vAlign w:val="bottom"/>
            <w:gridSpan w:val="3"/>
          </w:tcPr>
          <w:p>
            <w:pPr>
              <w:ind w:left="1800"/>
              <w:spacing w:after="0"/>
              <w:rPr>
                <w:sz w:val="20"/>
                <w:szCs w:val="20"/>
                <w:color w:val="auto"/>
              </w:rPr>
            </w:pPr>
            <w:r>
              <w:rPr>
                <w:rFonts w:ascii="Arial" w:cs="Arial" w:eastAsia="Arial" w:hAnsi="Arial"/>
                <w:sz w:val="18"/>
                <w:szCs w:val="18"/>
                <w:color w:val="auto"/>
              </w:rPr>
              <w:t>By: /s/ Richard Cheung</w:t>
            </w:r>
          </w:p>
        </w:tc>
      </w:tr>
      <w:tr>
        <w:trPr>
          <w:trHeight w:val="222"/>
        </w:trPr>
        <w:tc>
          <w:tcPr>
            <w:tcW w:w="3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88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spacing w:after="0" w:line="15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PennantPark Investment Corporation Announces Financial Results for the Fourth Quarter and Fiscal Year Ended September 30, 2021</w:t>
      </w:r>
    </w:p>
    <w:p>
      <w:pPr>
        <w:spacing w:after="0" w:line="16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NEW YORK, Nov. 17, 2021 (GLOBE NEWSWIRE) -- PennantPark Investment Corporation (NASDAQ: PNNT) announced today financial results for the fourth quarter and fiscal year ended September 30, 2021.</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HIGHLIGHTS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Quarter ended September 30, 2021</w:t>
      </w:r>
    </w:p>
    <w:p>
      <w:pPr>
        <w:ind w:left="20"/>
        <w:spacing w:after="0"/>
        <w:rPr>
          <w:sz w:val="20"/>
          <w:szCs w:val="20"/>
          <w:color w:val="auto"/>
        </w:rPr>
      </w:pPr>
      <w:r>
        <w:rPr>
          <w:rFonts w:ascii="Arial" w:cs="Arial" w:eastAsia="Arial" w:hAnsi="Arial"/>
          <w:sz w:val="22"/>
          <w:szCs w:val="22"/>
          <w:color w:val="auto"/>
        </w:rPr>
        <w:t>($ in millions, except per share amounts)</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6120" w:type="dxa"/>
            <w:vAlign w:val="bottom"/>
          </w:tcPr>
          <w:p>
            <w:pPr>
              <w:spacing w:after="0"/>
              <w:rPr>
                <w:sz w:val="20"/>
                <w:szCs w:val="20"/>
                <w:color w:val="auto"/>
              </w:rPr>
            </w:pPr>
            <w:r>
              <w:rPr>
                <w:rFonts w:ascii="Arial" w:cs="Arial" w:eastAsia="Arial" w:hAnsi="Arial"/>
                <w:sz w:val="22"/>
                <w:szCs w:val="22"/>
                <w:color w:val="auto"/>
              </w:rPr>
              <w:t>Assets and Liabilities:</w:t>
            </w:r>
          </w:p>
        </w:tc>
        <w:tc>
          <w:tcPr>
            <w:tcW w:w="17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0"/>
        </w:trPr>
        <w:tc>
          <w:tcPr>
            <w:tcW w:w="6120" w:type="dxa"/>
            <w:vAlign w:val="bottom"/>
          </w:tcPr>
          <w:p>
            <w:pPr>
              <w:ind w:left="40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1,255.3</w:t>
            </w:r>
          </w:p>
        </w:tc>
        <w:tc>
          <w:tcPr>
            <w:tcW w:w="0" w:type="dxa"/>
            <w:vAlign w:val="bottom"/>
          </w:tcPr>
          <w:p>
            <w:pPr>
              <w:spacing w:after="0"/>
              <w:rPr>
                <w:sz w:val="1"/>
                <w:szCs w:val="1"/>
                <w:color w:val="auto"/>
              </w:rPr>
            </w:pPr>
          </w:p>
        </w:tc>
      </w:tr>
      <w:tr>
        <w:trPr>
          <w:trHeight w:val="270"/>
        </w:trPr>
        <w:tc>
          <w:tcPr>
            <w:tcW w:w="6120" w:type="dxa"/>
            <w:vAlign w:val="bottom"/>
          </w:tcPr>
          <w:p>
            <w:pPr>
              <w:ind w:left="400"/>
              <w:spacing w:after="0"/>
              <w:rPr>
                <w:sz w:val="20"/>
                <w:szCs w:val="20"/>
                <w:color w:val="auto"/>
              </w:rPr>
            </w:pPr>
            <w:r>
              <w:rPr>
                <w:rFonts w:ascii="Arial" w:cs="Arial" w:eastAsia="Arial" w:hAnsi="Arial"/>
                <w:sz w:val="22"/>
                <w:szCs w:val="22"/>
                <w:color w:val="auto"/>
              </w:rPr>
              <w:t>PSLF investment portfolio</w:t>
            </w:r>
          </w:p>
        </w:tc>
        <w:tc>
          <w:tcPr>
            <w:tcW w:w="17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405.2</w:t>
            </w:r>
          </w:p>
        </w:tc>
        <w:tc>
          <w:tcPr>
            <w:tcW w:w="0" w:type="dxa"/>
            <w:vAlign w:val="bottom"/>
          </w:tcPr>
          <w:p>
            <w:pPr>
              <w:spacing w:after="0"/>
              <w:rPr>
                <w:sz w:val="1"/>
                <w:szCs w:val="1"/>
                <w:color w:val="auto"/>
              </w:rPr>
            </w:pPr>
          </w:p>
        </w:tc>
      </w:tr>
      <w:tr>
        <w:trPr>
          <w:trHeight w:val="270"/>
        </w:trPr>
        <w:tc>
          <w:tcPr>
            <w:tcW w:w="6120" w:type="dxa"/>
            <w:vAlign w:val="bottom"/>
          </w:tcPr>
          <w:p>
            <w:pPr>
              <w:ind w:left="400"/>
              <w:spacing w:after="0"/>
              <w:rPr>
                <w:sz w:val="20"/>
                <w:szCs w:val="20"/>
                <w:color w:val="auto"/>
              </w:rPr>
            </w:pPr>
            <w:r>
              <w:rPr>
                <w:rFonts w:ascii="Arial" w:cs="Arial" w:eastAsia="Arial" w:hAnsi="Arial"/>
                <w:sz w:val="22"/>
                <w:szCs w:val="22"/>
                <w:color w:val="auto"/>
              </w:rPr>
              <w:t>Net assets</w:t>
            </w:r>
          </w:p>
        </w:tc>
        <w:tc>
          <w:tcPr>
            <w:tcW w:w="17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660.1</w:t>
            </w:r>
          </w:p>
        </w:tc>
        <w:tc>
          <w:tcPr>
            <w:tcW w:w="0" w:type="dxa"/>
            <w:vAlign w:val="bottom"/>
          </w:tcPr>
          <w:p>
            <w:pPr>
              <w:spacing w:after="0"/>
              <w:rPr>
                <w:sz w:val="1"/>
                <w:szCs w:val="1"/>
                <w:color w:val="auto"/>
              </w:rPr>
            </w:pPr>
          </w:p>
        </w:tc>
      </w:tr>
      <w:tr>
        <w:trPr>
          <w:trHeight w:val="270"/>
        </w:trPr>
        <w:tc>
          <w:tcPr>
            <w:tcW w:w="6120" w:type="dxa"/>
            <w:vAlign w:val="bottom"/>
          </w:tcPr>
          <w:p>
            <w:pPr>
              <w:ind w:left="400"/>
              <w:spacing w:after="0"/>
              <w:rPr>
                <w:sz w:val="20"/>
                <w:szCs w:val="20"/>
                <w:color w:val="auto"/>
              </w:rPr>
            </w:pPr>
            <w:r>
              <w:rPr>
                <w:rFonts w:ascii="Arial" w:cs="Arial" w:eastAsia="Arial" w:hAnsi="Arial"/>
                <w:sz w:val="22"/>
                <w:szCs w:val="22"/>
                <w:color w:val="auto"/>
              </w:rPr>
              <w:t>GAAP net asset value per share</w:t>
            </w:r>
          </w:p>
        </w:tc>
        <w:tc>
          <w:tcPr>
            <w:tcW w:w="17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9.85</w:t>
            </w:r>
          </w:p>
        </w:tc>
        <w:tc>
          <w:tcPr>
            <w:tcW w:w="0" w:type="dxa"/>
            <w:vAlign w:val="bottom"/>
          </w:tcPr>
          <w:p>
            <w:pPr>
              <w:spacing w:after="0"/>
              <w:rPr>
                <w:sz w:val="1"/>
                <w:szCs w:val="1"/>
                <w:color w:val="auto"/>
              </w:rPr>
            </w:pPr>
          </w:p>
        </w:tc>
      </w:tr>
      <w:tr>
        <w:trPr>
          <w:trHeight w:val="274"/>
        </w:trPr>
        <w:tc>
          <w:tcPr>
            <w:tcW w:w="6120" w:type="dxa"/>
            <w:vAlign w:val="bottom"/>
          </w:tcPr>
          <w:p>
            <w:pPr>
              <w:ind w:left="400"/>
              <w:spacing w:after="0"/>
              <w:rPr>
                <w:sz w:val="20"/>
                <w:szCs w:val="20"/>
                <w:color w:val="auto"/>
              </w:rPr>
            </w:pPr>
            <w:r>
              <w:rPr>
                <w:rFonts w:ascii="Arial" w:cs="Arial" w:eastAsia="Arial" w:hAnsi="Arial"/>
                <w:sz w:val="22"/>
                <w:szCs w:val="22"/>
                <w:color w:val="auto"/>
              </w:rPr>
              <w:t>Increase in GAAP net asset value per share</w:t>
            </w:r>
          </w:p>
        </w:tc>
        <w:tc>
          <w:tcPr>
            <w:tcW w:w="17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327"/>
        </w:trPr>
        <w:tc>
          <w:tcPr>
            <w:tcW w:w="6120" w:type="dxa"/>
            <w:vAlign w:val="bottom"/>
          </w:tcPr>
          <w:p>
            <w:pPr>
              <w:ind w:left="400"/>
              <w:spacing w:after="0" w:line="326" w:lineRule="exact"/>
              <w:rPr>
                <w:sz w:val="20"/>
                <w:szCs w:val="20"/>
                <w:color w:val="auto"/>
              </w:rPr>
            </w:pPr>
            <w:r>
              <w:rPr>
                <w:rFonts w:ascii="Arial" w:cs="Arial" w:eastAsia="Arial" w:hAnsi="Arial"/>
                <w:sz w:val="22"/>
                <w:szCs w:val="22"/>
                <w:color w:val="auto"/>
              </w:rPr>
              <w:t xml:space="preserve">Adjusted net asset value per share </w:t>
            </w:r>
            <w:r>
              <w:rPr>
                <w:rFonts w:ascii="Arial" w:cs="Arial" w:eastAsia="Arial" w:hAnsi="Arial"/>
                <w:sz w:val="35"/>
                <w:szCs w:val="35"/>
                <w:color w:val="auto"/>
                <w:vertAlign w:val="superscript"/>
              </w:rPr>
              <w:t>(2)</w:t>
            </w:r>
          </w:p>
        </w:tc>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9.83</w:t>
            </w:r>
          </w:p>
        </w:tc>
        <w:tc>
          <w:tcPr>
            <w:tcW w:w="0" w:type="dxa"/>
            <w:vAlign w:val="bottom"/>
          </w:tcPr>
          <w:p>
            <w:pPr>
              <w:spacing w:after="0"/>
              <w:rPr>
                <w:sz w:val="1"/>
                <w:szCs w:val="1"/>
                <w:color w:val="auto"/>
              </w:rPr>
            </w:pPr>
          </w:p>
        </w:tc>
      </w:tr>
      <w:tr>
        <w:trPr>
          <w:trHeight w:val="471"/>
        </w:trPr>
        <w:tc>
          <w:tcPr>
            <w:tcW w:w="6120" w:type="dxa"/>
            <w:vAlign w:val="bottom"/>
          </w:tcPr>
          <w:p>
            <w:pPr>
              <w:ind w:left="400"/>
              <w:spacing w:after="0"/>
              <w:rPr>
                <w:sz w:val="20"/>
                <w:szCs w:val="20"/>
                <w:color w:val="auto"/>
              </w:rPr>
            </w:pPr>
            <w:r>
              <w:rPr>
                <w:rFonts w:ascii="Arial" w:cs="Arial" w:eastAsia="Arial" w:hAnsi="Arial"/>
                <w:sz w:val="22"/>
                <w:szCs w:val="22"/>
                <w:color w:val="auto"/>
              </w:rPr>
              <w:t xml:space="preserve">Increase in adjusted net asset value per share </w:t>
            </w:r>
            <w:r>
              <w:rPr>
                <w:rFonts w:ascii="Arial" w:cs="Arial" w:eastAsia="Arial" w:hAnsi="Arial"/>
                <w:sz w:val="35"/>
                <w:szCs w:val="35"/>
                <w:color w:val="auto"/>
                <w:vertAlign w:val="superscript"/>
              </w:rPr>
              <w:t>(2)</w:t>
            </w:r>
          </w:p>
        </w:tc>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386"/>
        </w:trPr>
        <w:tc>
          <w:tcPr>
            <w:tcW w:w="6120" w:type="dxa"/>
            <w:vAlign w:val="bottom"/>
          </w:tcPr>
          <w:p>
            <w:pPr>
              <w:ind w:left="260"/>
              <w:spacing w:after="0"/>
              <w:rPr>
                <w:sz w:val="20"/>
                <w:szCs w:val="20"/>
                <w:color w:val="auto"/>
              </w:rPr>
            </w:pPr>
            <w:r>
              <w:rPr>
                <w:rFonts w:ascii="Arial" w:cs="Arial" w:eastAsia="Arial" w:hAnsi="Arial"/>
                <w:sz w:val="22"/>
                <w:szCs w:val="22"/>
                <w:color w:val="auto"/>
              </w:rPr>
              <w:t>Credit Facility</w:t>
            </w:r>
          </w:p>
        </w:tc>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314.8</w:t>
            </w:r>
          </w:p>
        </w:tc>
        <w:tc>
          <w:tcPr>
            <w:tcW w:w="0" w:type="dxa"/>
            <w:vAlign w:val="bottom"/>
          </w:tcPr>
          <w:p>
            <w:pPr>
              <w:spacing w:after="0"/>
              <w:rPr>
                <w:sz w:val="1"/>
                <w:szCs w:val="1"/>
                <w:color w:val="auto"/>
              </w:rPr>
            </w:pPr>
          </w:p>
        </w:tc>
      </w:tr>
      <w:tr>
        <w:trPr>
          <w:trHeight w:val="270"/>
        </w:trPr>
        <w:tc>
          <w:tcPr>
            <w:tcW w:w="6120" w:type="dxa"/>
            <w:vAlign w:val="bottom"/>
          </w:tcPr>
          <w:p>
            <w:pPr>
              <w:ind w:left="260"/>
              <w:spacing w:after="0"/>
              <w:rPr>
                <w:sz w:val="20"/>
                <w:szCs w:val="20"/>
                <w:color w:val="auto"/>
              </w:rPr>
            </w:pPr>
            <w:r>
              <w:rPr>
                <w:rFonts w:ascii="Arial" w:cs="Arial" w:eastAsia="Arial" w:hAnsi="Arial"/>
                <w:sz w:val="22"/>
                <w:szCs w:val="22"/>
                <w:color w:val="auto"/>
              </w:rPr>
              <w:t>2024 Notes</w:t>
            </w:r>
          </w:p>
        </w:tc>
        <w:tc>
          <w:tcPr>
            <w:tcW w:w="17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84.5</w:t>
            </w:r>
          </w:p>
        </w:tc>
        <w:tc>
          <w:tcPr>
            <w:tcW w:w="0" w:type="dxa"/>
            <w:vAlign w:val="bottom"/>
          </w:tcPr>
          <w:p>
            <w:pPr>
              <w:spacing w:after="0"/>
              <w:rPr>
                <w:sz w:val="1"/>
                <w:szCs w:val="1"/>
                <w:color w:val="auto"/>
              </w:rPr>
            </w:pPr>
          </w:p>
        </w:tc>
      </w:tr>
      <w:tr>
        <w:trPr>
          <w:trHeight w:val="270"/>
        </w:trPr>
        <w:tc>
          <w:tcPr>
            <w:tcW w:w="6120" w:type="dxa"/>
            <w:vAlign w:val="bottom"/>
          </w:tcPr>
          <w:p>
            <w:pPr>
              <w:ind w:left="260"/>
              <w:spacing w:after="0"/>
              <w:rPr>
                <w:sz w:val="20"/>
                <w:szCs w:val="20"/>
                <w:color w:val="auto"/>
              </w:rPr>
            </w:pPr>
            <w:r>
              <w:rPr>
                <w:rFonts w:ascii="Arial" w:cs="Arial" w:eastAsia="Arial" w:hAnsi="Arial"/>
                <w:sz w:val="22"/>
                <w:szCs w:val="22"/>
                <w:color w:val="auto"/>
              </w:rPr>
              <w:t>2026 Notes</w:t>
            </w:r>
          </w:p>
        </w:tc>
        <w:tc>
          <w:tcPr>
            <w:tcW w:w="17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145.9</w:t>
            </w:r>
          </w:p>
        </w:tc>
        <w:tc>
          <w:tcPr>
            <w:tcW w:w="0" w:type="dxa"/>
            <w:vAlign w:val="bottom"/>
          </w:tcPr>
          <w:p>
            <w:pPr>
              <w:spacing w:after="0"/>
              <w:rPr>
                <w:sz w:val="1"/>
                <w:szCs w:val="1"/>
                <w:color w:val="auto"/>
              </w:rPr>
            </w:pPr>
          </w:p>
        </w:tc>
      </w:tr>
      <w:tr>
        <w:trPr>
          <w:trHeight w:val="270"/>
        </w:trPr>
        <w:tc>
          <w:tcPr>
            <w:tcW w:w="6120" w:type="dxa"/>
            <w:vAlign w:val="bottom"/>
          </w:tcPr>
          <w:p>
            <w:pPr>
              <w:ind w:left="260"/>
              <w:spacing w:after="0"/>
              <w:rPr>
                <w:sz w:val="20"/>
                <w:szCs w:val="20"/>
                <w:color w:val="auto"/>
              </w:rPr>
            </w:pPr>
            <w:r>
              <w:rPr>
                <w:rFonts w:ascii="Arial" w:cs="Arial" w:eastAsia="Arial" w:hAnsi="Arial"/>
                <w:sz w:val="22"/>
                <w:szCs w:val="22"/>
                <w:color w:val="auto"/>
              </w:rPr>
              <w:t>SBA Debentures</w:t>
            </w:r>
          </w:p>
        </w:tc>
        <w:tc>
          <w:tcPr>
            <w:tcW w:w="17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62.2</w:t>
            </w:r>
          </w:p>
        </w:tc>
        <w:tc>
          <w:tcPr>
            <w:tcW w:w="0" w:type="dxa"/>
            <w:vAlign w:val="bottom"/>
          </w:tcPr>
          <w:p>
            <w:pPr>
              <w:spacing w:after="0"/>
              <w:rPr>
                <w:sz w:val="1"/>
                <w:szCs w:val="1"/>
                <w:color w:val="auto"/>
              </w:rPr>
            </w:pPr>
          </w:p>
        </w:tc>
      </w:tr>
      <w:tr>
        <w:trPr>
          <w:trHeight w:val="274"/>
        </w:trPr>
        <w:tc>
          <w:tcPr>
            <w:tcW w:w="6120" w:type="dxa"/>
            <w:vAlign w:val="bottom"/>
          </w:tcPr>
          <w:p>
            <w:pPr>
              <w:ind w:left="120"/>
              <w:spacing w:after="0"/>
              <w:rPr>
                <w:sz w:val="20"/>
                <w:szCs w:val="20"/>
                <w:color w:val="auto"/>
              </w:rPr>
            </w:pPr>
            <w:r>
              <w:rPr>
                <w:rFonts w:ascii="Arial" w:cs="Arial" w:eastAsia="Arial" w:hAnsi="Arial"/>
                <w:sz w:val="22"/>
                <w:szCs w:val="22"/>
                <w:color w:val="auto"/>
              </w:rPr>
              <w:t>Regulatory Debt to Equity</w:t>
            </w:r>
          </w:p>
        </w:tc>
        <w:tc>
          <w:tcPr>
            <w:tcW w:w="17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0.83x</w:t>
            </w:r>
          </w:p>
        </w:tc>
        <w:tc>
          <w:tcPr>
            <w:tcW w:w="0" w:type="dxa"/>
            <w:vAlign w:val="bottom"/>
          </w:tcPr>
          <w:p>
            <w:pPr>
              <w:spacing w:after="0"/>
              <w:rPr>
                <w:sz w:val="1"/>
                <w:szCs w:val="1"/>
                <w:color w:val="auto"/>
              </w:rPr>
            </w:pPr>
          </w:p>
        </w:tc>
      </w:tr>
      <w:tr>
        <w:trPr>
          <w:trHeight w:val="327"/>
        </w:trPr>
        <w:tc>
          <w:tcPr>
            <w:tcW w:w="6120" w:type="dxa"/>
            <w:vAlign w:val="bottom"/>
          </w:tcPr>
          <w:p>
            <w:pPr>
              <w:ind w:left="120"/>
              <w:spacing w:after="0" w:line="326" w:lineRule="exact"/>
              <w:rPr>
                <w:sz w:val="20"/>
                <w:szCs w:val="20"/>
                <w:color w:val="auto"/>
              </w:rPr>
            </w:pPr>
            <w:r>
              <w:rPr>
                <w:rFonts w:ascii="Arial" w:cs="Arial" w:eastAsia="Arial" w:hAnsi="Arial"/>
                <w:sz w:val="22"/>
                <w:szCs w:val="22"/>
                <w:color w:val="auto"/>
              </w:rPr>
              <w:t xml:space="preserve">Regulatory Net Debt to Equity </w:t>
            </w:r>
            <w:r>
              <w:rPr>
                <w:rFonts w:ascii="Arial" w:cs="Arial" w:eastAsia="Arial" w:hAnsi="Arial"/>
                <w:sz w:val="35"/>
                <w:szCs w:val="35"/>
                <w:color w:val="auto"/>
                <w:vertAlign w:val="superscript"/>
              </w:rPr>
              <w:t>(3)</w:t>
            </w:r>
          </w:p>
        </w:tc>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0.80x</w:t>
            </w:r>
          </w:p>
        </w:tc>
        <w:tc>
          <w:tcPr>
            <w:tcW w:w="0" w:type="dxa"/>
            <w:vAlign w:val="bottom"/>
          </w:tcPr>
          <w:p>
            <w:pPr>
              <w:spacing w:after="0"/>
              <w:rPr>
                <w:sz w:val="1"/>
                <w:szCs w:val="1"/>
                <w:color w:val="auto"/>
              </w:rPr>
            </w:pPr>
          </w:p>
        </w:tc>
      </w:tr>
      <w:tr>
        <w:trPr>
          <w:trHeight w:val="471"/>
        </w:trPr>
        <w:tc>
          <w:tcPr>
            <w:tcW w:w="6120" w:type="dxa"/>
            <w:vAlign w:val="bottom"/>
          </w:tcPr>
          <w:p>
            <w:pPr>
              <w:ind w:left="120"/>
              <w:spacing w:after="0"/>
              <w:rPr>
                <w:sz w:val="20"/>
                <w:szCs w:val="20"/>
                <w:color w:val="auto"/>
              </w:rPr>
            </w:pPr>
            <w:r>
              <w:rPr>
                <w:rFonts w:ascii="Arial" w:cs="Arial" w:eastAsia="Arial" w:hAnsi="Arial"/>
                <w:sz w:val="22"/>
                <w:szCs w:val="22"/>
                <w:color w:val="auto"/>
              </w:rPr>
              <w:t xml:space="preserve">GAAP Net Debt to Equity </w:t>
            </w:r>
            <w:r>
              <w:rPr>
                <w:rFonts w:ascii="Arial" w:cs="Arial" w:eastAsia="Arial" w:hAnsi="Arial"/>
                <w:sz w:val="35"/>
                <w:szCs w:val="35"/>
                <w:color w:val="auto"/>
                <w:vertAlign w:val="superscript"/>
              </w:rPr>
              <w:t>(4)</w:t>
            </w:r>
          </w:p>
        </w:tc>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0.89x</w:t>
            </w:r>
          </w:p>
        </w:tc>
        <w:tc>
          <w:tcPr>
            <w:tcW w:w="0" w:type="dxa"/>
            <w:vAlign w:val="bottom"/>
          </w:tcPr>
          <w:p>
            <w:pPr>
              <w:spacing w:after="0"/>
              <w:rPr>
                <w:sz w:val="1"/>
                <w:szCs w:val="1"/>
                <w:color w:val="auto"/>
              </w:rPr>
            </w:pPr>
          </w:p>
        </w:tc>
      </w:tr>
      <w:tr>
        <w:trPr>
          <w:trHeight w:val="390"/>
        </w:trPr>
        <w:tc>
          <w:tcPr>
            <w:tcW w:w="6120" w:type="dxa"/>
            <w:vAlign w:val="bottom"/>
          </w:tcPr>
          <w:p>
            <w:pPr>
              <w:spacing w:after="0"/>
              <w:rPr>
                <w:sz w:val="20"/>
                <w:szCs w:val="20"/>
                <w:color w:val="auto"/>
              </w:rPr>
            </w:pPr>
            <w:r>
              <w:rPr>
                <w:rFonts w:ascii="Arial" w:cs="Arial" w:eastAsia="Arial" w:hAnsi="Arial"/>
                <w:sz w:val="22"/>
                <w:szCs w:val="22"/>
                <w:color w:val="auto"/>
              </w:rPr>
              <w:t>Yield on debt investments at quarter-end</w:t>
            </w:r>
          </w:p>
        </w:tc>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9.0%</w:t>
            </w:r>
          </w:p>
        </w:tc>
        <w:tc>
          <w:tcPr>
            <w:tcW w:w="0" w:type="dxa"/>
            <w:vAlign w:val="bottom"/>
          </w:tcPr>
          <w:p>
            <w:pPr>
              <w:spacing w:after="0"/>
              <w:rPr>
                <w:sz w:val="1"/>
                <w:szCs w:val="1"/>
                <w:color w:val="auto"/>
              </w:rPr>
            </w:pPr>
          </w:p>
        </w:tc>
      </w:tr>
      <w:tr>
        <w:trPr>
          <w:trHeight w:val="908"/>
        </w:trPr>
        <w:tc>
          <w:tcPr>
            <w:tcW w:w="6120" w:type="dxa"/>
            <w:vAlign w:val="bottom"/>
          </w:tcPr>
          <w:p>
            <w:pPr>
              <w:spacing w:after="0"/>
              <w:rPr>
                <w:sz w:val="24"/>
                <w:szCs w:val="24"/>
                <w:color w:val="auto"/>
              </w:rPr>
            </w:pPr>
          </w:p>
        </w:tc>
        <w:tc>
          <w:tcPr>
            <w:tcW w:w="3240" w:type="dxa"/>
            <w:vAlign w:val="bottom"/>
            <w:gridSpan w:val="2"/>
          </w:tcPr>
          <w:p>
            <w:pPr>
              <w:jc w:val="center"/>
              <w:ind w:left="1432"/>
              <w:spacing w:after="0"/>
              <w:rPr>
                <w:sz w:val="20"/>
                <w:szCs w:val="20"/>
                <w:color w:val="auto"/>
              </w:rPr>
            </w:pPr>
            <w:r>
              <w:rPr>
                <w:rFonts w:ascii="Arial" w:cs="Arial" w:eastAsia="Arial" w:hAnsi="Arial"/>
                <w:sz w:val="22"/>
                <w:szCs w:val="22"/>
                <w:b w:val="1"/>
                <w:bCs w:val="1"/>
                <w:color w:val="auto"/>
                <w:w w:val="92"/>
              </w:rPr>
              <w:t>Quarter Ended</w:t>
            </w:r>
          </w:p>
        </w:tc>
        <w:tc>
          <w:tcPr>
            <w:tcW w:w="280" w:type="dxa"/>
            <w:vAlign w:val="bottom"/>
          </w:tcPr>
          <w:p>
            <w:pPr>
              <w:spacing w:after="0"/>
              <w:rPr>
                <w:sz w:val="24"/>
                <w:szCs w:val="24"/>
                <w:color w:val="auto"/>
              </w:rPr>
            </w:pPr>
          </w:p>
        </w:tc>
        <w:tc>
          <w:tcPr>
            <w:tcW w:w="156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Year Ended</w:t>
            </w:r>
          </w:p>
        </w:tc>
        <w:tc>
          <w:tcPr>
            <w:tcW w:w="0" w:type="dxa"/>
            <w:vAlign w:val="bottom"/>
          </w:tcPr>
          <w:p>
            <w:pPr>
              <w:spacing w:after="0"/>
              <w:rPr>
                <w:sz w:val="1"/>
                <w:szCs w:val="1"/>
                <w:color w:val="auto"/>
              </w:rPr>
            </w:pPr>
          </w:p>
        </w:tc>
      </w:tr>
      <w:tr>
        <w:trPr>
          <w:trHeight w:val="243"/>
        </w:trPr>
        <w:tc>
          <w:tcPr>
            <w:tcW w:w="6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20" w:type="dxa"/>
            <w:vAlign w:val="bottom"/>
          </w:tcPr>
          <w:p>
            <w:pPr>
              <w:jc w:val="center"/>
              <w:ind w:right="92"/>
              <w:spacing w:after="0" w:line="243" w:lineRule="exact"/>
              <w:rPr>
                <w:sz w:val="20"/>
                <w:szCs w:val="20"/>
                <w:color w:val="auto"/>
              </w:rPr>
            </w:pPr>
            <w:r>
              <w:rPr>
                <w:rFonts w:ascii="Arial" w:cs="Arial" w:eastAsia="Arial" w:hAnsi="Arial"/>
                <w:sz w:val="22"/>
                <w:szCs w:val="22"/>
                <w:b w:val="1"/>
                <w:bCs w:val="1"/>
                <w:color w:val="auto"/>
                <w:w w:val="87"/>
              </w:rPr>
              <w:t>September 30,</w:t>
            </w:r>
          </w:p>
        </w:tc>
        <w:tc>
          <w:tcPr>
            <w:tcW w:w="280" w:type="dxa"/>
            <w:vAlign w:val="bottom"/>
          </w:tcPr>
          <w:p>
            <w:pPr>
              <w:spacing w:after="0"/>
              <w:rPr>
                <w:sz w:val="21"/>
                <w:szCs w:val="21"/>
                <w:color w:val="auto"/>
              </w:rPr>
            </w:pPr>
          </w:p>
        </w:tc>
        <w:tc>
          <w:tcPr>
            <w:tcW w:w="1560" w:type="dxa"/>
            <w:vAlign w:val="bottom"/>
          </w:tcPr>
          <w:p>
            <w:pPr>
              <w:jc w:val="center"/>
              <w:ind w:right="92"/>
              <w:spacing w:after="0" w:line="243" w:lineRule="exact"/>
              <w:rPr>
                <w:sz w:val="20"/>
                <w:szCs w:val="20"/>
                <w:color w:val="auto"/>
              </w:rPr>
            </w:pPr>
            <w:r>
              <w:rPr>
                <w:rFonts w:ascii="Arial" w:cs="Arial" w:eastAsia="Arial" w:hAnsi="Arial"/>
                <w:sz w:val="22"/>
                <w:szCs w:val="22"/>
                <w:b w:val="1"/>
                <w:bCs w:val="1"/>
                <w:color w:val="auto"/>
                <w:w w:val="87"/>
              </w:rPr>
              <w:t>September 30,</w:t>
            </w:r>
          </w:p>
        </w:tc>
        <w:tc>
          <w:tcPr>
            <w:tcW w:w="0" w:type="dxa"/>
            <w:vAlign w:val="bottom"/>
          </w:tcPr>
          <w:p>
            <w:pPr>
              <w:spacing w:after="0"/>
              <w:rPr>
                <w:sz w:val="1"/>
                <w:szCs w:val="1"/>
                <w:color w:val="auto"/>
              </w:rPr>
            </w:pPr>
          </w:p>
        </w:tc>
      </w:tr>
      <w:tr>
        <w:trPr>
          <w:trHeight w:val="280"/>
        </w:trPr>
        <w:tc>
          <w:tcPr>
            <w:tcW w:w="6120" w:type="dxa"/>
            <w:vAlign w:val="bottom"/>
            <w:vMerge w:val="restart"/>
          </w:tcPr>
          <w:p>
            <w:pPr>
              <w:spacing w:after="0"/>
              <w:rPr>
                <w:sz w:val="20"/>
                <w:szCs w:val="20"/>
                <w:color w:val="auto"/>
              </w:rPr>
            </w:pPr>
            <w:r>
              <w:rPr>
                <w:rFonts w:ascii="Arial" w:cs="Arial" w:eastAsia="Arial" w:hAnsi="Arial"/>
                <w:sz w:val="22"/>
                <w:szCs w:val="22"/>
                <w:color w:val="auto"/>
              </w:rPr>
              <w:t>Operating Results:</w:t>
            </w:r>
          </w:p>
        </w:tc>
        <w:tc>
          <w:tcPr>
            <w:tcW w:w="1720" w:type="dxa"/>
            <w:vAlign w:val="bottom"/>
          </w:tcPr>
          <w:p>
            <w:pPr>
              <w:spacing w:after="0"/>
              <w:rPr>
                <w:sz w:val="24"/>
                <w:szCs w:val="24"/>
                <w:color w:val="auto"/>
              </w:rPr>
            </w:pPr>
          </w:p>
        </w:tc>
        <w:tc>
          <w:tcPr>
            <w:tcW w:w="1520" w:type="dxa"/>
            <w:vAlign w:val="bottom"/>
          </w:tcPr>
          <w:p>
            <w:pPr>
              <w:jc w:val="center"/>
              <w:ind w:right="72"/>
              <w:spacing w:after="0"/>
              <w:rPr>
                <w:sz w:val="20"/>
                <w:szCs w:val="20"/>
                <w:color w:val="auto"/>
              </w:rPr>
            </w:pPr>
            <w:r>
              <w:rPr>
                <w:rFonts w:ascii="Arial" w:cs="Arial" w:eastAsia="Arial" w:hAnsi="Arial"/>
                <w:sz w:val="22"/>
                <w:szCs w:val="22"/>
                <w:b w:val="1"/>
                <w:bCs w:val="1"/>
                <w:color w:val="auto"/>
                <w:w w:val="85"/>
              </w:rPr>
              <w:t>2021</w:t>
            </w:r>
          </w:p>
        </w:tc>
        <w:tc>
          <w:tcPr>
            <w:tcW w:w="280" w:type="dxa"/>
            <w:vAlign w:val="bottom"/>
          </w:tcPr>
          <w:p>
            <w:pPr>
              <w:spacing w:after="0"/>
              <w:rPr>
                <w:sz w:val="24"/>
                <w:szCs w:val="24"/>
                <w:color w:val="auto"/>
              </w:rPr>
            </w:pPr>
          </w:p>
        </w:tc>
        <w:tc>
          <w:tcPr>
            <w:tcW w:w="156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2021</w:t>
            </w:r>
          </w:p>
        </w:tc>
        <w:tc>
          <w:tcPr>
            <w:tcW w:w="0" w:type="dxa"/>
            <w:vAlign w:val="bottom"/>
          </w:tcPr>
          <w:p>
            <w:pPr>
              <w:spacing w:after="0"/>
              <w:rPr>
                <w:sz w:val="1"/>
                <w:szCs w:val="1"/>
                <w:color w:val="auto"/>
              </w:rPr>
            </w:pPr>
          </w:p>
        </w:tc>
      </w:tr>
      <w:tr>
        <w:trPr>
          <w:trHeight w:val="266"/>
        </w:trPr>
        <w:tc>
          <w:tcPr>
            <w:tcW w:w="6120" w:type="dxa"/>
            <w:vAlign w:val="bottom"/>
            <w:vMerge w:val="continue"/>
          </w:tcPr>
          <w:p>
            <w:pPr>
              <w:spacing w:after="0"/>
              <w:rPr>
                <w:sz w:val="23"/>
                <w:szCs w:val="23"/>
                <w:color w:val="auto"/>
              </w:rPr>
            </w:pPr>
          </w:p>
        </w:tc>
        <w:tc>
          <w:tcPr>
            <w:tcW w:w="17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20" w:type="dxa"/>
            <w:vAlign w:val="bottom"/>
          </w:tcPr>
          <w:p>
            <w:pPr>
              <w:ind w:left="200"/>
              <w:spacing w:after="0"/>
              <w:rPr>
                <w:sz w:val="20"/>
                <w:szCs w:val="20"/>
                <w:color w:val="auto"/>
              </w:rPr>
            </w:pPr>
            <w:r>
              <w:rPr>
                <w:rFonts w:ascii="Arial" w:cs="Arial" w:eastAsia="Arial" w:hAnsi="Arial"/>
                <w:sz w:val="22"/>
                <w:szCs w:val="22"/>
                <w:color w:val="auto"/>
              </w:rPr>
              <w:t>Net investment income</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1520" w:type="dxa"/>
            <w:vAlign w:val="bottom"/>
          </w:tcPr>
          <w:p>
            <w:pPr>
              <w:jc w:val="right"/>
              <w:spacing w:after="0"/>
              <w:rPr>
                <w:sz w:val="20"/>
                <w:szCs w:val="20"/>
                <w:color w:val="auto"/>
              </w:rPr>
            </w:pPr>
            <w:r>
              <w:rPr>
                <w:rFonts w:ascii="Arial" w:cs="Arial" w:eastAsia="Arial" w:hAnsi="Arial"/>
                <w:sz w:val="22"/>
                <w:szCs w:val="22"/>
                <w:color w:val="auto"/>
              </w:rPr>
              <w:t>11.3</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560" w:type="dxa"/>
            <w:vAlign w:val="bottom"/>
          </w:tcPr>
          <w:p>
            <w:pPr>
              <w:jc w:val="right"/>
              <w:spacing w:after="0"/>
              <w:rPr>
                <w:sz w:val="20"/>
                <w:szCs w:val="20"/>
                <w:color w:val="auto"/>
              </w:rPr>
            </w:pPr>
            <w:r>
              <w:rPr>
                <w:rFonts w:ascii="Arial" w:cs="Arial" w:eastAsia="Arial" w:hAnsi="Arial"/>
                <w:sz w:val="22"/>
                <w:szCs w:val="22"/>
                <w:color w:val="auto"/>
              </w:rPr>
              <w:t>36.5</w:t>
            </w:r>
          </w:p>
        </w:tc>
        <w:tc>
          <w:tcPr>
            <w:tcW w:w="0" w:type="dxa"/>
            <w:vAlign w:val="bottom"/>
          </w:tcPr>
          <w:p>
            <w:pPr>
              <w:spacing w:after="0"/>
              <w:rPr>
                <w:sz w:val="1"/>
                <w:szCs w:val="1"/>
                <w:color w:val="auto"/>
              </w:rPr>
            </w:pPr>
          </w:p>
        </w:tc>
      </w:tr>
      <w:tr>
        <w:trPr>
          <w:trHeight w:val="270"/>
        </w:trPr>
        <w:tc>
          <w:tcPr>
            <w:tcW w:w="6120" w:type="dxa"/>
            <w:vAlign w:val="bottom"/>
          </w:tcPr>
          <w:p>
            <w:pPr>
              <w:ind w:left="200"/>
              <w:spacing w:after="0"/>
              <w:rPr>
                <w:sz w:val="20"/>
                <w:szCs w:val="20"/>
                <w:color w:val="auto"/>
              </w:rPr>
            </w:pPr>
            <w:r>
              <w:rPr>
                <w:rFonts w:ascii="Arial" w:cs="Arial" w:eastAsia="Arial" w:hAnsi="Arial"/>
                <w:sz w:val="22"/>
                <w:szCs w:val="22"/>
                <w:color w:val="auto"/>
              </w:rPr>
              <w:t>GAAP net investment income per share</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1520" w:type="dxa"/>
            <w:vAlign w:val="bottom"/>
          </w:tcPr>
          <w:p>
            <w:pPr>
              <w:jc w:val="right"/>
              <w:spacing w:after="0"/>
              <w:rPr>
                <w:sz w:val="20"/>
                <w:szCs w:val="20"/>
                <w:color w:val="auto"/>
              </w:rPr>
            </w:pPr>
            <w:r>
              <w:rPr>
                <w:rFonts w:ascii="Arial" w:cs="Arial" w:eastAsia="Arial" w:hAnsi="Arial"/>
                <w:sz w:val="22"/>
                <w:szCs w:val="22"/>
                <w:color w:val="auto"/>
              </w:rPr>
              <w:t>0.17</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560" w:type="dxa"/>
            <w:vAlign w:val="bottom"/>
          </w:tcPr>
          <w:p>
            <w:pPr>
              <w:jc w:val="right"/>
              <w:spacing w:after="0"/>
              <w:rPr>
                <w:sz w:val="20"/>
                <w:szCs w:val="20"/>
                <w:color w:val="auto"/>
              </w:rPr>
            </w:pPr>
            <w:r>
              <w:rPr>
                <w:rFonts w:ascii="Arial" w:cs="Arial" w:eastAsia="Arial" w:hAnsi="Arial"/>
                <w:sz w:val="22"/>
                <w:szCs w:val="22"/>
                <w:color w:val="auto"/>
              </w:rPr>
              <w:t>0.54</w:t>
            </w:r>
          </w:p>
        </w:tc>
        <w:tc>
          <w:tcPr>
            <w:tcW w:w="0" w:type="dxa"/>
            <w:vAlign w:val="bottom"/>
          </w:tcPr>
          <w:p>
            <w:pPr>
              <w:spacing w:after="0"/>
              <w:rPr>
                <w:sz w:val="1"/>
                <w:szCs w:val="1"/>
                <w:color w:val="auto"/>
              </w:rPr>
            </w:pPr>
          </w:p>
        </w:tc>
      </w:tr>
      <w:tr>
        <w:trPr>
          <w:trHeight w:val="274"/>
        </w:trPr>
        <w:tc>
          <w:tcPr>
            <w:tcW w:w="6120" w:type="dxa"/>
            <w:vAlign w:val="bottom"/>
          </w:tcPr>
          <w:p>
            <w:pPr>
              <w:ind w:left="200"/>
              <w:spacing w:after="0"/>
              <w:rPr>
                <w:sz w:val="20"/>
                <w:szCs w:val="20"/>
                <w:color w:val="auto"/>
              </w:rPr>
            </w:pPr>
            <w:r>
              <w:rPr>
                <w:rFonts w:ascii="Arial" w:cs="Arial" w:eastAsia="Arial" w:hAnsi="Arial"/>
                <w:sz w:val="22"/>
                <w:szCs w:val="22"/>
                <w:color w:val="auto"/>
              </w:rPr>
              <w:t>Distributions declared per share</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1520" w:type="dxa"/>
            <w:vAlign w:val="bottom"/>
          </w:tcPr>
          <w:p>
            <w:pPr>
              <w:jc w:val="right"/>
              <w:spacing w:after="0"/>
              <w:rPr>
                <w:sz w:val="20"/>
                <w:szCs w:val="20"/>
                <w:color w:val="auto"/>
              </w:rPr>
            </w:pPr>
            <w:r>
              <w:rPr>
                <w:rFonts w:ascii="Arial" w:cs="Arial" w:eastAsia="Arial" w:hAnsi="Arial"/>
                <w:sz w:val="22"/>
                <w:szCs w:val="22"/>
                <w:color w:val="auto"/>
              </w:rPr>
              <w:t>0.12</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560" w:type="dxa"/>
            <w:vAlign w:val="bottom"/>
          </w:tcPr>
          <w:p>
            <w:pPr>
              <w:jc w:val="right"/>
              <w:spacing w:after="0"/>
              <w:rPr>
                <w:sz w:val="20"/>
                <w:szCs w:val="20"/>
                <w:color w:val="auto"/>
              </w:rPr>
            </w:pPr>
            <w:r>
              <w:rPr>
                <w:rFonts w:ascii="Arial" w:cs="Arial" w:eastAsia="Arial" w:hAnsi="Arial"/>
                <w:sz w:val="22"/>
                <w:szCs w:val="22"/>
                <w:color w:val="auto"/>
              </w:rPr>
              <w:t>0.48</w:t>
            </w:r>
          </w:p>
        </w:tc>
        <w:tc>
          <w:tcPr>
            <w:tcW w:w="0" w:type="dxa"/>
            <w:vAlign w:val="bottom"/>
          </w:tcPr>
          <w:p>
            <w:pPr>
              <w:spacing w:after="0"/>
              <w:rPr>
                <w:sz w:val="1"/>
                <w:szCs w:val="1"/>
                <w:color w:val="auto"/>
              </w:rPr>
            </w:pPr>
          </w:p>
        </w:tc>
      </w:tr>
      <w:tr>
        <w:trPr>
          <w:trHeight w:val="536"/>
        </w:trPr>
        <w:tc>
          <w:tcPr>
            <w:tcW w:w="6120" w:type="dxa"/>
            <w:vAlign w:val="bottom"/>
          </w:tcPr>
          <w:p>
            <w:pPr>
              <w:spacing w:after="0"/>
              <w:rPr>
                <w:sz w:val="20"/>
                <w:szCs w:val="20"/>
                <w:color w:val="auto"/>
              </w:rPr>
            </w:pPr>
            <w:r>
              <w:rPr>
                <w:rFonts w:ascii="Arial" w:cs="Arial" w:eastAsia="Arial" w:hAnsi="Arial"/>
                <w:sz w:val="22"/>
                <w:szCs w:val="22"/>
                <w:color w:val="auto"/>
              </w:rPr>
              <w:t>Portfolio Activity:</w:t>
            </w:r>
          </w:p>
        </w:tc>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20" w:type="dxa"/>
            <w:vAlign w:val="bottom"/>
          </w:tcPr>
          <w:p>
            <w:pPr>
              <w:ind w:left="200"/>
              <w:spacing w:after="0"/>
              <w:rPr>
                <w:sz w:val="20"/>
                <w:szCs w:val="20"/>
                <w:color w:val="auto"/>
              </w:rPr>
            </w:pPr>
            <w:r>
              <w:rPr>
                <w:rFonts w:ascii="Arial" w:cs="Arial" w:eastAsia="Arial" w:hAnsi="Arial"/>
                <w:sz w:val="22"/>
                <w:szCs w:val="22"/>
                <w:color w:val="auto"/>
              </w:rPr>
              <w:t>Purchases of investments</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1520" w:type="dxa"/>
            <w:vAlign w:val="bottom"/>
          </w:tcPr>
          <w:p>
            <w:pPr>
              <w:jc w:val="right"/>
              <w:spacing w:after="0"/>
              <w:rPr>
                <w:sz w:val="20"/>
                <w:szCs w:val="20"/>
                <w:color w:val="auto"/>
              </w:rPr>
            </w:pPr>
            <w:r>
              <w:rPr>
                <w:rFonts w:ascii="Arial" w:cs="Arial" w:eastAsia="Arial" w:hAnsi="Arial"/>
                <w:sz w:val="22"/>
                <w:szCs w:val="22"/>
                <w:color w:val="auto"/>
              </w:rPr>
              <w:t>165.0</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560" w:type="dxa"/>
            <w:vAlign w:val="bottom"/>
          </w:tcPr>
          <w:p>
            <w:pPr>
              <w:jc w:val="right"/>
              <w:spacing w:after="0"/>
              <w:rPr>
                <w:sz w:val="20"/>
                <w:szCs w:val="20"/>
                <w:color w:val="auto"/>
              </w:rPr>
            </w:pPr>
            <w:r>
              <w:rPr>
                <w:rFonts w:ascii="Arial" w:cs="Arial" w:eastAsia="Arial" w:hAnsi="Arial"/>
                <w:sz w:val="22"/>
                <w:szCs w:val="22"/>
                <w:color w:val="auto"/>
              </w:rPr>
              <w:t>441.4</w:t>
            </w:r>
          </w:p>
        </w:tc>
        <w:tc>
          <w:tcPr>
            <w:tcW w:w="0" w:type="dxa"/>
            <w:vAlign w:val="bottom"/>
          </w:tcPr>
          <w:p>
            <w:pPr>
              <w:spacing w:after="0"/>
              <w:rPr>
                <w:sz w:val="1"/>
                <w:szCs w:val="1"/>
                <w:color w:val="auto"/>
              </w:rPr>
            </w:pPr>
          </w:p>
        </w:tc>
      </w:tr>
      <w:tr>
        <w:trPr>
          <w:trHeight w:val="274"/>
        </w:trPr>
        <w:tc>
          <w:tcPr>
            <w:tcW w:w="6120" w:type="dxa"/>
            <w:vAlign w:val="bottom"/>
          </w:tcPr>
          <w:p>
            <w:pPr>
              <w:ind w:left="200"/>
              <w:spacing w:after="0"/>
              <w:rPr>
                <w:sz w:val="20"/>
                <w:szCs w:val="20"/>
                <w:color w:val="auto"/>
              </w:rPr>
            </w:pPr>
            <w:r>
              <w:rPr>
                <w:rFonts w:ascii="Arial" w:cs="Arial" w:eastAsia="Arial" w:hAnsi="Arial"/>
                <w:sz w:val="22"/>
                <w:szCs w:val="22"/>
                <w:color w:val="auto"/>
              </w:rPr>
              <w:t>Sales and repayments of investments</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1520" w:type="dxa"/>
            <w:vAlign w:val="bottom"/>
          </w:tcPr>
          <w:p>
            <w:pPr>
              <w:jc w:val="right"/>
              <w:spacing w:after="0"/>
              <w:rPr>
                <w:sz w:val="20"/>
                <w:szCs w:val="20"/>
                <w:color w:val="auto"/>
              </w:rPr>
            </w:pPr>
            <w:r>
              <w:rPr>
                <w:rFonts w:ascii="Arial" w:cs="Arial" w:eastAsia="Arial" w:hAnsi="Arial"/>
                <w:sz w:val="22"/>
                <w:szCs w:val="22"/>
                <w:color w:val="auto"/>
              </w:rPr>
              <w:t>75.8</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560" w:type="dxa"/>
            <w:vAlign w:val="bottom"/>
          </w:tcPr>
          <w:p>
            <w:pPr>
              <w:jc w:val="right"/>
              <w:spacing w:after="0"/>
              <w:rPr>
                <w:sz w:val="20"/>
                <w:szCs w:val="20"/>
                <w:color w:val="auto"/>
              </w:rPr>
            </w:pPr>
            <w:r>
              <w:rPr>
                <w:rFonts w:ascii="Arial" w:cs="Arial" w:eastAsia="Arial" w:hAnsi="Arial"/>
                <w:sz w:val="22"/>
                <w:szCs w:val="22"/>
                <w:color w:val="auto"/>
              </w:rPr>
              <w:t>434.5</w:t>
            </w:r>
          </w:p>
        </w:tc>
        <w:tc>
          <w:tcPr>
            <w:tcW w:w="0" w:type="dxa"/>
            <w:vAlign w:val="bottom"/>
          </w:tcPr>
          <w:p>
            <w:pPr>
              <w:spacing w:after="0"/>
              <w:rPr>
                <w:sz w:val="1"/>
                <w:szCs w:val="1"/>
                <w:color w:val="auto"/>
              </w:rPr>
            </w:pPr>
          </w:p>
        </w:tc>
      </w:tr>
      <w:tr>
        <w:trPr>
          <w:trHeight w:val="536"/>
        </w:trPr>
        <w:tc>
          <w:tcPr>
            <w:tcW w:w="6120" w:type="dxa"/>
            <w:vAlign w:val="bottom"/>
          </w:tcPr>
          <w:p>
            <w:pPr>
              <w:ind w:left="260"/>
              <w:spacing w:after="0"/>
              <w:rPr>
                <w:sz w:val="20"/>
                <w:szCs w:val="20"/>
                <w:color w:val="auto"/>
              </w:rPr>
            </w:pPr>
            <w:r>
              <w:rPr>
                <w:rFonts w:ascii="Arial" w:cs="Arial" w:eastAsia="Arial" w:hAnsi="Arial"/>
                <w:sz w:val="22"/>
                <w:szCs w:val="22"/>
                <w:color w:val="auto"/>
              </w:rPr>
              <w:t>Number of new portfolio companies invested</w:t>
            </w:r>
          </w:p>
        </w:tc>
        <w:tc>
          <w:tcPr>
            <w:tcW w:w="17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16</w:t>
            </w:r>
          </w:p>
        </w:tc>
        <w:tc>
          <w:tcPr>
            <w:tcW w:w="2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70"/>
        </w:trPr>
        <w:tc>
          <w:tcPr>
            <w:tcW w:w="6120" w:type="dxa"/>
            <w:vAlign w:val="bottom"/>
          </w:tcPr>
          <w:p>
            <w:pPr>
              <w:ind w:left="260"/>
              <w:spacing w:after="0"/>
              <w:rPr>
                <w:sz w:val="20"/>
                <w:szCs w:val="20"/>
                <w:color w:val="auto"/>
              </w:rPr>
            </w:pPr>
            <w:r>
              <w:rPr>
                <w:rFonts w:ascii="Arial" w:cs="Arial" w:eastAsia="Arial" w:hAnsi="Arial"/>
                <w:sz w:val="22"/>
                <w:szCs w:val="22"/>
                <w:color w:val="auto"/>
              </w:rPr>
              <w:t>Number of existing portfolio companies invested</w:t>
            </w:r>
          </w:p>
        </w:tc>
        <w:tc>
          <w:tcPr>
            <w:tcW w:w="17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17</w:t>
            </w:r>
          </w:p>
        </w:tc>
        <w:tc>
          <w:tcPr>
            <w:tcW w:w="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274"/>
        </w:trPr>
        <w:tc>
          <w:tcPr>
            <w:tcW w:w="6120" w:type="dxa"/>
            <w:vAlign w:val="bottom"/>
          </w:tcPr>
          <w:p>
            <w:pPr>
              <w:ind w:left="260"/>
              <w:spacing w:after="0"/>
              <w:rPr>
                <w:sz w:val="20"/>
                <w:szCs w:val="20"/>
                <w:color w:val="auto"/>
              </w:rPr>
            </w:pPr>
            <w:r>
              <w:rPr>
                <w:rFonts w:ascii="Arial" w:cs="Arial" w:eastAsia="Arial" w:hAnsi="Arial"/>
                <w:sz w:val="22"/>
                <w:szCs w:val="22"/>
                <w:color w:val="auto"/>
              </w:rPr>
              <w:t>Number of ending portfolio companies</w:t>
            </w:r>
          </w:p>
        </w:tc>
        <w:tc>
          <w:tcPr>
            <w:tcW w:w="17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97</w:t>
            </w:r>
          </w:p>
        </w:tc>
        <w:tc>
          <w:tcPr>
            <w:tcW w:w="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97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w:t>
      </w:r>
    </w:p>
    <w:p>
      <w:pPr>
        <w:spacing w:after="0" w:line="220" w:lineRule="exact"/>
        <w:rPr>
          <w:sz w:val="20"/>
          <w:szCs w:val="20"/>
          <w:color w:val="auto"/>
        </w:rPr>
      </w:pPr>
    </w:p>
    <w:p>
      <w:pPr>
        <w:ind w:left="400" w:right="20" w:hanging="379"/>
        <w:spacing w:after="0" w:line="245" w:lineRule="auto"/>
        <w:tabs>
          <w:tab w:leader="none" w:pos="40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Includes investments in PennantPark Senior Loan Fund, LLC, or PSLF, an unconsolidated joint venture, totaling $105.3 million, at fair value.</w:t>
      </w:r>
    </w:p>
    <w:p>
      <w:pPr>
        <w:jc w:val="both"/>
        <w:ind w:left="400" w:right="20" w:hanging="379"/>
        <w:spacing w:after="0" w:line="234" w:lineRule="auto"/>
        <w:tabs>
          <w:tab w:leader="none" w:pos="40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excluding the impact of the $0.8 million unrealized loss on our multi-currency, senior secured revolving credit facility with Truist Bank, as amended, the “Credit Facility”, and, together with our credit facility with BNP Paribas, as amended, the “Credit Facilities”. The presentation of this additional information is not meant to be considered in isolation or as a substitute for financial results prepared in accordance with GAAP.</w:t>
      </w:r>
    </w:p>
    <w:p>
      <w:pPr>
        <w:spacing w:after="0" w:line="5" w:lineRule="exact"/>
        <w:rPr>
          <w:rFonts w:ascii="Arial" w:cs="Arial" w:eastAsia="Arial" w:hAnsi="Arial"/>
          <w:sz w:val="22"/>
          <w:szCs w:val="22"/>
          <w:color w:val="auto"/>
        </w:rPr>
      </w:pPr>
    </w:p>
    <w:p>
      <w:pPr>
        <w:jc w:val="both"/>
        <w:ind w:left="400" w:right="20" w:hanging="379"/>
        <w:spacing w:after="0" w:line="323" w:lineRule="auto"/>
        <w:tabs>
          <w:tab w:leader="none" w:pos="40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is a non-GAAP financial measure. The Company believes that this number provides useful information to investors and management because it reflects the Company’s financial performance net of $20.4 million of cash and equivalents. The</w:t>
      </w:r>
    </w:p>
    <w:p>
      <w:pPr>
        <w:sectPr>
          <w:pgSz w:w="11900" w:h="16990" w:orient="portrait"/>
          <w:cols w:equalWidth="0" w:num="1">
            <w:col w:w="11240"/>
          </w:cols>
          <w:pgMar w:left="320" w:top="112" w:right="339" w:bottom="0" w:gutter="0" w:footer="0" w:header="0"/>
        </w:sectPr>
      </w:pPr>
    </w:p>
    <w:bookmarkStart w:id="4" w:name="page5"/>
    <w:bookmarkEnd w:id="4"/>
    <w:p>
      <w:pPr>
        <w:ind w:left="400" w:right="20"/>
        <w:spacing w:after="0" w:line="245" w:lineRule="auto"/>
        <w:rPr>
          <w:sz w:val="20"/>
          <w:szCs w:val="20"/>
          <w:color w:val="auto"/>
        </w:rPr>
      </w:pPr>
      <w:r>
        <w:rPr>
          <w:rFonts w:ascii="Arial" w:cs="Arial" w:eastAsia="Arial" w:hAnsi="Arial"/>
          <w:sz w:val="22"/>
          <w:szCs w:val="22"/>
          <w:color w:val="auto"/>
        </w:rPr>
        <w:t>presentation of this additional information is not meant to be considered in isolation or as a substitute for financial results prepared in accordance with GAAP.</w:t>
      </w:r>
    </w:p>
    <w:p>
      <w:pPr>
        <w:spacing w:after="0" w:line="2" w:lineRule="exact"/>
        <w:rPr>
          <w:sz w:val="20"/>
          <w:szCs w:val="20"/>
          <w:color w:val="auto"/>
        </w:rPr>
      </w:pPr>
    </w:p>
    <w:p>
      <w:pPr>
        <w:jc w:val="both"/>
        <w:ind w:left="400" w:right="20" w:hanging="379"/>
        <w:spacing w:after="0" w:line="235" w:lineRule="auto"/>
        <w:tabs>
          <w:tab w:leader="none" w:pos="40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including the impact of the $0.8 million unrealized loss on the Credit Facility, Small Business Act, “SBA”, Debentures and net of $20.4 million of cash and equivalents. The presentation of this additional information is not meant to be considered in isolation or as a substitute for financial results prepared in accordance with GAAP.</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EST ON NOVEMBER 18, 2021</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PennantPark Investment Corporation (“we,” “our,” “us” or the “Company”) will host a conference call at 12:00 p.m. (Eastern Time) on Thursday, November 18, 2021 to discuss its financial results. All interested parties are welcome to participate. You can access the conference call by dialing toll-free (800) 263-0877 approximately 5-10 minutes prior to the call. International callers should dial (646) 828-8143. All callers should reference conference ID #1121877 or PennantPark Investment Corporation. An archived replay of the call will be available through December 2, 2021, by calling toll-free (888) 203-1112. International callers please dial (719) 457-0820. For all phone replays, please reference conference ID #1121877.</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“PNNT is well positioned as a leading provider of consistent, credible capital across the capital structure to the core middle market. Due to the relative lack of competition in the core middle market, lenders can generally achieve higher returns with lower risk,” said Arthur Penn, Chairman and CEO. “Additionally, PNNT is poised to grow Net Investment Income through a three part strategy including growing assets on balance sheet, growing the PSLF joint venture and rotating equity investments into yielding instruments.”</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As of September 30, 2021, our portfolio totaled $1,255.3 million and consisted of $552.5 million of first lien secured debt, $176.9 million of second lien secured debt, $121.2 million of subordinated debt (including $64.2 million in PSLF) and $404.7 million of preferred and common equity (including $41.2 million in PSLF). Our debt portfolio consisted of 92% variable-rate investments and 8% fixed-rate investments. As of September 30, 2021, we had no portfolio companies on non-accrual. Overall, the portfolio had net unrealized appreciation of $34.2 million as of September 30, 2021. Our overall portfolio consisted of 97 companies with an average investment size of $12.9 million, had a weighted average yield on interest bearing debt investments of 9.0% and was invested 44% in first lien secured debt, 14% in second lien secured debt, 10% in subordinated debt (including 5% in PSLF) and 32% in preferred and common equity (including 3% in PSLF). As of September 30, 2021, all of the investments held by PSLF were first lien secured debt. For more information on how the COVID-19 pandemic has affected our business and results of operations, see our Annual Report on Form 10-K for the fiscal year ended September 30, 2021, including “Item 2. Management's Discussion and Analysis of Financial Condition and Results of Operations – COVID-19 Developments” and “Item 1A. Risk Factors” therein.</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As of September 30, 2020, our portfolio totaled $1,081.8 million and consisted of $439.0 million of first lien secured debt, $220.8 million of second lien secured debt, $113.6 million of subordinated debt (including $63.0 million in PSLF) and $308.3 million of preferred and common equity (including $36.3 million in PSLF). Our debt portfolio consisted of 93% variable-rate investments. As of September 30, 2020, we had two portfolio companies on non-accrual, representing 4.9% and 3.4% of our overall portfolio on a cost and fair value basis, respectively. Overall, the portfolio had net unrealized depreciation of $83.8 million as of September 30, 2020. Our overall portfolio consisted of 80 companies with an average investment size of $13.5 million, had a weighted average yield on interest bearing debt investments of 8.9% and was invested 41% in first lien secured debt, 20% in second lien secured debt, 10% in subordinated debt (including 6% in PSLF) and 29% in preferred and common equity (including 3% in PSLF). As of September 30, 2020, all of the investments held by PSLF were first lien secured debt.</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For the three months ended September 30, 2021, we invested $165.0 million in 16 new and 17 existing portfolio companies with a weighted average yield on debt investments of 7.5%. Sales and repayments of investments for the same period totaled $75.8 million. This compares to the three months ended September 30, 2020, in which we invested $27.1 million in three new and seven existing portfolio companies with a weighted average yield on debt investments of 7.0%. Sales and repayments of investments for the same period totaled $48.6 million.</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year ended September 30, 2021, we invested $441.4 million of investments in 30 new and 49 existing portfolio companies with a weighted average yield on debt investments of 8.1%. Sales and repayments of investments for the same period totaled $434.5 million.</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year ended September 30, 2020, we invested $319.3 million in 25 new and 58 existing portfolio companies with a weighted average yield on debt investments of 8.4%. Sales and repayments of investments for the same period totaled $162.7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Loan Fund, LLC</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September 30, 2021, PSLF’s portfolio totaled $405.2 million, consisted of 47 companies with an average investment size of $8.6 million and had a weighted average yield on debt investments of 7.1%. For the year ended September 30, 2020, PSLF’s portfolio totaled $353.4 million, consisted of 37 companies with an average investment size of $9.6 million and had a weighted average yield on debt investments of 7.3%.</w:t>
      </w:r>
    </w:p>
    <w:p>
      <w:pPr>
        <w:sectPr>
          <w:pgSz w:w="11900" w:h="16838" w:orient="portrait"/>
          <w:cols w:equalWidth="0" w:num="1">
            <w:col w:w="11240"/>
          </w:cols>
          <w:pgMar w:left="320" w:top="118" w:right="339" w:bottom="0" w:gutter="0" w:footer="0" w:header="0"/>
        </w:sectPr>
      </w:pPr>
    </w:p>
    <w:bookmarkStart w:id="5" w:name="page6"/>
    <w:bookmarkEnd w:id="5"/>
    <w:p>
      <w:pPr>
        <w:jc w:val="both"/>
        <w:spacing w:after="0" w:line="236" w:lineRule="auto"/>
        <w:rPr>
          <w:sz w:val="20"/>
          <w:szCs w:val="20"/>
          <w:color w:val="auto"/>
        </w:rPr>
      </w:pPr>
      <w:r>
        <w:rPr>
          <w:rFonts w:ascii="Arial" w:cs="Arial" w:eastAsia="Arial" w:hAnsi="Arial"/>
          <w:sz w:val="22"/>
          <w:szCs w:val="22"/>
          <w:color w:val="auto"/>
        </w:rPr>
        <w:t>For the three months ended September 30, 2021, we invested $31.6 million in six new and one existing portfolio company with a weighted average yield on debt investments of 7.0%. Sales and repayments of investments for the same period totaled $11.4 million. This compares to the period from July 31, 2020 (inception) through September 30, 2020, in which PSLF invested $5.7 million in one new portfolio company with a weighted average yield on debt investments of 7.5%. PSLF’s sales and repayments of investments for the same period totaled $11.1 million.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year ended September 30, 2021, PSLF invested $149.4 million (of which $123.4 million was purchased from the Company) in 18 new and nine existing portfolio companies with a weighted average yield on debt investments of 7.3%. PSLF’s sales and repayments of investments for the same period totaled $104.9 million.</w:t>
      </w:r>
    </w:p>
    <w:p>
      <w:pPr>
        <w:spacing w:after="0" w:line="18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For the period from July 31, 2020 (inception) through September 30, 2020, PSLF invested $5.7 million in one new portfolio company with a weighted average yield on debt investments of 7.5%. PSLF’s sales and repayments of investments for the same period totaled $11.1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Subsequent to September 30, 2021, we entered into an underwriting agreement, or the Underwriting Agreement, dated October 14, 2021, by and among the Company, PennantPark Investment Advisers, LLC, the “Investment Adviser”, PennantPark Investment Administration , LLC, the “Administrator”, and Raymond James &amp; Associates, Inc., Keefe, Bruyette &amp; Woods, Inc. and Truist Securities, Inc., as representatives of the several underwriters named on Schedule A to the Underwriting Agreement, in connection with the issuance and sale of $165.0 million aggregate principal amount of our 4.0% Notes due 2026, the “2026-2 Notes”. On October 21, 2021, we closed the transaction and issued $165.0 million in aggregate principal amount of our 2026-2 Notes at a public offering price per note of 99.436%. Interest on the 2026-2 Notes is paid semi-annually on May 1 and November 1 of each year, at a rate of 4.0% per year, commencing May 1, 2022. The 2026-2 Notes mature on November 1, 2026 and may be redeemed in whole or in part at our option subject to a make-whole premium if redeemed more than three months prior to maturity. The 2026-2 Notes are general, unsecured obligations and rank equal in right of payment with all of our existing and future senior unsecured indebtedness. The 2026-2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2026-2 Notes on any securities exchange or automated dealer quotation system.</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October 14, 2021, we announced that we will redeem $86,250,000 in principal amount of our 5.50% Notes due 2024, or the 2024 Notes, in full on November 13, 2021. The 2024 Notes were redeemed on November 13, 2021, at a redemption price of $25 per 2024 Note, plus accrued and unpaid interest payments otherwise payable for the then-current quarterly interest period accrued to, but excluding, November 13, 2021.</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Subsequent to quarter end, PNNT had new funded investments of $97.8 million, net of sales and repayments.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years ended September 30, 2021 and 2020.</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Investment income for the three months ended September 30, 2021 and 2020 was $23.1million and $21.3 million, respectively, and was primarily attributable to $13.1 million and $12.3 million from first lien secured debt, $4.4 million and $5.3 million from second lien secured debt and $5.6 million and $3.7 million from subordinated debt and preferred and common equity, respectively.</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Investment income for the years ended September 30, 2021 and 2020 was $81.6 million and $100.2 million, respectively, and was attributable to $47.0 million and $63.4 million from first lien secured debt, $20.2 million and $25.9 million from second lien secured debt and $14.4 million and $10.9 million from subordinated debt and preferred and common equity, respectively. The decrease in investment income over the prior year was primarily due to a decrease in the London Inter-Bank Offered Rate, or LIBOR, and a lower average investment balance.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Net expenses for the three months ended September 30, 2021 and 2020 totaled $11.9 million and $14.0 million, respectively. Base management fee totaled $4.6 million and $4.4 million, incentive fee totaled $0.6 million and zero, debt related interest and other financing costs totaled $5.7 million and $8.2 million (including one-time costs of $2.2 million associated with the PSLF transaction), general and administrative expenses totaled $0.9 million and $1.2 million and provision for taxes totaled $0.2 million and $0.3 million, respectively, for the same periods.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Net expenses for the years ended September 30, 2021 and 2020 totaled $45.1 million and $61.5 million, respectively. Base management fee totaled $17.3 million and $18.6 million, incentive fee totaled $0.6 million and $2.7 million (after an incentive fee waiver of $1.9 million), debt related interest and other financing expenses totaled $22.5 and $34.4 million (including one-time costs of $2.2 million associated with the PSLF transaction), general and administrative expenses totaled $4.1 million and $4.7 million and provision for taxes totaled $0.6 million and $1.2 million, respectively, for the same periods. The decrease in expenses over the prior year was primarily due to a decrease in debt related expenses and a decrease in incentive fees.</w:t>
      </w:r>
    </w:p>
    <w:p>
      <w:pPr>
        <w:sectPr>
          <w:pgSz w:w="11900" w:h="16838" w:orient="portrait"/>
          <w:cols w:equalWidth="0" w:num="1">
            <w:col w:w="11240"/>
          </w:cols>
          <w:pgMar w:left="320" w:top="118" w:right="339" w:bottom="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Net Investment Income</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Net investment income totaled $11.3 million, or $0.17 per share, and $7.3 million, or $0.11 per share, for the three months ended September 30, 2021 and 2020, respectively.</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Net investment income totaled $36.5 million, or $0.54 per share, and $38.7 million, or $0.58 per share, for the years ended September 30, 2021 and 2020, respectively. The decrease in net investment income per share compared to the prior year was primarily due to a decrease in LIBOR.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Sales and repayments of investments for the three months ended September 30, 2021 and 2020 totaled $75.8 million and $48.6 million, respectively, and net realized gain (loss) totaled $5.6 million and ($10.1) million, respectively, for the same periods.</w:t>
      </w:r>
    </w:p>
    <w:p>
      <w:pPr>
        <w:spacing w:after="0" w:line="1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Sales and repayments of investments for the years ended September 30, 2021 and 2020 totaled $434.5 million and $162.7 million, respectively, and net realized gain (loss) totaled $30.0 million and ($20.8) million, respectively. The change in realized gains/losses was primarily due to changes in the market conditions of our investments and the values at which they were realized, caused by the fluctuations in the market and in the economy.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Facilities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For the three months ended September 30, 2021 and 2020, we reported a net change in unrealized appreciation on investments of $7.6 million and $21.3 million, respectively. For the years ended September 30, 2021 and 2020, we reported net change in unrealized appreciation (depreciation) on investments of $117.9 million and ($46.2) million, respectively. As of September 30, 2021 and 2020, our net unrealized appreciation (depreciation) on investments totaled $34.2 million and ($83.8) million, respectively. The net change in unrealized appreciation/depreciation on our investments for the year ended September 30, 2021 compared to the prior year was primarily due to changes in the capital market conditions as well as the financial performance of certain portfolio companies primarily driven by the market disruption caused by the COVID-19 pandemic and the uncertainty surrounding its continued adverse economic impact. For more information on how the COVID-19 pandemic has affected our business and results of operations, see our Annual Report on Form 10-K for the fiscal year ended September 30, 2021, including “Item 2. Management's Discussion and Analysis of Financial Condition and Results of Operations – COVID-19 Developments” and “Item 1A. Risk Factors” therein.</w:t>
      </w:r>
    </w:p>
    <w:p>
      <w:pPr>
        <w:spacing w:after="0" w:line="200" w:lineRule="exact"/>
        <w:rPr>
          <w:sz w:val="20"/>
          <w:szCs w:val="20"/>
          <w:color w:val="auto"/>
        </w:rPr>
      </w:pP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months ended September 30, 2021 and 2020, our Credit Facilities had a net change in unrealized (depreciation) appreciation of ($0.7) million and $9.0 million, respectively. For the years ended September 30, 2021 and 2020, our Credit Facilities had a net change in unrealized appreciation (depreciation) of $17.8 million and ($12.3) million, respectively. As of September 30, 2021 and 2020, our net unrealized depreciation on our Credit Facilities totaled $0.8 million and $19.6 million, respectively. The net change in unrealized depreciation for the year ended September 30, 2021 compared to the prior year was primarily due to changes in the capital markets.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Net change in net assets resulting from operations totaled $25.1 million, or $0.37 per share, and $9.5 million, or $0.14 per share, for the three months ended September 30, 2021 and 2020, respectively.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Net change in net assets resulting from operations totaled $166.6 million, or $2.49 per share, and ($16.0) million, or ($0.24) per share, for the years ended September 30, 2021 and 2020, respectively. The increase in net assets from operations for the year ended September 30, 2021 compared to the prior year was primarily due to appreciation of the portfolio primarily driven by recovery from the market disruption caused by the COVID-19 pandemic and the uncertainty surrounding its continued adverse economic impact. For more information on how the COVID-19 pandemic has affected our business and results of operations, see our Annual Report on Form 10-K for the fiscal year ended September 30, 2021, including “Item 2. Management's Discussion and Analysis of Financial Condition and Results of Operations – COVID-19 Developments” and “Item 1A. Risk Factors” therein.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For more information on how the COVID-19 pandemic may impact our ability to comply with the covenants of the Credit Facilities, see the Company’s Annual Report on Form 10-K for the fiscal year ended September 30, 2021, including “Item 2. Management's Discussion and Analysis of Financial Condition and Results of Operations – COVID-19 Developments” and “Item 1A. Risk Factors” therein.</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annualized weighted average cost of debt for the years ended September 30, 2021 and 2020, inclusive of the fee on the undrawn commitment and amendment costs on the Credit Facilities, amortized upfront fees on SBA debentures and debt retirement and issuance costs, was 3.5% and 4.0%, respectively. As of September 30, 2021 and 2020, we had $118.5 million and $86.7 million of unused borrowing capacity under the Credit Facility, respectively, subject to leverage and borrowing base restrictions.</w:t>
      </w:r>
    </w:p>
    <w:p>
      <w:pPr>
        <w:sectPr>
          <w:pgSz w:w="11900" w:h="16838" w:orient="portrait"/>
          <w:cols w:equalWidth="0" w:num="1">
            <w:col w:w="11240"/>
          </w:cols>
          <w:pgMar w:left="320" w:top="111" w:right="339" w:bottom="0" w:gutter="0" w:footer="0" w:header="0"/>
        </w:sectPr>
      </w:pPr>
    </w:p>
    <w:bookmarkStart w:id="7" w:name="page8"/>
    <w:bookmarkEnd w:id="7"/>
    <w:p>
      <w:pPr>
        <w:jc w:val="both"/>
        <w:spacing w:after="0"/>
        <w:rPr>
          <w:sz w:val="20"/>
          <w:szCs w:val="20"/>
          <w:color w:val="auto"/>
        </w:rPr>
      </w:pPr>
      <w:r>
        <w:rPr>
          <w:rFonts w:ascii="Arial" w:cs="Arial" w:eastAsia="Arial" w:hAnsi="Arial"/>
          <w:sz w:val="22"/>
          <w:szCs w:val="22"/>
          <w:color w:val="auto"/>
        </w:rPr>
        <w:t>As of September 30, 2021 and 2020, we had $316.5 million and $388.3 million, respectively, in outstanding borrowings under the Credit Facility. The Credit Facility had a weighted average interest rate of 2.4% and 2.5%, respectively, exclusive of the fee on undrawn commitment, as of September 30, 2021 and 2020.</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September 30, 2021 and 2020, we had cash and cash equivalents of $20.4 million and $25.8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provided cash of $7.9 million for the year ended September 30, 2021, and our financing activities used cash of $13.4 million for the same period. Our operating activities used cash primarily for our investment activities and our financing activities used cash primarily for net repayments under our Credit Facilities and the repayment of the SBA debentures.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Our operating activities used cash of $129.6 million for the year ended September 30, 2020, and our financing activities provided cash of $95.8 million for the same period. Our operating activities used cash primarily for our investment activities and our financing activities provided cash primarily for net borrowings under our Credit Facilities.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During the years ended September 30, 2021 and 2020, we declared distributions of $0.48 and $0.60 per share, for total distributions of $32.2 million and $40.2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makes available on its website its annual report on Form 10-K filed with the SEC and stockholders may find the report on our website at www.pennantpark.com.</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22"/>
                <w:szCs w:val="22"/>
                <w:b w:val="1"/>
                <w:bCs w:val="1"/>
                <w:color w:val="auto"/>
              </w:rPr>
              <w:t>September 30,</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22"/>
                <w:szCs w:val="22"/>
                <w:b w:val="1"/>
                <w:bCs w:val="1"/>
                <w:color w:val="auto"/>
                <w:w w:val="87"/>
              </w:rPr>
              <w:t>September 30,</w:t>
            </w:r>
          </w:p>
        </w:tc>
      </w:tr>
      <w:tr>
        <w:trPr>
          <w:trHeight w:val="280"/>
        </w:trPr>
        <w:tc>
          <w:tcPr>
            <w:tcW w:w="7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2021</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2020</w:t>
            </w:r>
          </w:p>
        </w:tc>
      </w:tr>
      <w:tr>
        <w:trPr>
          <w:trHeight w:val="259"/>
        </w:trPr>
        <w:tc>
          <w:tcPr>
            <w:tcW w:w="770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3"/>
        </w:trPr>
        <w:tc>
          <w:tcPr>
            <w:tcW w:w="7700" w:type="dxa"/>
            <w:vAlign w:val="bottom"/>
          </w:tcPr>
          <w:p>
            <w:pPr>
              <w:ind w:left="200"/>
              <w:spacing w:after="0" w:line="243" w:lineRule="exact"/>
              <w:rPr>
                <w:sz w:val="20"/>
                <w:szCs w:val="20"/>
                <w:color w:val="auto"/>
              </w:rPr>
            </w:pPr>
            <w:r>
              <w:rPr>
                <w:rFonts w:ascii="Arial" w:cs="Arial" w:eastAsia="Arial" w:hAnsi="Arial"/>
                <w:sz w:val="22"/>
                <w:szCs w:val="22"/>
                <w:color w:val="auto"/>
                <w:w w:val="92"/>
              </w:rPr>
              <w:t>Non-controlled, non-affiliated investments (cost—$729,811,369 and $713,683,209,</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7700" w:type="dxa"/>
            <w:vAlign w:val="bottom"/>
          </w:tcPr>
          <w:p>
            <w:pPr>
              <w:ind w:left="200"/>
              <w:spacing w:after="0"/>
              <w:rPr>
                <w:sz w:val="20"/>
                <w:szCs w:val="20"/>
                <w:color w:val="auto"/>
              </w:rPr>
            </w:pPr>
            <w:r>
              <w:rPr>
                <w:rFonts w:ascii="Arial" w:cs="Arial" w:eastAsia="Arial" w:hAnsi="Arial"/>
                <w:sz w:val="22"/>
                <w:szCs w:val="22"/>
                <w:color w:val="auto"/>
              </w:rPr>
              <w:t>respectively)</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460" w:type="dxa"/>
            <w:vAlign w:val="bottom"/>
          </w:tcPr>
          <w:p>
            <w:pPr>
              <w:jc w:val="right"/>
              <w:spacing w:after="0"/>
              <w:rPr>
                <w:sz w:val="20"/>
                <w:szCs w:val="20"/>
                <w:color w:val="auto"/>
              </w:rPr>
            </w:pPr>
            <w:r>
              <w:rPr>
                <w:rFonts w:ascii="Arial" w:cs="Arial" w:eastAsia="Arial" w:hAnsi="Arial"/>
                <w:sz w:val="22"/>
                <w:szCs w:val="22"/>
                <w:color w:val="auto"/>
              </w:rPr>
              <w:t>820,500,111</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Pr>
          <w:p>
            <w:pPr>
              <w:jc w:val="right"/>
              <w:spacing w:after="0"/>
              <w:rPr>
                <w:sz w:val="20"/>
                <w:szCs w:val="20"/>
                <w:color w:val="auto"/>
              </w:rPr>
            </w:pPr>
            <w:r>
              <w:rPr>
                <w:rFonts w:ascii="Arial" w:cs="Arial" w:eastAsia="Arial" w:hAnsi="Arial"/>
                <w:sz w:val="22"/>
                <w:szCs w:val="22"/>
                <w:color w:val="auto"/>
              </w:rPr>
              <w:t>735,674,666</w:t>
            </w:r>
          </w:p>
        </w:tc>
      </w:tr>
      <w:tr>
        <w:trPr>
          <w:trHeight w:val="243"/>
        </w:trPr>
        <w:tc>
          <w:tcPr>
            <w:tcW w:w="7700" w:type="dxa"/>
            <w:vAlign w:val="bottom"/>
          </w:tcPr>
          <w:p>
            <w:pPr>
              <w:ind w:left="200"/>
              <w:spacing w:after="0" w:line="243" w:lineRule="exact"/>
              <w:rPr>
                <w:sz w:val="20"/>
                <w:szCs w:val="20"/>
                <w:color w:val="auto"/>
              </w:rPr>
            </w:pPr>
            <w:r>
              <w:rPr>
                <w:rFonts w:ascii="Arial" w:cs="Arial" w:eastAsia="Arial" w:hAnsi="Arial"/>
                <w:sz w:val="22"/>
                <w:szCs w:val="22"/>
                <w:color w:val="auto"/>
              </w:rPr>
              <w:t>Non-controlled, affiliated investments (cost—$78,723,320 and $77,628,920,</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7700" w:type="dxa"/>
            <w:vAlign w:val="bottom"/>
          </w:tcPr>
          <w:p>
            <w:pPr>
              <w:ind w:left="200"/>
              <w:spacing w:after="0"/>
              <w:rPr>
                <w:sz w:val="20"/>
                <w:szCs w:val="20"/>
                <w:color w:val="auto"/>
              </w:rPr>
            </w:pPr>
            <w:r>
              <w:rPr>
                <w:rFonts w:ascii="Arial" w:cs="Arial" w:eastAsia="Arial" w:hAnsi="Arial"/>
                <w:sz w:val="22"/>
                <w:szCs w:val="22"/>
                <w:color w:val="auto"/>
              </w:rPr>
              <w:t>respectively)</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50,161,391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27,753,893</w:t>
            </w:r>
          </w:p>
        </w:tc>
      </w:tr>
      <w:tr>
        <w:trPr>
          <w:trHeight w:val="243"/>
        </w:trPr>
        <w:tc>
          <w:tcPr>
            <w:tcW w:w="7700" w:type="dxa"/>
            <w:vAlign w:val="bottom"/>
          </w:tcPr>
          <w:p>
            <w:pPr>
              <w:ind w:left="200"/>
              <w:spacing w:after="0" w:line="243" w:lineRule="exact"/>
              <w:rPr>
                <w:sz w:val="20"/>
                <w:szCs w:val="20"/>
                <w:color w:val="auto"/>
              </w:rPr>
            </w:pPr>
            <w:r>
              <w:rPr>
                <w:rFonts w:ascii="Arial" w:cs="Arial" w:eastAsia="Arial" w:hAnsi="Arial"/>
                <w:sz w:val="22"/>
                <w:szCs w:val="22"/>
                <w:color w:val="auto"/>
              </w:rPr>
              <w:t>Controlled, affiliated investments (cost—$412,586,761 and $374,260,162,</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4"/>
        </w:trPr>
        <w:tc>
          <w:tcPr>
            <w:tcW w:w="7700" w:type="dxa"/>
            <w:vAlign w:val="bottom"/>
          </w:tcPr>
          <w:p>
            <w:pPr>
              <w:ind w:left="200"/>
              <w:spacing w:after="0"/>
              <w:rPr>
                <w:sz w:val="20"/>
                <w:szCs w:val="20"/>
                <w:color w:val="auto"/>
              </w:rPr>
            </w:pPr>
            <w:r>
              <w:rPr>
                <w:rFonts w:ascii="Arial" w:cs="Arial" w:eastAsia="Arial" w:hAnsi="Arial"/>
                <w:sz w:val="22"/>
                <w:szCs w:val="22"/>
                <w:color w:val="auto"/>
              </w:rPr>
              <w:t>respectively)</w:t>
            </w: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384,628,332</w:t>
            </w:r>
          </w:p>
        </w:tc>
        <w:tc>
          <w:tcPr>
            <w:tcW w:w="2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318,342,859</w:t>
            </w:r>
          </w:p>
        </w:tc>
      </w:tr>
      <w:tr>
        <w:trPr>
          <w:trHeight w:val="259"/>
        </w:trPr>
        <w:tc>
          <w:tcPr>
            <w:tcW w:w="7700" w:type="dxa"/>
            <w:vAlign w:val="bottom"/>
          </w:tcPr>
          <w:p>
            <w:pPr>
              <w:ind w:left="200"/>
              <w:spacing w:after="0"/>
              <w:rPr>
                <w:sz w:val="20"/>
                <w:szCs w:val="20"/>
                <w:color w:val="auto"/>
              </w:rPr>
            </w:pPr>
            <w:r>
              <w:rPr>
                <w:rFonts w:ascii="Arial" w:cs="Arial" w:eastAsia="Arial" w:hAnsi="Arial"/>
                <w:sz w:val="22"/>
                <w:szCs w:val="22"/>
                <w:color w:val="auto"/>
                <w:w w:val="97"/>
              </w:rPr>
              <w:t>Total of investments (cost—$1,221,121,450 and $1,165,572,291 , respectively)</w:t>
            </w: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1,255,289,834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1,081,771,418</w:t>
            </w: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w w:val="99"/>
              </w:rPr>
              <w:t>Cash and cash equivalents (cost—$20,382,959 and $25,801,087 , respectively)</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20,357,016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25,806,002</w:t>
            </w: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Interest receivable</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4,958,217</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5,005,715</w:t>
            </w: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12,792,969</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Distribution receivable</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1,694,000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1,393,716</w:t>
            </w:r>
          </w:p>
        </w:tc>
      </w:tr>
      <w:tr>
        <w:trPr>
          <w:trHeight w:val="274"/>
        </w:trPr>
        <w:tc>
          <w:tcPr>
            <w:tcW w:w="770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0" w:type="dxa"/>
            <w:vAlign w:val="bottom"/>
          </w:tcPr>
          <w:p>
            <w:pPr>
              <w:spacing w:after="0"/>
              <w:rPr>
                <w:sz w:val="23"/>
                <w:szCs w:val="23"/>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376,030</w:t>
            </w:r>
          </w:p>
        </w:tc>
      </w:tr>
      <w:tr>
        <w:trPr>
          <w:trHeight w:val="267"/>
        </w:trPr>
        <w:tc>
          <w:tcPr>
            <w:tcW w:w="770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40" w:type="dxa"/>
            <w:vAlign w:val="bottom"/>
            <w:tcBorders>
              <w:top w:val="single" w:sz="8" w:color="auto"/>
              <w:bottom w:val="single" w:sz="8" w:color="auto"/>
            </w:tcBorders>
          </w:tcPr>
          <w:p>
            <w:pPr>
              <w:spacing w:after="0"/>
              <w:rPr>
                <w:sz w:val="23"/>
                <w:szCs w:val="23"/>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1,295,092,036</w:t>
            </w:r>
          </w:p>
        </w:tc>
        <w:tc>
          <w:tcPr>
            <w:tcW w:w="22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1,114,352,881</w:t>
            </w:r>
          </w:p>
        </w:tc>
      </w:tr>
      <w:tr>
        <w:trPr>
          <w:trHeight w:val="256"/>
        </w:trPr>
        <w:tc>
          <w:tcPr>
            <w:tcW w:w="770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8,045,413</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8,045,413</w:t>
            </w: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8,407,287</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5,461,508</w:t>
            </w:r>
          </w:p>
        </w:tc>
      </w:tr>
      <w:tr>
        <w:trPr>
          <w:trHeight w:val="243"/>
        </w:trPr>
        <w:tc>
          <w:tcPr>
            <w:tcW w:w="7700" w:type="dxa"/>
            <w:vAlign w:val="bottom"/>
          </w:tcPr>
          <w:p>
            <w:pPr>
              <w:spacing w:after="0" w:line="243" w:lineRule="exact"/>
              <w:rPr>
                <w:sz w:val="20"/>
                <w:szCs w:val="20"/>
                <w:color w:val="auto"/>
              </w:rPr>
            </w:pPr>
            <w:r>
              <w:rPr>
                <w:rFonts w:ascii="Arial" w:cs="Arial" w:eastAsia="Arial" w:hAnsi="Arial"/>
                <w:sz w:val="22"/>
                <w:szCs w:val="22"/>
                <w:color w:val="auto"/>
              </w:rPr>
              <w:t>Credit Facility payable, at fair value (cost—$316,544,900 and $388,252,000,</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respectively)</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314,813,145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368,701,972</w:t>
            </w: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2024 Notes payable, net (par—$86,250,000 and $86,250,000, respectively)</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84,503,061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83,837,560</w:t>
            </w: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2026 Notes payable, net (par—$150,000,000 and zero, respectively)</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145,865,253</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w w:val="96"/>
              </w:rPr>
              <w:t>SBA debentures payable, net (par—$63,500,000 and $118,500,000, respectively)</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62,158,642</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115,772,677</w:t>
            </w: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Base management fee payable, net</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4,580,227</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4,369,637</w:t>
            </w: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Incentive fee payable, net</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574,728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4,942,513</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2,022,614</w:t>
            </w:r>
          </w:p>
        </w:tc>
      </w:tr>
      <w:tr>
        <w:trPr>
          <w:trHeight w:val="274"/>
        </w:trPr>
        <w:tc>
          <w:tcPr>
            <w:tcW w:w="770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1,057,660</w:t>
            </w:r>
          </w:p>
        </w:tc>
        <w:tc>
          <w:tcPr>
            <w:tcW w:w="2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432,648</w:t>
            </w:r>
          </w:p>
        </w:tc>
      </w:tr>
      <w:tr>
        <w:trPr>
          <w:trHeight w:val="267"/>
        </w:trPr>
        <w:tc>
          <w:tcPr>
            <w:tcW w:w="770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634,947,929</w:t>
            </w:r>
          </w:p>
        </w:tc>
        <w:tc>
          <w:tcPr>
            <w:tcW w:w="2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588,644,029</w:t>
            </w:r>
          </w:p>
        </w:tc>
      </w:tr>
    </w:tbl>
    <w:p>
      <w:pPr>
        <w:sectPr>
          <w:pgSz w:w="11900" w:h="16838" w:orient="portrait"/>
          <w:cols w:equalWidth="0" w:num="1">
            <w:col w:w="11240"/>
          </w:cols>
          <w:pgMar w:left="320" w:top="118"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700" w:type="dxa"/>
            <w:vAlign w:val="bottom"/>
          </w:tcPr>
          <w:p>
            <w:pPr>
              <w:spacing w:after="0"/>
              <w:rPr>
                <w:sz w:val="20"/>
                <w:szCs w:val="20"/>
                <w:color w:val="auto"/>
              </w:rPr>
            </w:pPr>
            <w:r>
              <w:rPr>
                <w:rFonts w:ascii="Arial" w:cs="Arial" w:eastAsia="Arial" w:hAnsi="Arial"/>
                <w:sz w:val="22"/>
                <w:szCs w:val="22"/>
                <w:color w:val="auto"/>
              </w:rPr>
              <w:t>Commitments and contingencies</w:t>
            </w: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6"/>
        </w:trPr>
        <w:tc>
          <w:tcPr>
            <w:tcW w:w="770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7700" w:type="dxa"/>
            <w:vAlign w:val="bottom"/>
          </w:tcPr>
          <w:p>
            <w:pPr>
              <w:spacing w:after="0" w:line="243" w:lineRule="exact"/>
              <w:rPr>
                <w:sz w:val="20"/>
                <w:szCs w:val="20"/>
                <w:color w:val="auto"/>
              </w:rPr>
            </w:pPr>
            <w:r>
              <w:rPr>
                <w:rFonts w:ascii="Arial" w:cs="Arial" w:eastAsia="Arial" w:hAnsi="Arial"/>
                <w:sz w:val="22"/>
                <w:szCs w:val="22"/>
                <w:color w:val="auto"/>
                <w:w w:val="89"/>
              </w:rPr>
              <w:t>Common stock, 67,045,105 and 67,045,105 shares issued and outstanding, respectively</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0"/>
        </w:trPr>
        <w:tc>
          <w:tcPr>
            <w:tcW w:w="7700" w:type="dxa"/>
            <w:vAlign w:val="bottom"/>
          </w:tcPr>
          <w:p>
            <w:pPr>
              <w:ind w:left="220"/>
              <w:spacing w:after="0"/>
              <w:rPr>
                <w:sz w:val="20"/>
                <w:szCs w:val="20"/>
                <w:color w:val="auto"/>
              </w:rPr>
            </w:pPr>
            <w:r>
              <w:rPr>
                <w:rFonts w:ascii="Arial" w:cs="Arial" w:eastAsia="Arial" w:hAnsi="Arial"/>
                <w:sz w:val="22"/>
                <w:szCs w:val="22"/>
                <w:color w:val="auto"/>
              </w:rPr>
              <w:t>Par value $0.001 per share and 100,000,000 shares authorized</w:t>
            </w:r>
          </w:p>
        </w:tc>
        <w:tc>
          <w:tcPr>
            <w:tcW w:w="2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67,045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67,045</w:t>
            </w:r>
          </w:p>
        </w:tc>
        <w:tc>
          <w:tcPr>
            <w:tcW w:w="60" w:type="dxa"/>
            <w:vAlign w:val="bottom"/>
          </w:tcPr>
          <w:p>
            <w:pPr>
              <w:spacing w:after="0"/>
              <w:rPr>
                <w:sz w:val="23"/>
                <w:szCs w:val="23"/>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2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786,992,974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787,625,031</w:t>
            </w:r>
          </w:p>
        </w:tc>
        <w:tc>
          <w:tcPr>
            <w:tcW w:w="60" w:type="dxa"/>
            <w:vAlign w:val="bottom"/>
          </w:tcPr>
          <w:p>
            <w:pPr>
              <w:spacing w:after="0"/>
              <w:rPr>
                <w:sz w:val="23"/>
                <w:szCs w:val="23"/>
                <w:color w:val="auto"/>
              </w:rPr>
            </w:pPr>
          </w:p>
        </w:tc>
      </w:tr>
      <w:tr>
        <w:trPr>
          <w:trHeight w:val="274"/>
        </w:trPr>
        <w:tc>
          <w:tcPr>
            <w:tcW w:w="7700" w:type="dxa"/>
            <w:vAlign w:val="bottom"/>
          </w:tcPr>
          <w:p>
            <w:pPr>
              <w:spacing w:after="0"/>
              <w:rPr>
                <w:sz w:val="20"/>
                <w:szCs w:val="20"/>
                <w:color w:val="auto"/>
              </w:rPr>
            </w:pPr>
            <w:r>
              <w:rPr>
                <w:rFonts w:ascii="Arial" w:cs="Arial" w:eastAsia="Arial" w:hAnsi="Arial"/>
                <w:sz w:val="22"/>
                <w:szCs w:val="22"/>
                <w:color w:val="auto"/>
              </w:rPr>
              <w:t>Accumulated distributable loss</w:t>
            </w:r>
          </w:p>
        </w:tc>
        <w:tc>
          <w:tcPr>
            <w:tcW w:w="240" w:type="dxa"/>
            <w:vAlign w:val="bottom"/>
          </w:tcPr>
          <w:p>
            <w:pPr>
              <w:spacing w:after="0"/>
              <w:rPr>
                <w:sz w:val="23"/>
                <w:szCs w:val="23"/>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22"/>
                <w:szCs w:val="22"/>
                <w:color w:val="auto"/>
              </w:rPr>
              <w:t>(126,915,912)</w:t>
            </w:r>
          </w:p>
        </w:tc>
        <w:tc>
          <w:tcPr>
            <w:tcW w:w="24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(261,983,224)</w:t>
            </w:r>
          </w:p>
        </w:tc>
      </w:tr>
      <w:tr>
        <w:trPr>
          <w:trHeight w:val="267"/>
        </w:trPr>
        <w:tc>
          <w:tcPr>
            <w:tcW w:w="770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660,144,107</w:t>
            </w:r>
          </w:p>
        </w:tc>
        <w:tc>
          <w:tcPr>
            <w:tcW w:w="22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525,708,852</w:t>
            </w:r>
          </w:p>
        </w:tc>
        <w:tc>
          <w:tcPr>
            <w:tcW w:w="60" w:type="dxa"/>
            <w:vAlign w:val="bottom"/>
          </w:tcPr>
          <w:p>
            <w:pPr>
              <w:spacing w:after="0"/>
              <w:rPr>
                <w:sz w:val="23"/>
                <w:szCs w:val="23"/>
                <w:color w:val="auto"/>
              </w:rPr>
            </w:pPr>
          </w:p>
        </w:tc>
      </w:tr>
      <w:tr>
        <w:trPr>
          <w:trHeight w:val="263"/>
        </w:trPr>
        <w:tc>
          <w:tcPr>
            <w:tcW w:w="770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3"/>
              </w:rPr>
              <w:t>1,295,092,036</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3"/>
              </w:rPr>
              <w:t>1,114,352,881</w:t>
            </w:r>
          </w:p>
        </w:tc>
        <w:tc>
          <w:tcPr>
            <w:tcW w:w="60" w:type="dxa"/>
            <w:vAlign w:val="bottom"/>
          </w:tcPr>
          <w:p>
            <w:pPr>
              <w:spacing w:after="0"/>
              <w:rPr>
                <w:sz w:val="22"/>
                <w:szCs w:val="22"/>
                <w:color w:val="auto"/>
              </w:rPr>
            </w:pPr>
          </w:p>
        </w:tc>
      </w:tr>
      <w:tr>
        <w:trPr>
          <w:trHeight w:val="21"/>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770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9.85</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7.84</w:t>
            </w:r>
          </w:p>
        </w:tc>
        <w:tc>
          <w:tcPr>
            <w:tcW w:w="60" w:type="dxa"/>
            <w:vAlign w:val="bottom"/>
          </w:tcPr>
          <w:p>
            <w:pPr>
              <w:spacing w:after="0"/>
              <w:rPr>
                <w:sz w:val="22"/>
                <w:szCs w:val="22"/>
                <w:color w:val="auto"/>
              </w:rPr>
            </w:pPr>
          </w:p>
        </w:tc>
      </w:tr>
      <w:tr>
        <w:trPr>
          <w:trHeight w:val="21"/>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00" w:type="dxa"/>
            <w:vAlign w:val="bottom"/>
            <w:gridSpan w:val="8"/>
          </w:tcPr>
          <w:p>
            <w:pPr>
              <w:jc w:val="right"/>
              <w:ind w:right="880"/>
              <w:spacing w:after="0"/>
              <w:rPr>
                <w:sz w:val="20"/>
                <w:szCs w:val="20"/>
                <w:color w:val="auto"/>
              </w:rPr>
            </w:pPr>
            <w:r>
              <w:rPr>
                <w:rFonts w:ascii="Arial" w:cs="Arial" w:eastAsia="Arial" w:hAnsi="Arial"/>
                <w:sz w:val="22"/>
                <w:szCs w:val="22"/>
                <w:b w:val="1"/>
                <w:bCs w:val="1"/>
                <w:color w:val="auto"/>
              </w:rPr>
              <w:t>Years Ended September 30,</w:t>
            </w:r>
          </w:p>
        </w:tc>
      </w:tr>
      <w:tr>
        <w:trPr>
          <w:trHeight w:val="265"/>
        </w:trPr>
        <w:tc>
          <w:tcPr>
            <w:tcW w:w="696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2021</w:t>
            </w:r>
          </w:p>
        </w:tc>
        <w:tc>
          <w:tcPr>
            <w:tcW w:w="180" w:type="dxa"/>
            <w:vAlign w:val="bottom"/>
            <w:tcBorders>
              <w:top w:val="single" w:sz="8" w:color="auto"/>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2020</w:t>
            </w:r>
          </w:p>
        </w:tc>
        <w:tc>
          <w:tcPr>
            <w:tcW w:w="180" w:type="dxa"/>
            <w:vAlign w:val="bottom"/>
            <w:tcBorders>
              <w:top w:val="single" w:sz="8" w:color="auto"/>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2019</w:t>
            </w:r>
          </w:p>
        </w:tc>
        <w:tc>
          <w:tcPr>
            <w:tcW w:w="80" w:type="dxa"/>
            <w:vAlign w:val="bottom"/>
          </w:tcPr>
          <w:p>
            <w:pPr>
              <w:spacing w:after="0"/>
              <w:rPr>
                <w:sz w:val="23"/>
                <w:szCs w:val="23"/>
                <w:color w:val="auto"/>
              </w:rPr>
            </w:pPr>
          </w:p>
        </w:tc>
      </w:tr>
      <w:tr>
        <w:trPr>
          <w:trHeight w:val="256"/>
        </w:trPr>
        <w:tc>
          <w:tcPr>
            <w:tcW w:w="696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6960" w:type="dxa"/>
            <w:vAlign w:val="bottom"/>
          </w:tcPr>
          <w:p>
            <w:pPr>
              <w:ind w:left="200"/>
              <w:spacing w:after="0"/>
              <w:rPr>
                <w:sz w:val="20"/>
                <w:szCs w:val="20"/>
                <w:color w:val="auto"/>
              </w:rPr>
            </w:pPr>
            <w:r>
              <w:rPr>
                <w:rFonts w:ascii="Arial" w:cs="Arial" w:eastAsia="Arial" w:hAnsi="Arial"/>
                <w:sz w:val="22"/>
                <w:szCs w:val="22"/>
                <w:color w:val="auto"/>
              </w:rPr>
              <w:t>Interest</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46,018,282</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77,453,276</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88,060,418</w:t>
            </w:r>
          </w:p>
        </w:tc>
        <w:tc>
          <w:tcPr>
            <w:tcW w:w="80" w:type="dxa"/>
            <w:vAlign w:val="bottom"/>
          </w:tcPr>
          <w:p>
            <w:pPr>
              <w:spacing w:after="0"/>
              <w:rPr>
                <w:sz w:val="23"/>
                <w:szCs w:val="23"/>
                <w:color w:val="auto"/>
              </w:rPr>
            </w:pPr>
          </w:p>
        </w:tc>
      </w:tr>
      <w:tr>
        <w:trPr>
          <w:trHeight w:val="270"/>
        </w:trPr>
        <w:tc>
          <w:tcPr>
            <w:tcW w:w="6960" w:type="dxa"/>
            <w:vAlign w:val="bottom"/>
          </w:tcPr>
          <w:p>
            <w:pPr>
              <w:ind w:left="200"/>
              <w:spacing w:after="0"/>
              <w:rPr>
                <w:sz w:val="20"/>
                <w:szCs w:val="20"/>
                <w:color w:val="auto"/>
              </w:rPr>
            </w:pPr>
            <w:r>
              <w:rPr>
                <w:rFonts w:ascii="Arial" w:cs="Arial" w:eastAsia="Arial" w:hAnsi="Arial"/>
                <w:sz w:val="22"/>
                <w:szCs w:val="22"/>
                <w:color w:val="auto"/>
              </w:rPr>
              <w:t>Payment-in-kind</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8,566,689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7,233,317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6,445,122</w:t>
            </w:r>
          </w:p>
        </w:tc>
        <w:tc>
          <w:tcPr>
            <w:tcW w:w="80" w:type="dxa"/>
            <w:vAlign w:val="bottom"/>
          </w:tcPr>
          <w:p>
            <w:pPr>
              <w:spacing w:after="0"/>
              <w:rPr>
                <w:sz w:val="23"/>
                <w:szCs w:val="23"/>
                <w:color w:val="auto"/>
              </w:rPr>
            </w:pPr>
          </w:p>
        </w:tc>
      </w:tr>
      <w:tr>
        <w:trPr>
          <w:trHeight w:val="270"/>
        </w:trPr>
        <w:tc>
          <w:tcPr>
            <w:tcW w:w="6960" w:type="dxa"/>
            <w:vAlign w:val="bottom"/>
          </w:tcPr>
          <w:p>
            <w:pPr>
              <w:ind w:left="200"/>
              <w:spacing w:after="0"/>
              <w:rPr>
                <w:sz w:val="20"/>
                <w:szCs w:val="20"/>
                <w:color w:val="auto"/>
              </w:rPr>
            </w:pPr>
            <w:r>
              <w:rPr>
                <w:rFonts w:ascii="Arial" w:cs="Arial" w:eastAsia="Arial" w:hAnsi="Arial"/>
                <w:sz w:val="22"/>
                <w:szCs w:val="22"/>
                <w:color w:val="auto"/>
              </w:rPr>
              <w:t>Other income</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4,136,578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4,821,510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3,122,988</w:t>
            </w:r>
          </w:p>
        </w:tc>
        <w:tc>
          <w:tcPr>
            <w:tcW w:w="80" w:type="dxa"/>
            <w:vAlign w:val="bottom"/>
          </w:tcPr>
          <w:p>
            <w:pPr>
              <w:spacing w:after="0"/>
              <w:rPr>
                <w:sz w:val="23"/>
                <w:szCs w:val="23"/>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6960" w:type="dxa"/>
            <w:vAlign w:val="bottom"/>
          </w:tcPr>
          <w:p>
            <w:pPr>
              <w:ind w:left="200"/>
              <w:spacing w:after="0"/>
              <w:rPr>
                <w:sz w:val="20"/>
                <w:szCs w:val="20"/>
                <w:color w:val="auto"/>
              </w:rPr>
            </w:pPr>
            <w:r>
              <w:rPr>
                <w:rFonts w:ascii="Arial" w:cs="Arial" w:eastAsia="Arial" w:hAnsi="Arial"/>
                <w:sz w:val="22"/>
                <w:szCs w:val="22"/>
                <w:color w:val="auto"/>
              </w:rPr>
              <w:t>Interest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456,998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tcPr>
          <w:p>
            <w:pPr>
              <w:jc w:val="right"/>
              <w:ind w:right="7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r>
      <w:tr>
        <w:trPr>
          <w:trHeight w:val="270"/>
        </w:trPr>
        <w:tc>
          <w:tcPr>
            <w:tcW w:w="696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6960" w:type="dxa"/>
            <w:vAlign w:val="bottom"/>
          </w:tcPr>
          <w:p>
            <w:pPr>
              <w:ind w:left="200"/>
              <w:spacing w:after="0"/>
              <w:rPr>
                <w:sz w:val="20"/>
                <w:szCs w:val="20"/>
                <w:color w:val="auto"/>
              </w:rPr>
            </w:pPr>
            <w:r>
              <w:rPr>
                <w:rFonts w:ascii="Arial" w:cs="Arial" w:eastAsia="Arial" w:hAnsi="Arial"/>
                <w:sz w:val="22"/>
                <w:szCs w:val="22"/>
                <w:color w:val="auto"/>
              </w:rPr>
              <w:t>Interest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9,824,994</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3,387,858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9,381,881</w:t>
            </w:r>
          </w:p>
        </w:tc>
        <w:tc>
          <w:tcPr>
            <w:tcW w:w="80" w:type="dxa"/>
            <w:vAlign w:val="bottom"/>
          </w:tcPr>
          <w:p>
            <w:pPr>
              <w:spacing w:after="0"/>
              <w:rPr>
                <w:sz w:val="23"/>
                <w:szCs w:val="23"/>
                <w:color w:val="auto"/>
              </w:rPr>
            </w:pPr>
          </w:p>
        </w:tc>
      </w:tr>
      <w:tr>
        <w:trPr>
          <w:trHeight w:val="270"/>
        </w:trPr>
        <w:tc>
          <w:tcPr>
            <w:tcW w:w="6960" w:type="dxa"/>
            <w:vAlign w:val="bottom"/>
          </w:tcPr>
          <w:p>
            <w:pPr>
              <w:ind w:left="200"/>
              <w:spacing w:after="0"/>
              <w:rPr>
                <w:sz w:val="20"/>
                <w:szCs w:val="20"/>
                <w:color w:val="auto"/>
              </w:rPr>
            </w:pPr>
            <w:r>
              <w:rPr>
                <w:rFonts w:ascii="Arial" w:cs="Arial" w:eastAsia="Arial" w:hAnsi="Arial"/>
                <w:sz w:val="22"/>
                <w:szCs w:val="22"/>
                <w:color w:val="auto"/>
              </w:rPr>
              <w:t>Payment-in-kind</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6,222,805</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7,328,846</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4,319,300</w:t>
            </w:r>
          </w:p>
        </w:tc>
        <w:tc>
          <w:tcPr>
            <w:tcW w:w="80" w:type="dxa"/>
            <w:vAlign w:val="bottom"/>
          </w:tcPr>
          <w:p>
            <w:pPr>
              <w:spacing w:after="0"/>
              <w:rPr>
                <w:sz w:val="23"/>
                <w:szCs w:val="23"/>
                <w:color w:val="auto"/>
              </w:rPr>
            </w:pPr>
          </w:p>
        </w:tc>
      </w:tr>
      <w:tr>
        <w:trPr>
          <w:trHeight w:val="270"/>
        </w:trPr>
        <w:tc>
          <w:tcPr>
            <w:tcW w:w="6960" w:type="dxa"/>
            <w:vAlign w:val="bottom"/>
          </w:tcPr>
          <w:p>
            <w:pPr>
              <w:ind w:left="200"/>
              <w:spacing w:after="0"/>
              <w:rPr>
                <w:sz w:val="20"/>
                <w:szCs w:val="20"/>
                <w:color w:val="auto"/>
              </w:rPr>
            </w:pPr>
            <w:r>
              <w:rPr>
                <w:rFonts w:ascii="Arial" w:cs="Arial" w:eastAsia="Arial" w:hAnsi="Arial"/>
                <w:sz w:val="22"/>
                <w:szCs w:val="22"/>
                <w:color w:val="auto"/>
              </w:rPr>
              <w:t>Dividend income</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6,361,050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tcPr>
          <w:p>
            <w:pPr>
              <w:jc w:val="right"/>
              <w:ind w:right="7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r>
      <w:tr>
        <w:trPr>
          <w:trHeight w:val="274"/>
        </w:trPr>
        <w:tc>
          <w:tcPr>
            <w:tcW w:w="6960" w:type="dxa"/>
            <w:vAlign w:val="bottom"/>
          </w:tcPr>
          <w:p>
            <w:pPr>
              <w:ind w:left="200"/>
              <w:spacing w:after="0"/>
              <w:rPr>
                <w:sz w:val="20"/>
                <w:szCs w:val="20"/>
                <w:color w:val="auto"/>
              </w:rPr>
            </w:pPr>
            <w:r>
              <w:rPr>
                <w:rFonts w:ascii="Arial" w:cs="Arial" w:eastAsia="Arial" w:hAnsi="Arial"/>
                <w:sz w:val="22"/>
                <w:szCs w:val="22"/>
                <w:color w:val="auto"/>
              </w:rPr>
              <w:t>Other income</w:t>
            </w:r>
          </w:p>
        </w:tc>
        <w:tc>
          <w:tcPr>
            <w:tcW w:w="14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280" w:type="dxa"/>
            <w:vAlign w:val="bottom"/>
            <w:gridSpan w:val="2"/>
          </w:tcPr>
          <w:p>
            <w:pPr>
              <w:jc w:val="right"/>
              <w:ind w:right="7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776,945</w:t>
            </w:r>
          </w:p>
        </w:tc>
        <w:tc>
          <w:tcPr>
            <w:tcW w:w="80" w:type="dxa"/>
            <w:vAlign w:val="bottom"/>
          </w:tcPr>
          <w:p>
            <w:pPr>
              <w:spacing w:after="0"/>
              <w:rPr>
                <w:sz w:val="23"/>
                <w:szCs w:val="23"/>
                <w:color w:val="auto"/>
              </w:rPr>
            </w:pPr>
          </w:p>
        </w:tc>
      </w:tr>
      <w:tr>
        <w:trPr>
          <w:trHeight w:val="267"/>
        </w:trPr>
        <w:tc>
          <w:tcPr>
            <w:tcW w:w="6960" w:type="dxa"/>
            <w:vAlign w:val="bottom"/>
          </w:tcPr>
          <w:p>
            <w:pPr>
              <w:ind w:left="200"/>
              <w:spacing w:after="0"/>
              <w:rPr>
                <w:sz w:val="20"/>
                <w:szCs w:val="20"/>
                <w:color w:val="auto"/>
              </w:rPr>
            </w:pPr>
            <w:r>
              <w:rPr>
                <w:rFonts w:ascii="Arial" w:cs="Arial" w:eastAsia="Arial" w:hAnsi="Arial"/>
                <w:sz w:val="22"/>
                <w:szCs w:val="22"/>
                <w:b w:val="1"/>
                <w:bCs w:val="1"/>
                <w:color w:val="auto"/>
              </w:rPr>
              <w:t>Total investment income</w:t>
            </w:r>
          </w:p>
        </w:tc>
        <w:tc>
          <w:tcPr>
            <w:tcW w:w="14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8"/>
              </w:rPr>
              <w:t>81,587,346</w:t>
            </w:r>
          </w:p>
        </w:tc>
        <w:tc>
          <w:tcPr>
            <w:tcW w:w="18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100,224,807</w:t>
            </w:r>
          </w:p>
        </w:tc>
        <w:tc>
          <w:tcPr>
            <w:tcW w:w="18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112,106,654</w:t>
            </w:r>
          </w:p>
        </w:tc>
        <w:tc>
          <w:tcPr>
            <w:tcW w:w="80" w:type="dxa"/>
            <w:vAlign w:val="bottom"/>
          </w:tcPr>
          <w:p>
            <w:pPr>
              <w:spacing w:after="0"/>
              <w:rPr>
                <w:sz w:val="23"/>
                <w:szCs w:val="23"/>
                <w:color w:val="auto"/>
              </w:rPr>
            </w:pPr>
          </w:p>
        </w:tc>
      </w:tr>
      <w:tr>
        <w:trPr>
          <w:trHeight w:val="256"/>
        </w:trPr>
        <w:tc>
          <w:tcPr>
            <w:tcW w:w="696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6960" w:type="dxa"/>
            <w:vAlign w:val="bottom"/>
          </w:tcPr>
          <w:p>
            <w:pPr>
              <w:ind w:left="200"/>
              <w:spacing w:after="0"/>
              <w:rPr>
                <w:sz w:val="20"/>
                <w:szCs w:val="20"/>
                <w:color w:val="auto"/>
              </w:rPr>
            </w:pPr>
            <w:r>
              <w:rPr>
                <w:rFonts w:ascii="Arial" w:cs="Arial" w:eastAsia="Arial" w:hAnsi="Arial"/>
                <w:sz w:val="22"/>
                <w:szCs w:val="22"/>
                <w:color w:val="auto"/>
              </w:rPr>
              <w:t>Base management fee</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17,334,682</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18,636,039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18,225,229</w:t>
            </w:r>
          </w:p>
        </w:tc>
        <w:tc>
          <w:tcPr>
            <w:tcW w:w="80" w:type="dxa"/>
            <w:vAlign w:val="bottom"/>
          </w:tcPr>
          <w:p>
            <w:pPr>
              <w:spacing w:after="0"/>
              <w:rPr>
                <w:sz w:val="23"/>
                <w:szCs w:val="23"/>
                <w:color w:val="auto"/>
              </w:rPr>
            </w:pPr>
          </w:p>
        </w:tc>
      </w:tr>
      <w:tr>
        <w:trPr>
          <w:trHeight w:val="270"/>
        </w:trPr>
        <w:tc>
          <w:tcPr>
            <w:tcW w:w="6960" w:type="dxa"/>
            <w:vAlign w:val="bottom"/>
          </w:tcPr>
          <w:p>
            <w:pPr>
              <w:ind w:left="200"/>
              <w:spacing w:after="0"/>
              <w:rPr>
                <w:sz w:val="20"/>
                <w:szCs w:val="20"/>
                <w:color w:val="auto"/>
              </w:rPr>
            </w:pPr>
            <w:r>
              <w:rPr>
                <w:rFonts w:ascii="Arial" w:cs="Arial" w:eastAsia="Arial" w:hAnsi="Arial"/>
                <w:sz w:val="22"/>
                <w:szCs w:val="22"/>
                <w:color w:val="auto"/>
              </w:rPr>
              <w:t>Performance-based incentive fee</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574,728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4,579,660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5,146,696</w:t>
            </w:r>
          </w:p>
        </w:tc>
        <w:tc>
          <w:tcPr>
            <w:tcW w:w="80" w:type="dxa"/>
            <w:vAlign w:val="bottom"/>
          </w:tcPr>
          <w:p>
            <w:pPr>
              <w:spacing w:after="0"/>
              <w:rPr>
                <w:sz w:val="23"/>
                <w:szCs w:val="23"/>
                <w:color w:val="auto"/>
              </w:rPr>
            </w:pPr>
          </w:p>
        </w:tc>
      </w:tr>
      <w:tr>
        <w:trPr>
          <w:trHeight w:val="270"/>
        </w:trPr>
        <w:tc>
          <w:tcPr>
            <w:tcW w:w="6960" w:type="dxa"/>
            <w:vAlign w:val="bottom"/>
          </w:tcPr>
          <w:p>
            <w:pPr>
              <w:ind w:left="200"/>
              <w:spacing w:after="0"/>
              <w:rPr>
                <w:sz w:val="20"/>
                <w:szCs w:val="20"/>
                <w:color w:val="auto"/>
              </w:rPr>
            </w:pPr>
            <w:r>
              <w:rPr>
                <w:rFonts w:ascii="Arial" w:cs="Arial" w:eastAsia="Arial" w:hAnsi="Arial"/>
                <w:sz w:val="22"/>
                <w:szCs w:val="22"/>
                <w:color w:val="auto"/>
              </w:rPr>
              <w:t>Interest and expenses on debt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22,506,953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32,167,755</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28,943,312</w:t>
            </w:r>
          </w:p>
        </w:tc>
        <w:tc>
          <w:tcPr>
            <w:tcW w:w="80" w:type="dxa"/>
            <w:vAlign w:val="bottom"/>
          </w:tcPr>
          <w:p>
            <w:pPr>
              <w:spacing w:after="0"/>
              <w:rPr>
                <w:sz w:val="23"/>
                <w:szCs w:val="23"/>
                <w:color w:val="auto"/>
              </w:rPr>
            </w:pPr>
          </w:p>
        </w:tc>
      </w:tr>
      <w:tr>
        <w:trPr>
          <w:trHeight w:val="270"/>
        </w:trPr>
        <w:tc>
          <w:tcPr>
            <w:tcW w:w="6960" w:type="dxa"/>
            <w:vAlign w:val="bottom"/>
          </w:tcPr>
          <w:p>
            <w:pPr>
              <w:ind w:left="200"/>
              <w:spacing w:after="0"/>
              <w:rPr>
                <w:sz w:val="20"/>
                <w:szCs w:val="20"/>
                <w:color w:val="auto"/>
              </w:rPr>
            </w:pPr>
            <w:r>
              <w:rPr>
                <w:rFonts w:ascii="Arial" w:cs="Arial" w:eastAsia="Arial" w:hAnsi="Arial"/>
                <w:sz w:val="22"/>
                <w:szCs w:val="22"/>
                <w:color w:val="auto"/>
              </w:rPr>
              <w:t>Administrative services expenses</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1,770,080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2,075,080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2,113,895</w:t>
            </w:r>
          </w:p>
        </w:tc>
        <w:tc>
          <w:tcPr>
            <w:tcW w:w="80" w:type="dxa"/>
            <w:vAlign w:val="bottom"/>
          </w:tcPr>
          <w:p>
            <w:pPr>
              <w:spacing w:after="0"/>
              <w:rPr>
                <w:sz w:val="23"/>
                <w:szCs w:val="23"/>
                <w:color w:val="auto"/>
              </w:rPr>
            </w:pPr>
          </w:p>
        </w:tc>
      </w:tr>
      <w:tr>
        <w:trPr>
          <w:trHeight w:val="274"/>
        </w:trPr>
        <w:tc>
          <w:tcPr>
            <w:tcW w:w="6960" w:type="dxa"/>
            <w:vAlign w:val="bottom"/>
          </w:tcPr>
          <w:p>
            <w:pPr>
              <w:ind w:left="200"/>
              <w:spacing w:after="0"/>
              <w:rPr>
                <w:sz w:val="20"/>
                <w:szCs w:val="20"/>
                <w:color w:val="auto"/>
              </w:rPr>
            </w:pPr>
            <w:r>
              <w:rPr>
                <w:rFonts w:ascii="Arial" w:cs="Arial" w:eastAsia="Arial" w:hAnsi="Arial"/>
                <w:sz w:val="22"/>
                <w:szCs w:val="22"/>
                <w:color w:val="auto"/>
              </w:rPr>
              <w:t>Other general and administrative expenses</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2,323,923</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2,573,920</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2,637,820</w:t>
            </w:r>
          </w:p>
        </w:tc>
        <w:tc>
          <w:tcPr>
            <w:tcW w:w="80" w:type="dxa"/>
            <w:vAlign w:val="bottom"/>
          </w:tcPr>
          <w:p>
            <w:pPr>
              <w:spacing w:after="0"/>
              <w:rPr>
                <w:sz w:val="23"/>
                <w:szCs w:val="23"/>
                <w:color w:val="auto"/>
              </w:rPr>
            </w:pPr>
          </w:p>
        </w:tc>
      </w:tr>
      <w:tr>
        <w:trPr>
          <w:trHeight w:val="213"/>
        </w:trPr>
        <w:tc>
          <w:tcPr>
            <w:tcW w:w="6960" w:type="dxa"/>
            <w:vAlign w:val="bottom"/>
          </w:tcPr>
          <w:p>
            <w:pPr>
              <w:ind w:left="200"/>
              <w:spacing w:after="0" w:line="212" w:lineRule="exact"/>
              <w:rPr>
                <w:sz w:val="20"/>
                <w:szCs w:val="20"/>
                <w:color w:val="auto"/>
              </w:rPr>
            </w:pPr>
            <w:r>
              <w:rPr>
                <w:rFonts w:ascii="Arial" w:cs="Arial" w:eastAsia="Arial" w:hAnsi="Arial"/>
                <w:sz w:val="22"/>
                <w:szCs w:val="22"/>
                <w:b w:val="1"/>
                <w:bCs w:val="1"/>
                <w:color w:val="auto"/>
                <w:w w:val="96"/>
              </w:rPr>
              <w:t>Expenses before Management Fees waiver, provision for taxes and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80"/>
        </w:trPr>
        <w:tc>
          <w:tcPr>
            <w:tcW w:w="6960" w:type="dxa"/>
            <w:vAlign w:val="bottom"/>
          </w:tcPr>
          <w:p>
            <w:pPr>
              <w:ind w:left="200"/>
              <w:spacing w:after="0"/>
              <w:rPr>
                <w:sz w:val="20"/>
                <w:szCs w:val="20"/>
                <w:color w:val="auto"/>
              </w:rPr>
            </w:pPr>
            <w:r>
              <w:rPr>
                <w:rFonts w:ascii="Arial" w:cs="Arial" w:eastAsia="Arial" w:hAnsi="Arial"/>
                <w:sz w:val="22"/>
                <w:szCs w:val="22"/>
                <w:b w:val="1"/>
                <w:bCs w:val="1"/>
                <w:color w:val="auto"/>
              </w:rPr>
              <w:t>financing costs</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44,510,366</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60,032,454</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57,066,952</w:t>
            </w:r>
          </w:p>
        </w:tc>
        <w:tc>
          <w:tcPr>
            <w:tcW w:w="80" w:type="dxa"/>
            <w:vAlign w:val="bottom"/>
          </w:tcPr>
          <w:p>
            <w:pPr>
              <w:spacing w:after="0"/>
              <w:rPr>
                <w:sz w:val="24"/>
                <w:szCs w:val="24"/>
                <w:color w:val="auto"/>
              </w:rPr>
            </w:pPr>
          </w:p>
        </w:tc>
      </w:tr>
      <w:tr>
        <w:trPr>
          <w:trHeight w:val="259"/>
        </w:trPr>
        <w:tc>
          <w:tcPr>
            <w:tcW w:w="6960" w:type="dxa"/>
            <w:vAlign w:val="bottom"/>
          </w:tcPr>
          <w:p>
            <w:pPr>
              <w:ind w:left="200"/>
              <w:spacing w:after="0"/>
              <w:rPr>
                <w:sz w:val="20"/>
                <w:szCs w:val="20"/>
                <w:color w:val="auto"/>
              </w:rPr>
            </w:pPr>
            <w:r>
              <w:rPr>
                <w:rFonts w:ascii="Arial" w:cs="Arial" w:eastAsia="Arial" w:hAnsi="Arial"/>
                <w:sz w:val="22"/>
                <w:szCs w:val="22"/>
                <w:color w:val="auto"/>
              </w:rPr>
              <w:t>Management Fees waiver</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5"/>
              </w:rPr>
              <w:t>(1,921,987)</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2"/>
                <w:szCs w:val="22"/>
                <w:color w:val="auto"/>
              </w:rPr>
            </w:pPr>
          </w:p>
        </w:tc>
      </w:tr>
      <w:tr>
        <w:trPr>
          <w:trHeight w:val="270"/>
        </w:trPr>
        <w:tc>
          <w:tcPr>
            <w:tcW w:w="6960" w:type="dxa"/>
            <w:vAlign w:val="bottom"/>
          </w:tcPr>
          <w:p>
            <w:pPr>
              <w:ind w:left="200"/>
              <w:spacing w:after="0"/>
              <w:rPr>
                <w:sz w:val="20"/>
                <w:szCs w:val="20"/>
                <w:color w:val="auto"/>
              </w:rPr>
            </w:pPr>
            <w:r>
              <w:rPr>
                <w:rFonts w:ascii="Arial" w:cs="Arial" w:eastAsia="Arial" w:hAnsi="Arial"/>
                <w:sz w:val="22"/>
                <w:szCs w:val="22"/>
                <w:color w:val="auto"/>
              </w:rPr>
              <w:t>Provision for taxes</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600,000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1,200,000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1,200,000</w:t>
            </w:r>
          </w:p>
        </w:tc>
        <w:tc>
          <w:tcPr>
            <w:tcW w:w="80" w:type="dxa"/>
            <w:vAlign w:val="bottom"/>
          </w:tcPr>
          <w:p>
            <w:pPr>
              <w:spacing w:after="0"/>
              <w:rPr>
                <w:sz w:val="23"/>
                <w:szCs w:val="23"/>
                <w:color w:val="auto"/>
              </w:rPr>
            </w:pPr>
          </w:p>
        </w:tc>
      </w:tr>
      <w:tr>
        <w:trPr>
          <w:trHeight w:val="270"/>
        </w:trPr>
        <w:tc>
          <w:tcPr>
            <w:tcW w:w="6960" w:type="dxa"/>
            <w:vAlign w:val="bottom"/>
          </w:tcPr>
          <w:p>
            <w:pPr>
              <w:ind w:left="200"/>
              <w:spacing w:after="0"/>
              <w:rPr>
                <w:sz w:val="20"/>
                <w:szCs w:val="20"/>
                <w:color w:val="auto"/>
              </w:rPr>
            </w:pPr>
            <w:r>
              <w:rPr>
                <w:rFonts w:ascii="Arial" w:cs="Arial" w:eastAsia="Arial" w:hAnsi="Arial"/>
                <w:sz w:val="22"/>
                <w:szCs w:val="22"/>
                <w:color w:val="auto"/>
              </w:rPr>
              <w:t>Make-whole premium</w:t>
            </w:r>
          </w:p>
        </w:tc>
        <w:tc>
          <w:tcPr>
            <w:tcW w:w="14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280" w:type="dxa"/>
            <w:vAlign w:val="bottom"/>
            <w:gridSpan w:val="2"/>
          </w:tcPr>
          <w:p>
            <w:pPr>
              <w:jc w:val="right"/>
              <w:ind w:right="7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2,162,526</w:t>
            </w:r>
          </w:p>
        </w:tc>
        <w:tc>
          <w:tcPr>
            <w:tcW w:w="80" w:type="dxa"/>
            <w:vAlign w:val="bottom"/>
          </w:tcPr>
          <w:p>
            <w:pPr>
              <w:spacing w:after="0"/>
              <w:rPr>
                <w:sz w:val="23"/>
                <w:szCs w:val="23"/>
                <w:color w:val="auto"/>
              </w:rPr>
            </w:pPr>
          </w:p>
        </w:tc>
      </w:tr>
      <w:tr>
        <w:trPr>
          <w:trHeight w:val="270"/>
        </w:trPr>
        <w:tc>
          <w:tcPr>
            <w:tcW w:w="6960" w:type="dxa"/>
            <w:vAlign w:val="bottom"/>
          </w:tcPr>
          <w:p>
            <w:pPr>
              <w:ind w:left="200"/>
              <w:spacing w:after="0"/>
              <w:rPr>
                <w:sz w:val="20"/>
                <w:szCs w:val="20"/>
                <w:color w:val="auto"/>
              </w:rPr>
            </w:pPr>
            <w:r>
              <w:rPr>
                <w:rFonts w:ascii="Arial" w:cs="Arial" w:eastAsia="Arial" w:hAnsi="Arial"/>
                <w:sz w:val="22"/>
                <w:szCs w:val="22"/>
                <w:color w:val="auto"/>
              </w:rPr>
              <w:t>PSLF transaction costs</w:t>
            </w:r>
          </w:p>
        </w:tc>
        <w:tc>
          <w:tcPr>
            <w:tcW w:w="14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2,184,128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r>
      <w:tr>
        <w:trPr>
          <w:trHeight w:val="274"/>
        </w:trPr>
        <w:tc>
          <w:tcPr>
            <w:tcW w:w="6960" w:type="dxa"/>
            <w:vAlign w:val="bottom"/>
          </w:tcPr>
          <w:p>
            <w:pPr>
              <w:ind w:left="200"/>
              <w:spacing w:after="0"/>
              <w:rPr>
                <w:sz w:val="20"/>
                <w:szCs w:val="20"/>
                <w:color w:val="auto"/>
              </w:rPr>
            </w:pPr>
            <w:r>
              <w:rPr>
                <w:rFonts w:ascii="Arial" w:cs="Arial" w:eastAsia="Arial" w:hAnsi="Arial"/>
                <w:sz w:val="22"/>
                <w:szCs w:val="22"/>
                <w:color w:val="auto"/>
              </w:rPr>
              <w:t>Credit facility amendment and debt issuance costs</w:t>
            </w:r>
          </w:p>
        </w:tc>
        <w:tc>
          <w:tcPr>
            <w:tcW w:w="14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280" w:type="dxa"/>
            <w:vAlign w:val="bottom"/>
            <w:gridSpan w:val="2"/>
          </w:tcPr>
          <w:p>
            <w:pPr>
              <w:jc w:val="right"/>
              <w:ind w:right="7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7,080,205</w:t>
            </w:r>
          </w:p>
        </w:tc>
        <w:tc>
          <w:tcPr>
            <w:tcW w:w="80" w:type="dxa"/>
            <w:vAlign w:val="bottom"/>
          </w:tcPr>
          <w:p>
            <w:pPr>
              <w:spacing w:after="0"/>
              <w:rPr>
                <w:sz w:val="23"/>
                <w:szCs w:val="23"/>
                <w:color w:val="auto"/>
              </w:rPr>
            </w:pPr>
          </w:p>
        </w:tc>
      </w:tr>
      <w:tr>
        <w:trPr>
          <w:trHeight w:val="267"/>
        </w:trPr>
        <w:tc>
          <w:tcPr>
            <w:tcW w:w="6960" w:type="dxa"/>
            <w:vAlign w:val="bottom"/>
          </w:tcPr>
          <w:p>
            <w:pPr>
              <w:ind w:left="200"/>
              <w:spacing w:after="0"/>
              <w:rPr>
                <w:sz w:val="20"/>
                <w:szCs w:val="20"/>
                <w:color w:val="auto"/>
              </w:rPr>
            </w:pPr>
            <w:r>
              <w:rPr>
                <w:rFonts w:ascii="Arial" w:cs="Arial" w:eastAsia="Arial" w:hAnsi="Arial"/>
                <w:sz w:val="22"/>
                <w:szCs w:val="22"/>
                <w:b w:val="1"/>
                <w:bCs w:val="1"/>
                <w:color w:val="auto"/>
              </w:rPr>
              <w:t>Net expenses</w:t>
            </w:r>
          </w:p>
        </w:tc>
        <w:tc>
          <w:tcPr>
            <w:tcW w:w="14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8"/>
              </w:rPr>
              <w:t>45,110,366</w:t>
            </w:r>
          </w:p>
        </w:tc>
        <w:tc>
          <w:tcPr>
            <w:tcW w:w="18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8"/>
              </w:rPr>
              <w:t>61,494,595</w:t>
            </w:r>
          </w:p>
        </w:tc>
        <w:tc>
          <w:tcPr>
            <w:tcW w:w="18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67,509,683</w:t>
            </w:r>
          </w:p>
        </w:tc>
        <w:tc>
          <w:tcPr>
            <w:tcW w:w="80" w:type="dxa"/>
            <w:vAlign w:val="bottom"/>
          </w:tcPr>
          <w:p>
            <w:pPr>
              <w:spacing w:after="0"/>
              <w:rPr>
                <w:sz w:val="23"/>
                <w:szCs w:val="23"/>
                <w:color w:val="auto"/>
              </w:rPr>
            </w:pPr>
          </w:p>
        </w:tc>
      </w:tr>
      <w:tr>
        <w:trPr>
          <w:trHeight w:val="264"/>
        </w:trPr>
        <w:tc>
          <w:tcPr>
            <w:tcW w:w="6960" w:type="dxa"/>
            <w:vAlign w:val="bottom"/>
          </w:tcPr>
          <w:p>
            <w:pPr>
              <w:ind w:left="200"/>
              <w:spacing w:after="0"/>
              <w:rPr>
                <w:sz w:val="20"/>
                <w:szCs w:val="20"/>
                <w:color w:val="auto"/>
              </w:rPr>
            </w:pPr>
            <w:r>
              <w:rPr>
                <w:rFonts w:ascii="Arial" w:cs="Arial" w:eastAsia="Arial" w:hAnsi="Arial"/>
                <w:sz w:val="22"/>
                <w:szCs w:val="22"/>
                <w:b w:val="1"/>
                <w:bCs w:val="1"/>
                <w:color w:val="auto"/>
              </w:rPr>
              <w:t>Net investment income</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36,476,980</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38,730,212</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44,596,971</w:t>
            </w:r>
          </w:p>
        </w:tc>
        <w:tc>
          <w:tcPr>
            <w:tcW w:w="80" w:type="dxa"/>
            <w:vAlign w:val="bottom"/>
          </w:tcPr>
          <w:p>
            <w:pPr>
              <w:spacing w:after="0"/>
              <w:rPr>
                <w:sz w:val="22"/>
                <w:szCs w:val="22"/>
                <w:color w:val="auto"/>
              </w:rPr>
            </w:pPr>
          </w:p>
        </w:tc>
      </w:tr>
      <w:tr>
        <w:trPr>
          <w:trHeight w:val="256"/>
        </w:trPr>
        <w:tc>
          <w:tcPr>
            <w:tcW w:w="6960" w:type="dxa"/>
            <w:vAlign w:val="bottom"/>
          </w:tcPr>
          <w:p>
            <w:pPr>
              <w:spacing w:after="0"/>
              <w:rPr>
                <w:sz w:val="20"/>
                <w:szCs w:val="20"/>
                <w:color w:val="auto"/>
              </w:rPr>
            </w:pPr>
            <w:r>
              <w:rPr>
                <w:rFonts w:ascii="Arial" w:cs="Arial" w:eastAsia="Arial" w:hAnsi="Arial"/>
                <w:sz w:val="22"/>
                <w:szCs w:val="22"/>
                <w:b w:val="1"/>
                <w:bCs w:val="1"/>
                <w:color w:val="auto"/>
                <w:w w:val="92"/>
              </w:rPr>
              <w:t>Realized and change in unrealized gain (loss) on investments and debt:</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22"/>
                <w:szCs w:val="22"/>
                <w:color w:val="auto"/>
              </w:rPr>
              <w:t>Net realized gain (loss) on:</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6960" w:type="dxa"/>
            <w:vAlign w:val="bottom"/>
          </w:tcPr>
          <w:p>
            <w:pPr>
              <w:ind w:left="200"/>
              <w:spacing w:after="0"/>
              <w:rPr>
                <w:sz w:val="20"/>
                <w:szCs w:val="20"/>
                <w:color w:val="auto"/>
              </w:rPr>
            </w:pPr>
            <w:r>
              <w:rPr>
                <w:rFonts w:ascii="Arial" w:cs="Arial" w:eastAsia="Arial" w:hAnsi="Arial"/>
                <w:sz w:val="22"/>
                <w:szCs w:val="22"/>
                <w:color w:val="auto"/>
              </w:rPr>
              <w:t>Non-controlled, non-affiliated investments</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49,729,190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w w:val="92"/>
              </w:rPr>
              <w:t>(11,577,419)</w:t>
            </w:r>
          </w:p>
        </w:tc>
        <w:tc>
          <w:tcPr>
            <w:tcW w:w="14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w w:val="99"/>
              </w:rPr>
              <w:t>(51,940,526)</w:t>
            </w:r>
          </w:p>
        </w:tc>
      </w:tr>
      <w:tr>
        <w:trPr>
          <w:trHeight w:val="270"/>
        </w:trPr>
        <w:tc>
          <w:tcPr>
            <w:tcW w:w="6960" w:type="dxa"/>
            <w:vAlign w:val="bottom"/>
          </w:tcPr>
          <w:p>
            <w:pPr>
              <w:ind w:left="200"/>
              <w:spacing w:after="0"/>
              <w:rPr>
                <w:sz w:val="20"/>
                <w:szCs w:val="20"/>
                <w:color w:val="auto"/>
              </w:rPr>
            </w:pPr>
            <w:r>
              <w:rPr>
                <w:rFonts w:ascii="Arial" w:cs="Arial" w:eastAsia="Arial" w:hAnsi="Arial"/>
                <w:sz w:val="22"/>
                <w:szCs w:val="22"/>
                <w:color w:val="auto"/>
              </w:rPr>
              <w:t>Non-controlled and controlled, affiliated investments</w:t>
            </w:r>
          </w:p>
        </w:tc>
        <w:tc>
          <w:tcPr>
            <w:tcW w:w="140" w:type="dxa"/>
            <w:vAlign w:val="bottom"/>
          </w:tcPr>
          <w:p>
            <w:pPr>
              <w:spacing w:after="0"/>
              <w:rPr>
                <w:sz w:val="23"/>
                <w:szCs w:val="2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2"/>
                <w:szCs w:val="22"/>
                <w:color w:val="auto"/>
                <w:w w:val="92"/>
              </w:rPr>
              <w:t>(19,708,359)</w:t>
            </w:r>
          </w:p>
        </w:tc>
        <w:tc>
          <w:tcPr>
            <w:tcW w:w="140" w:type="dxa"/>
            <w:vAlign w:val="bottom"/>
          </w:tcPr>
          <w:p>
            <w:pPr>
              <w:spacing w:after="0"/>
              <w:rPr>
                <w:sz w:val="23"/>
                <w:szCs w:val="23"/>
                <w:color w:val="auto"/>
              </w:rPr>
            </w:pPr>
          </w:p>
        </w:tc>
        <w:tc>
          <w:tcPr>
            <w:tcW w:w="1280" w:type="dxa"/>
            <w:vAlign w:val="bottom"/>
            <w:gridSpan w:val="2"/>
          </w:tcPr>
          <w:p>
            <w:pPr>
              <w:jc w:val="right"/>
              <w:ind w:right="7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w w:val="99"/>
              </w:rPr>
              <w:t>(56,575,132)</w:t>
            </w:r>
          </w:p>
        </w:tc>
      </w:tr>
      <w:tr>
        <w:trPr>
          <w:trHeight w:val="274"/>
        </w:trPr>
        <w:tc>
          <w:tcPr>
            <w:tcW w:w="6960" w:type="dxa"/>
            <w:vAlign w:val="bottom"/>
          </w:tcPr>
          <w:p>
            <w:pPr>
              <w:ind w:left="200"/>
              <w:spacing w:after="0"/>
              <w:rPr>
                <w:sz w:val="20"/>
                <w:szCs w:val="20"/>
                <w:color w:val="auto"/>
              </w:rPr>
            </w:pPr>
            <w:r>
              <w:rPr>
                <w:rFonts w:ascii="Arial" w:cs="Arial" w:eastAsia="Arial" w:hAnsi="Arial"/>
                <w:sz w:val="22"/>
                <w:szCs w:val="22"/>
                <w:color w:val="auto"/>
              </w:rPr>
              <w:t>Deconsolidation loss</w:t>
            </w:r>
          </w:p>
        </w:tc>
        <w:tc>
          <w:tcPr>
            <w:tcW w:w="14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(9,249,833)</w:t>
            </w:r>
          </w:p>
        </w:tc>
        <w:tc>
          <w:tcPr>
            <w:tcW w:w="140" w:type="dxa"/>
            <w:vAlign w:val="bottom"/>
          </w:tcPr>
          <w:p>
            <w:pPr>
              <w:spacing w:after="0"/>
              <w:rPr>
                <w:sz w:val="23"/>
                <w:szCs w:val="23"/>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r>
      <w:tr>
        <w:trPr>
          <w:trHeight w:val="259"/>
        </w:trPr>
        <w:tc>
          <w:tcPr>
            <w:tcW w:w="6960" w:type="dxa"/>
            <w:vAlign w:val="bottom"/>
          </w:tcPr>
          <w:p>
            <w:pPr>
              <w:ind w:left="200"/>
              <w:spacing w:after="0"/>
              <w:rPr>
                <w:sz w:val="20"/>
                <w:szCs w:val="20"/>
                <w:color w:val="auto"/>
              </w:rPr>
            </w:pPr>
            <w:r>
              <w:rPr>
                <w:rFonts w:ascii="Arial" w:cs="Arial" w:eastAsia="Arial" w:hAnsi="Arial"/>
                <w:sz w:val="22"/>
                <w:szCs w:val="22"/>
                <w:b w:val="1"/>
                <w:bCs w:val="1"/>
                <w:color w:val="auto"/>
              </w:rPr>
              <w:t>Net realized (loss) gain on investments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98"/>
              </w:rPr>
              <w:t>30,020,831</w:t>
            </w:r>
          </w:p>
        </w:tc>
        <w:tc>
          <w:tcPr>
            <w:tcW w:w="1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86"/>
              </w:rPr>
              <w:t>(20,827,252)</w:t>
            </w:r>
          </w:p>
        </w:tc>
        <w:tc>
          <w:tcPr>
            <w:tcW w:w="1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84"/>
              </w:rPr>
              <w:t>(108,515,658)</w:t>
            </w:r>
          </w:p>
        </w:tc>
        <w:tc>
          <w:tcPr>
            <w:tcW w:w="80" w:type="dxa"/>
            <w:vAlign w:val="bottom"/>
          </w:tcPr>
          <w:p>
            <w:pPr>
              <w:spacing w:after="0"/>
              <w:rPr>
                <w:sz w:val="22"/>
                <w:szCs w:val="22"/>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22"/>
                <w:szCs w:val="22"/>
                <w:color w:val="auto"/>
              </w:rPr>
              <w:t>Net change in change in unrealized (depreciation) appreciation on:</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6960" w:type="dxa"/>
            <w:vAlign w:val="bottom"/>
          </w:tcPr>
          <w:p>
            <w:pPr>
              <w:ind w:left="200"/>
              <w:spacing w:after="0"/>
              <w:rPr>
                <w:sz w:val="20"/>
                <w:szCs w:val="20"/>
                <w:color w:val="auto"/>
              </w:rPr>
            </w:pPr>
            <w:r>
              <w:rPr>
                <w:rFonts w:ascii="Arial" w:cs="Arial" w:eastAsia="Arial" w:hAnsi="Arial"/>
                <w:sz w:val="22"/>
                <w:szCs w:val="22"/>
                <w:color w:val="auto"/>
              </w:rPr>
              <w:t>Non-controlled, non-affiliated investments</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50,129,570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7,686,665</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22,788,117</w:t>
            </w:r>
          </w:p>
        </w:tc>
        <w:tc>
          <w:tcPr>
            <w:tcW w:w="80" w:type="dxa"/>
            <w:vAlign w:val="bottom"/>
          </w:tcPr>
          <w:p>
            <w:pPr>
              <w:spacing w:after="0"/>
              <w:rPr>
                <w:sz w:val="23"/>
                <w:szCs w:val="23"/>
                <w:color w:val="auto"/>
              </w:rPr>
            </w:pPr>
          </w:p>
        </w:tc>
      </w:tr>
      <w:tr>
        <w:trPr>
          <w:trHeight w:val="270"/>
        </w:trPr>
        <w:tc>
          <w:tcPr>
            <w:tcW w:w="6960" w:type="dxa"/>
            <w:vAlign w:val="bottom"/>
          </w:tcPr>
          <w:p>
            <w:pPr>
              <w:ind w:left="200"/>
              <w:spacing w:after="0"/>
              <w:rPr>
                <w:sz w:val="20"/>
                <w:szCs w:val="20"/>
                <w:color w:val="auto"/>
              </w:rPr>
            </w:pPr>
            <w:r>
              <w:rPr>
                <w:rFonts w:ascii="Arial" w:cs="Arial" w:eastAsia="Arial" w:hAnsi="Arial"/>
                <w:sz w:val="22"/>
                <w:szCs w:val="22"/>
                <w:color w:val="auto"/>
              </w:rPr>
              <w:t>Non-controlled and controlled, affiliated investments</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67,807,797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w w:val="92"/>
              </w:rPr>
              <w:t>(53,863,620)</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51,361,260</w:t>
            </w:r>
          </w:p>
        </w:tc>
        <w:tc>
          <w:tcPr>
            <w:tcW w:w="80" w:type="dxa"/>
            <w:vAlign w:val="bottom"/>
          </w:tcPr>
          <w:p>
            <w:pPr>
              <w:spacing w:after="0"/>
              <w:rPr>
                <w:sz w:val="23"/>
                <w:szCs w:val="23"/>
                <w:color w:val="auto"/>
              </w:rPr>
            </w:pPr>
          </w:p>
        </w:tc>
      </w:tr>
      <w:tr>
        <w:trPr>
          <w:trHeight w:val="274"/>
        </w:trPr>
        <w:tc>
          <w:tcPr>
            <w:tcW w:w="6960" w:type="dxa"/>
            <w:vAlign w:val="bottom"/>
          </w:tcPr>
          <w:p>
            <w:pPr>
              <w:ind w:left="200"/>
              <w:spacing w:after="0"/>
              <w:rPr>
                <w:sz w:val="20"/>
                <w:szCs w:val="20"/>
                <w:color w:val="auto"/>
              </w:rPr>
            </w:pPr>
            <w:r>
              <w:rPr>
                <w:rFonts w:ascii="Arial" w:cs="Arial" w:eastAsia="Arial" w:hAnsi="Arial"/>
                <w:sz w:val="22"/>
                <w:szCs w:val="22"/>
                <w:color w:val="auto"/>
              </w:rPr>
              <w:t>Debt</w:t>
            </w:r>
          </w:p>
        </w:tc>
        <w:tc>
          <w:tcPr>
            <w:tcW w:w="140" w:type="dxa"/>
            <w:vAlign w:val="bottom"/>
          </w:tcPr>
          <w:p>
            <w:pPr>
              <w:spacing w:after="0"/>
              <w:rPr>
                <w:sz w:val="23"/>
                <w:szCs w:val="2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2"/>
                <w:szCs w:val="22"/>
                <w:color w:val="auto"/>
                <w:w w:val="92"/>
              </w:rPr>
              <w:t>(17,818,273)</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12,304,242</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5,694,116</w:t>
            </w:r>
          </w:p>
        </w:tc>
        <w:tc>
          <w:tcPr>
            <w:tcW w:w="80" w:type="dxa"/>
            <w:vAlign w:val="bottom"/>
          </w:tcPr>
          <w:p>
            <w:pPr>
              <w:spacing w:after="0"/>
              <w:rPr>
                <w:sz w:val="23"/>
                <w:szCs w:val="23"/>
                <w:color w:val="auto"/>
              </w:rPr>
            </w:pPr>
          </w:p>
        </w:tc>
      </w:tr>
      <w:tr>
        <w:trPr>
          <w:trHeight w:val="213"/>
        </w:trPr>
        <w:tc>
          <w:tcPr>
            <w:tcW w:w="6960" w:type="dxa"/>
            <w:vAlign w:val="bottom"/>
          </w:tcPr>
          <w:p>
            <w:pPr>
              <w:ind w:left="200"/>
              <w:spacing w:after="0" w:line="212" w:lineRule="exact"/>
              <w:rPr>
                <w:sz w:val="20"/>
                <w:szCs w:val="20"/>
                <w:color w:val="auto"/>
              </w:rPr>
            </w:pPr>
            <w:r>
              <w:rPr>
                <w:rFonts w:ascii="Arial" w:cs="Arial" w:eastAsia="Arial" w:hAnsi="Arial"/>
                <w:sz w:val="22"/>
                <w:szCs w:val="22"/>
                <w:b w:val="1"/>
                <w:bCs w:val="1"/>
                <w:color w:val="auto"/>
                <w:w w:val="88"/>
              </w:rPr>
              <w:t>Net change in unrealized (depreciation) appreciation on investments and</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80"/>
        </w:trPr>
        <w:tc>
          <w:tcPr>
            <w:tcW w:w="6960" w:type="dxa"/>
            <w:vAlign w:val="bottom"/>
          </w:tcPr>
          <w:p>
            <w:pPr>
              <w:ind w:left="200"/>
              <w:spacing w:after="0"/>
              <w:rPr>
                <w:sz w:val="20"/>
                <w:szCs w:val="20"/>
                <w:color w:val="auto"/>
              </w:rPr>
            </w:pPr>
            <w:r>
              <w:rPr>
                <w:rFonts w:ascii="Arial" w:cs="Arial" w:eastAsia="Arial" w:hAnsi="Arial"/>
                <w:sz w:val="22"/>
                <w:szCs w:val="22"/>
                <w:b w:val="1"/>
                <w:bCs w:val="1"/>
                <w:color w:val="auto"/>
              </w:rPr>
              <w:t>debt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88"/>
              </w:rPr>
              <w:t>100,119,094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w w:val="92"/>
              </w:rPr>
              <w:t>(33,872,713)</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79,843,493</w:t>
            </w:r>
          </w:p>
        </w:tc>
        <w:tc>
          <w:tcPr>
            <w:tcW w:w="80" w:type="dxa"/>
            <w:vAlign w:val="bottom"/>
          </w:tcPr>
          <w:p>
            <w:pPr>
              <w:spacing w:after="0"/>
              <w:rPr>
                <w:sz w:val="24"/>
                <w:szCs w:val="24"/>
                <w:color w:val="auto"/>
              </w:rPr>
            </w:pPr>
          </w:p>
        </w:tc>
      </w:tr>
      <w:tr>
        <w:trPr>
          <w:trHeight w:val="213"/>
        </w:trPr>
        <w:tc>
          <w:tcPr>
            <w:tcW w:w="6960" w:type="dxa"/>
            <w:vAlign w:val="bottom"/>
          </w:tcPr>
          <w:p>
            <w:pPr>
              <w:spacing w:after="0" w:line="212" w:lineRule="exact"/>
              <w:rPr>
                <w:sz w:val="20"/>
                <w:szCs w:val="20"/>
                <w:color w:val="auto"/>
              </w:rPr>
            </w:pPr>
            <w:r>
              <w:rPr>
                <w:rFonts w:ascii="Arial" w:cs="Arial" w:eastAsia="Arial" w:hAnsi="Arial"/>
                <w:sz w:val="22"/>
                <w:szCs w:val="22"/>
                <w:b w:val="1"/>
                <w:bCs w:val="1"/>
                <w:color w:val="auto"/>
                <w:w w:val="93"/>
              </w:rPr>
              <w:t>Net realized and change in unrealized gain (loss) from investments and</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80"/>
        </w:trPr>
        <w:tc>
          <w:tcPr>
            <w:tcW w:w="6960" w:type="dxa"/>
            <w:vAlign w:val="bottom"/>
          </w:tcPr>
          <w:p>
            <w:pPr>
              <w:spacing w:after="0"/>
              <w:rPr>
                <w:sz w:val="20"/>
                <w:szCs w:val="20"/>
                <w:color w:val="auto"/>
              </w:rPr>
            </w:pPr>
            <w:r>
              <w:rPr>
                <w:rFonts w:ascii="Arial" w:cs="Arial" w:eastAsia="Arial" w:hAnsi="Arial"/>
                <w:sz w:val="22"/>
                <w:szCs w:val="22"/>
                <w:b w:val="1"/>
                <w:bCs w:val="1"/>
                <w:color w:val="auto"/>
              </w:rPr>
              <w:t>debt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88"/>
              </w:rPr>
              <w:t>130,139,925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w w:val="92"/>
              </w:rPr>
              <w:t>(54,699,965)</w:t>
            </w:r>
          </w:p>
        </w:tc>
        <w:tc>
          <w:tcPr>
            <w:tcW w:w="14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w w:val="99"/>
              </w:rPr>
              <w:t>(28,672,165)</w:t>
            </w:r>
          </w:p>
        </w:tc>
      </w:tr>
      <w:tr>
        <w:trPr>
          <w:trHeight w:val="267"/>
        </w:trPr>
        <w:tc>
          <w:tcPr>
            <w:tcW w:w="6960" w:type="dxa"/>
            <w:vAlign w:val="bottom"/>
          </w:tcPr>
          <w:p>
            <w:pPr>
              <w:spacing w:after="0"/>
              <w:rPr>
                <w:sz w:val="20"/>
                <w:szCs w:val="20"/>
                <w:color w:val="auto"/>
              </w:rPr>
            </w:pPr>
            <w:r>
              <w:rPr>
                <w:rFonts w:ascii="Arial" w:cs="Arial" w:eastAsia="Arial" w:hAnsi="Arial"/>
                <w:sz w:val="22"/>
                <w:szCs w:val="22"/>
                <w:b w:val="1"/>
                <w:bCs w:val="1"/>
                <w:color w:val="auto"/>
              </w:rPr>
              <w:t>Net (decrease) increase in net assets resulting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166,616,905</w:t>
            </w:r>
          </w:p>
        </w:tc>
        <w:tc>
          <w:tcPr>
            <w:tcW w:w="18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1"/>
              </w:rPr>
              <w:t>(15,969,753</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15,924,806</w:t>
            </w:r>
          </w:p>
        </w:tc>
        <w:tc>
          <w:tcPr>
            <w:tcW w:w="80" w:type="dxa"/>
            <w:vAlign w:val="bottom"/>
          </w:tcPr>
          <w:p>
            <w:pPr>
              <w:spacing w:after="0"/>
              <w:rPr>
                <w:sz w:val="23"/>
                <w:szCs w:val="23"/>
                <w:color w:val="auto"/>
              </w:rPr>
            </w:pPr>
          </w:p>
        </w:tc>
      </w:tr>
    </w:tbl>
    <w:p>
      <w:pPr>
        <w:sectPr>
          <w:pgSz w:w="11900" w:h="16838" w:orient="portrait"/>
          <w:cols w:equalWidth="0" w:num="1">
            <w:col w:w="11200"/>
          </w:cols>
          <w:pgMar w:left="340" w:top="118" w:right="359" w:bottom="0" w:gutter="0" w:footer="0" w:header="0"/>
        </w:sectPr>
      </w:pPr>
    </w:p>
    <w:bookmarkStart w:id="9" w:name="page10"/>
    <w:bookmarkEnd w:id="9"/>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960" w:type="dxa"/>
            <w:vAlign w:val="bottom"/>
          </w:tcPr>
          <w:p>
            <w:pPr>
              <w:spacing w:after="0"/>
              <w:rPr>
                <w:sz w:val="20"/>
                <w:szCs w:val="20"/>
                <w:color w:val="auto"/>
              </w:rPr>
            </w:pPr>
            <w:r>
              <w:rPr>
                <w:rFonts w:ascii="Arial" w:cs="Arial" w:eastAsia="Arial" w:hAnsi="Arial"/>
                <w:sz w:val="22"/>
                <w:szCs w:val="22"/>
                <w:color w:val="auto"/>
                <w:w w:val="93"/>
              </w:rPr>
              <w:t>Net (decrease) increase in net assets resulting from operations per common</w:t>
            </w:r>
          </w:p>
        </w:tc>
        <w:tc>
          <w:tcPr>
            <w:tcW w:w="500" w:type="dxa"/>
            <w:vAlign w:val="bottom"/>
          </w:tcPr>
          <w:p>
            <w:pPr>
              <w:jc w:val="right"/>
              <w:ind w:right="272"/>
              <w:spacing w:after="0"/>
              <w:rPr>
                <w:sz w:val="20"/>
                <w:szCs w:val="20"/>
                <w:color w:val="auto"/>
              </w:rPr>
            </w:pPr>
            <w:r>
              <w:rPr>
                <w:rFonts w:ascii="Arial" w:cs="Arial" w:eastAsia="Arial" w:hAnsi="Arial"/>
                <w:sz w:val="22"/>
                <w:szCs w:val="22"/>
                <w:color w:val="auto"/>
                <w:w w:val="81"/>
              </w:rPr>
              <w:t>$</w:t>
            </w:r>
          </w:p>
        </w:tc>
        <w:tc>
          <w:tcPr>
            <w:tcW w:w="740" w:type="dxa"/>
            <w:vAlign w:val="bottom"/>
          </w:tcPr>
          <w:p>
            <w:pPr>
              <w:jc w:val="right"/>
              <w:spacing w:after="0"/>
              <w:rPr>
                <w:sz w:val="20"/>
                <w:szCs w:val="20"/>
                <w:color w:val="auto"/>
              </w:rPr>
            </w:pPr>
            <w:r>
              <w:rPr>
                <w:rFonts w:ascii="Arial" w:cs="Arial" w:eastAsia="Arial" w:hAnsi="Arial"/>
                <w:sz w:val="22"/>
                <w:szCs w:val="22"/>
                <w:color w:val="auto"/>
              </w:rPr>
              <w:t>2.49</w:t>
            </w:r>
          </w:p>
        </w:tc>
        <w:tc>
          <w:tcPr>
            <w:tcW w:w="180" w:type="dxa"/>
            <w:vAlign w:val="bottom"/>
          </w:tcPr>
          <w:p>
            <w:pPr>
              <w:spacing w:after="0"/>
              <w:rPr>
                <w:sz w:val="21"/>
                <w:szCs w:val="21"/>
                <w:color w:val="auto"/>
              </w:rPr>
            </w:pPr>
          </w:p>
        </w:tc>
        <w:tc>
          <w:tcPr>
            <w:tcW w:w="460" w:type="dxa"/>
            <w:vAlign w:val="bottom"/>
          </w:tcPr>
          <w:p>
            <w:pPr>
              <w:jc w:val="right"/>
              <w:ind w:right="232"/>
              <w:spacing w:after="0"/>
              <w:rPr>
                <w:sz w:val="20"/>
                <w:szCs w:val="20"/>
                <w:color w:val="auto"/>
              </w:rPr>
            </w:pPr>
            <w:r>
              <w:rPr>
                <w:rFonts w:ascii="Arial" w:cs="Arial" w:eastAsia="Arial" w:hAnsi="Arial"/>
                <w:sz w:val="22"/>
                <w:szCs w:val="22"/>
                <w:color w:val="auto"/>
                <w:w w:val="81"/>
              </w:rPr>
              <w:t>$</w:t>
            </w:r>
          </w:p>
        </w:tc>
        <w:tc>
          <w:tcPr>
            <w:tcW w:w="960" w:type="dxa"/>
            <w:vAlign w:val="bottom"/>
            <w:gridSpan w:val="2"/>
          </w:tcPr>
          <w:p>
            <w:pPr>
              <w:jc w:val="right"/>
              <w:ind w:right="100"/>
              <w:spacing w:after="0"/>
              <w:rPr>
                <w:sz w:val="20"/>
                <w:szCs w:val="20"/>
                <w:color w:val="auto"/>
              </w:rPr>
            </w:pPr>
            <w:r>
              <w:rPr>
                <w:rFonts w:ascii="Arial" w:cs="Arial" w:eastAsia="Arial" w:hAnsi="Arial"/>
                <w:sz w:val="22"/>
                <w:szCs w:val="22"/>
                <w:color w:val="auto"/>
              </w:rPr>
              <w:t>(0.24)</w:t>
            </w:r>
          </w:p>
        </w:tc>
        <w:tc>
          <w:tcPr>
            <w:tcW w:w="520" w:type="dxa"/>
            <w:vAlign w:val="bottom"/>
          </w:tcPr>
          <w:p>
            <w:pPr>
              <w:jc w:val="right"/>
              <w:ind w:right="292"/>
              <w:spacing w:after="0"/>
              <w:rPr>
                <w:sz w:val="20"/>
                <w:szCs w:val="20"/>
                <w:color w:val="auto"/>
              </w:rPr>
            </w:pPr>
            <w:r>
              <w:rPr>
                <w:rFonts w:ascii="Arial" w:cs="Arial" w:eastAsia="Arial" w:hAnsi="Arial"/>
                <w:sz w:val="22"/>
                <w:szCs w:val="22"/>
                <w:color w:val="auto"/>
                <w:w w:val="81"/>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0.24</w:t>
            </w:r>
          </w:p>
        </w:tc>
      </w:tr>
      <w:tr>
        <w:trPr>
          <w:trHeight w:val="251"/>
        </w:trPr>
        <w:tc>
          <w:tcPr>
            <w:tcW w:w="6960" w:type="dxa"/>
            <w:vAlign w:val="bottom"/>
          </w:tcPr>
          <w:p>
            <w:pPr>
              <w:spacing w:after="0" w:line="251" w:lineRule="exact"/>
              <w:rPr>
                <w:sz w:val="20"/>
                <w:szCs w:val="20"/>
                <w:color w:val="auto"/>
              </w:rPr>
            </w:pPr>
            <w:r>
              <w:rPr>
                <w:rFonts w:ascii="Arial" w:cs="Arial" w:eastAsia="Arial" w:hAnsi="Arial"/>
                <w:sz w:val="22"/>
                <w:szCs w:val="22"/>
                <w:color w:val="auto"/>
              </w:rPr>
              <w:t>share</w:t>
            </w:r>
          </w:p>
        </w:tc>
        <w:tc>
          <w:tcPr>
            <w:tcW w:w="5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r>
      <w:tr>
        <w:trPr>
          <w:trHeight w:val="20"/>
        </w:trPr>
        <w:tc>
          <w:tcPr>
            <w:tcW w:w="6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3"/>
        </w:trPr>
        <w:tc>
          <w:tcPr>
            <w:tcW w:w="696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50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w w:val="8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0.54</w:t>
            </w:r>
          </w:p>
        </w:tc>
        <w:tc>
          <w:tcPr>
            <w:tcW w:w="180" w:type="dxa"/>
            <w:vAlign w:val="bottom"/>
          </w:tcPr>
          <w:p>
            <w:pPr>
              <w:spacing w:after="0"/>
              <w:rPr>
                <w:sz w:val="22"/>
                <w:szCs w:val="22"/>
                <w:color w:val="auto"/>
              </w:rPr>
            </w:pP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0.58</w:t>
            </w:r>
          </w:p>
        </w:tc>
        <w:tc>
          <w:tcPr>
            <w:tcW w:w="180" w:type="dxa"/>
            <w:vAlign w:val="bottom"/>
          </w:tcPr>
          <w:p>
            <w:pPr>
              <w:spacing w:after="0"/>
              <w:rPr>
                <w:sz w:val="22"/>
                <w:szCs w:val="22"/>
                <w:color w:val="auto"/>
              </w:rPr>
            </w:pPr>
          </w:p>
        </w:tc>
        <w:tc>
          <w:tcPr>
            <w:tcW w:w="52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color w:val="auto"/>
                <w:w w:val="8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0.66</w:t>
            </w:r>
          </w:p>
        </w:tc>
      </w:tr>
      <w:tr>
        <w:trPr>
          <w:trHeight w:val="21"/>
        </w:trPr>
        <w:tc>
          <w:tcPr>
            <w:tcW w:w="6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$5.2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2021-11-17T15:30:43Z</dcterms:created>
  <dcterms:modified xsi:type="dcterms:W3CDTF">2021-11-17T15:30:43Z</dcterms:modified>
</cp:coreProperties>
</file>