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w:t>
      </w:r>
    </w:p>
    <w:p>
      <w:pPr>
        <w:jc w:val="center"/>
        <w:ind w:right="-6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November 25, 2015</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79"/>
        <w:spacing w:after="0"/>
        <w:rPr>
          <w:sz w:val="20"/>
          <w:szCs w:val="20"/>
          <w:color w:val="auto"/>
        </w:rPr>
      </w:pPr>
      <w:r>
        <w:rPr>
          <w:rFonts w:ascii="Arial" w:cs="Arial" w:eastAsia="Arial" w:hAnsi="Arial"/>
          <w:sz w:val="39"/>
          <w:szCs w:val="39"/>
          <w:b w:val="1"/>
          <w:bCs w:val="1"/>
          <w:color w:val="auto"/>
        </w:rPr>
        <w:t>PennantPark Investment Corporation</w:t>
      </w:r>
    </w:p>
    <w:p>
      <w:pPr>
        <w:spacing w:after="0" w:line="9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31" w:lineRule="exact"/>
        <w:rPr>
          <w:sz w:val="24"/>
          <w:szCs w:val="24"/>
          <w:color w:val="auto"/>
        </w:rPr>
      </w:pPr>
    </w:p>
    <w:p>
      <w:pPr>
        <w:sectPr>
          <w:pgSz w:w="11900" w:h="16838" w:orient="portrait"/>
          <w:cols w:equalWidth="0" w:num="3">
            <w:col w:w="4640" w:space="720"/>
            <w:col w:w="2920" w:space="720"/>
            <w:col w:w="1560"/>
          </w:cols>
          <w:pgMar w:left="320" w:top="368"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4"/>
          <w:szCs w:val="14"/>
          <w:b w:val="1"/>
          <w:bCs w:val="1"/>
          <w:color w:val="auto"/>
        </w:rPr>
        <w:t>(IRS Employer</w:t>
      </w:r>
    </w:p>
    <w:p>
      <w:pPr>
        <w:jc w:val="center"/>
        <w:ind w:right="40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620" w:space="720"/>
            <w:col w:w="2680" w:space="720"/>
            <w:col w:w="1820"/>
          </w:cols>
          <w:pgMar w:left="320" w:top="368" w:right="1019" w:bottom="1440" w:gutter="0" w:footer="0" w:header="0"/>
          <w:type w:val="continuous"/>
        </w:sectPr>
      </w:pP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590 Madison Avenue, 15</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280"/>
          </w:cols>
          <w:pgMar w:left="320" w:top="368" w:right="101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60" w:space="720"/>
            <w:col w:w="2380"/>
          </w:cols>
          <w:pgMar w:left="320" w:top="368" w:right="1019" w:bottom="1440" w:gutter="0" w:footer="0" w:header="0"/>
          <w:type w:val="continuous"/>
        </w:sectPr>
      </w:pPr>
    </w:p>
    <w:p>
      <w:pPr>
        <w:spacing w:after="0" w:line="10"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 of Articles of Incorporation or Bylaws; Change in Fiscal Year</w:t>
      </w:r>
    </w:p>
    <w:p>
      <w:pPr>
        <w:spacing w:after="0" w:line="121"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Effective November 25, 2015, the Board of Directors of PennantPark Investment Corporation (the “Company”) amended the Company’s bylaws (as amended and restated from time to time, the “Bylaws”) to provide that certain courts in Maryland shall be the forum for certain litigation. No other provisions of the Bylaws were revised. The Bylaws are attached to this Current Report on Form 8-K as Exhibit 3.1.</w:t>
      </w:r>
    </w:p>
    <w:p>
      <w:pPr>
        <w:spacing w:after="0" w:line="31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December 2, 2015, PennantPark Investment Corporation issued a press release announcing first fiscal quarter 2016 distribution. A copy of the press release is furnished as Exhibit 99.1 to this Form 8-K.</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information in Item 7.01 of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Item 7.01 of this Current Report on Form 8-K shall not be deemed incorporated by reference in any filing under the Securities Act of 1933, as amended,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30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60" w:right="9280" w:hanging="452"/>
        <w:spacing w:after="0" w:line="445" w:lineRule="auto"/>
        <w:tabs>
          <w:tab w:leader="none" w:pos="26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60" w:right="8380" w:hanging="452"/>
        <w:spacing w:after="0" w:line="407" w:lineRule="auto"/>
        <w:tabs>
          <w:tab w:leader="none" w:pos="2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60" w:right="8760" w:hanging="452"/>
        <w:spacing w:after="0" w:line="407" w:lineRule="auto"/>
        <w:tabs>
          <w:tab w:leader="none" w:pos="25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PennantPark Investment Corporation</w:t>
      </w:r>
    </w:p>
    <w:p>
      <w:pPr>
        <w:spacing w:after="0" w:line="117" w:lineRule="exact"/>
        <w:rPr>
          <w:sz w:val="20"/>
          <w:szCs w:val="20"/>
          <w:color w:val="auto"/>
        </w:rPr>
      </w:pPr>
    </w:p>
    <w:p>
      <w:pPr>
        <w:ind w:left="4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December 2, 2015</w:t>
      </w:r>
    </w:p>
    <w:p>
      <w:pPr>
        <w:sectPr>
          <w:pgSz w:w="11900" w:h="16838" w:orient="portrait"/>
          <w:cols w:equalWidth="0" w:num="1">
            <w:col w:w="11180"/>
          </w:cols>
          <w:pgMar w:left="320" w:top="270" w:right="39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December 2, 2015</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740"/>
          </w:cols>
          <w:pgMar w:left="320" w:top="270"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20" w:type="dxa"/>
            <w:vAlign w:val="bottom"/>
            <w:gridSpan w:val="3"/>
          </w:tcPr>
          <w:p>
            <w:pPr>
              <w:ind w:left="396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00" w:type="dxa"/>
            <w:vAlign w:val="bottom"/>
          </w:tcPr>
          <w:p>
            <w:pPr>
              <w:spacing w:after="0"/>
              <w:rPr>
                <w:sz w:val="24"/>
                <w:szCs w:val="24"/>
                <w:color w:val="auto"/>
              </w:rPr>
            </w:pPr>
          </w:p>
        </w:tc>
      </w:tr>
      <w:tr>
        <w:trPr>
          <w:trHeight w:val="31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6120" w:type="dxa"/>
            <w:vAlign w:val="bottom"/>
            <w:gridSpan w:val="3"/>
          </w:tcPr>
          <w:p>
            <w:pPr>
              <w:ind w:left="420"/>
              <w:spacing w:after="0"/>
              <w:rPr>
                <w:sz w:val="20"/>
                <w:szCs w:val="20"/>
                <w:color w:val="auto"/>
              </w:rPr>
            </w:pPr>
            <w:r>
              <w:rPr>
                <w:rFonts w:ascii="Arial" w:cs="Arial" w:eastAsia="Arial" w:hAnsi="Arial"/>
                <w:sz w:val="18"/>
                <w:szCs w:val="18"/>
                <w:color w:val="auto"/>
                <w:w w:val="99"/>
              </w:rPr>
              <w:t>Amended and Restated Bylaws of PennantPark Investment Corporation</w:t>
            </w:r>
          </w:p>
        </w:tc>
      </w:tr>
      <w:tr>
        <w:trPr>
          <w:trHeight w:val="338"/>
        </w:trPr>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99.1</w:t>
            </w:r>
          </w:p>
        </w:tc>
        <w:tc>
          <w:tcPr>
            <w:tcW w:w="6120" w:type="dxa"/>
            <w:vAlign w:val="bottom"/>
            <w:gridSpan w:val="3"/>
          </w:tcPr>
          <w:p>
            <w:pPr>
              <w:ind w:left="420"/>
              <w:spacing w:after="0"/>
              <w:rPr>
                <w:sz w:val="20"/>
                <w:szCs w:val="20"/>
                <w:color w:val="auto"/>
              </w:rPr>
            </w:pPr>
            <w:r>
              <w:rPr>
                <w:rFonts w:ascii="Arial" w:cs="Arial" w:eastAsia="Arial" w:hAnsi="Arial"/>
                <w:sz w:val="18"/>
                <w:szCs w:val="18"/>
                <w:color w:val="auto"/>
                <w:w w:val="88"/>
              </w:rPr>
              <w:t>Press Release of PennantPark Investment Corporation dated December 2, 2015</w:t>
            </w:r>
          </w:p>
        </w:tc>
      </w:tr>
    </w:tbl>
    <w:p>
      <w:pPr>
        <w:ind w:left="420"/>
        <w:spacing w:after="0"/>
        <w:rPr>
          <w:sz w:val="20"/>
          <w:szCs w:val="20"/>
          <w:color w:val="auto"/>
        </w:rPr>
        <w:sectPr>
          <w:pgSz w:w="11900" w:h="16838" w:orient="portrait"/>
          <w:cols w:equalWidth="0" w:num="1">
            <w:col w:w="10139"/>
          </w:cols>
          <w:pgMar w:left="32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337"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70"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in accordance with these Bylaws and stated in the notice of the meeting.</w:t>
      </w:r>
    </w:p>
    <w:p>
      <w:pPr>
        <w:spacing w:after="0" w:line="170"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for the election of directors and the transaction of any business within the powers of the Corporation shall be held on the date and at the time and place set by the Board of Directors.</w:t>
      </w:r>
    </w:p>
    <w:p>
      <w:pPr>
        <w:spacing w:after="0" w:line="170"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SPECIAL MEETINGS</w:t>
      </w:r>
      <w:r>
        <w:rPr>
          <w:rFonts w:ascii="Arial" w:cs="Arial" w:eastAsia="Arial" w:hAnsi="Arial"/>
          <w:sz w:val="17"/>
          <w:szCs w:val="17"/>
          <w:color w:val="auto"/>
        </w:rPr>
        <w:t>.</w:t>
      </w:r>
    </w:p>
    <w:p>
      <w:pPr>
        <w:spacing w:after="0" w:line="225" w:lineRule="exact"/>
        <w:rPr>
          <w:sz w:val="20"/>
          <w:szCs w:val="20"/>
          <w:color w:val="auto"/>
        </w:rPr>
      </w:pPr>
    </w:p>
    <w:p>
      <w:pPr>
        <w:ind w:right="60" w:firstLine="906"/>
        <w:spacing w:after="0" w:line="259" w:lineRule="auto"/>
        <w:tabs>
          <w:tab w:leader="none" w:pos="127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Chairman of the Board, the president or the Board of Directors may call a special meeting of the stockholders. Subject to subsection (b) of this Section 3, a special meeting of stockholders shall also be called by the secretary of the Corporation to act on any matter that may properly be considered at a meeting of stockholders upon the written request of stockholders entitled to cast not less than a majority of all the votes entitled to be cast at such meeting.</w:t>
      </w:r>
    </w:p>
    <w:p>
      <w:pPr>
        <w:spacing w:after="0" w:line="186" w:lineRule="exact"/>
        <w:rPr>
          <w:rFonts w:ascii="Arial" w:cs="Arial" w:eastAsia="Arial" w:hAnsi="Arial"/>
          <w:sz w:val="18"/>
          <w:szCs w:val="18"/>
          <w:color w:val="auto"/>
        </w:rPr>
      </w:pPr>
    </w:p>
    <w:p>
      <w:pPr>
        <w:ind w:right="20" w:firstLine="906"/>
        <w:spacing w:after="0" w:line="254" w:lineRule="auto"/>
        <w:tabs>
          <w:tab w:leader="none" w:pos="128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 xml:space="preserve">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w:t>
      </w:r>
    </w:p>
    <w:p>
      <w:pPr>
        <w:sectPr>
          <w:pgSz w:w="11900" w:h="16838" w:orient="portrait"/>
          <w:cols w:equalWidth="0" w:num="1">
            <w:col w:w="11240"/>
          </w:cols>
          <w:pgMar w:left="320" w:top="121" w:right="339" w:bottom="1440" w:gutter="0" w:footer="0" w:header="0"/>
        </w:sectPr>
      </w:pPr>
    </w:p>
    <w:bookmarkStart w:id="5" w:name="page6"/>
    <w:bookmarkEnd w:id="5"/>
    <w:p>
      <w:pPr>
        <w:ind w:right="2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(even if an election contest is not involved), or is otherwise required,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95" w:lineRule="exact"/>
        <w:rPr>
          <w:sz w:val="20"/>
          <w:szCs w:val="20"/>
          <w:color w:val="auto"/>
        </w:rPr>
      </w:pPr>
    </w:p>
    <w:p>
      <w:pPr>
        <w:ind w:firstLine="1468"/>
        <w:spacing w:after="0" w:line="287" w:lineRule="auto"/>
        <w:tabs>
          <w:tab w:leader="none" w:pos="185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71" w:lineRule="exact"/>
        <w:rPr>
          <w:rFonts w:ascii="Arial" w:cs="Arial" w:eastAsia="Arial" w:hAnsi="Arial"/>
          <w:sz w:val="16"/>
          <w:szCs w:val="16"/>
          <w:color w:val="auto"/>
        </w:rPr>
      </w:pPr>
    </w:p>
    <w:p>
      <w:pPr>
        <w:ind w:right="360" w:firstLine="1468"/>
        <w:spacing w:after="0" w:line="259" w:lineRule="auto"/>
        <w:tabs>
          <w:tab w:leader="none" w:pos="18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86" w:lineRule="exact"/>
        <w:rPr>
          <w:rFonts w:ascii="Arial" w:cs="Arial" w:eastAsia="Arial" w:hAnsi="Arial"/>
          <w:sz w:val="18"/>
          <w:szCs w:val="18"/>
          <w:color w:val="auto"/>
        </w:rPr>
      </w:pPr>
    </w:p>
    <w:p>
      <w:pPr>
        <w:ind w:right="220" w:firstLine="1468"/>
        <w:spacing w:after="0" w:line="273" w:lineRule="auto"/>
        <w:tabs>
          <w:tab w:leader="none" w:pos="185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w:t>
      </w:r>
    </w:p>
    <w:p>
      <w:pPr>
        <w:sectPr>
          <w:pgSz w:w="11900" w:h="16838" w:orient="portrait"/>
          <w:cols w:equalWidth="0" w:num="1">
            <w:col w:w="11240"/>
          </w:cols>
          <w:pgMar w:left="320" w:top="274" w:right="339" w:bottom="1440" w:gutter="0" w:footer="0" w:header="0"/>
        </w:sectPr>
      </w:pPr>
    </w:p>
    <w:bookmarkStart w:id="6" w:name="page7"/>
    <w:bookmarkEnd w:id="6"/>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85" w:lineRule="exact"/>
        <w:rPr>
          <w:sz w:val="20"/>
          <w:szCs w:val="20"/>
          <w:color w:val="auto"/>
        </w:rPr>
      </w:pPr>
    </w:p>
    <w:p>
      <w:pPr>
        <w:ind w:firstLine="1468"/>
        <w:spacing w:after="0" w:line="269" w:lineRule="auto"/>
        <w:tabs>
          <w:tab w:leader="none" w:pos="185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without acting on the matter. Any request for a special meeting received after a revocation by the Secretary of a notice of a meeting shall be considered a request for a new special meeting.</w:t>
      </w:r>
    </w:p>
    <w:p>
      <w:pPr>
        <w:spacing w:after="0" w:line="185" w:lineRule="exact"/>
        <w:rPr>
          <w:rFonts w:ascii="Arial" w:cs="Arial" w:eastAsia="Arial" w:hAnsi="Arial"/>
          <w:sz w:val="17"/>
          <w:szCs w:val="17"/>
          <w:color w:val="auto"/>
        </w:rPr>
      </w:pPr>
    </w:p>
    <w:p>
      <w:pPr>
        <w:ind w:right="60" w:firstLine="1468"/>
        <w:spacing w:after="0" w:line="290" w:lineRule="auto"/>
        <w:tabs>
          <w:tab w:leader="none" w:pos="184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ectPr>
          <w:pgSz w:w="11900" w:h="16838" w:orient="portrait"/>
          <w:cols w:equalWidth="0" w:num="1">
            <w:col w:w="11220"/>
          </w:cols>
          <w:pgMar w:left="320" w:top="274" w:right="359" w:bottom="1440" w:gutter="0" w:footer="0" w:header="0"/>
        </w:sectPr>
      </w:pPr>
    </w:p>
    <w:bookmarkStart w:id="7" w:name="page8"/>
    <w:bookmarkEnd w:id="7"/>
    <w:p>
      <w:pPr>
        <w:ind w:firstLine="1468"/>
        <w:spacing w:after="0" w:line="277" w:lineRule="auto"/>
        <w:tabs>
          <w:tab w:leader="none" w:pos="185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these Bylaws, “Business Day” shall mean any day other than a Saturday, a Sunday or other day on which banking institutions in the State of New York are authorized or obligated by law or executive order to close.</w:t>
      </w:r>
    </w:p>
    <w:p>
      <w:pPr>
        <w:spacing w:after="0" w:line="170"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79"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92" w:lineRule="exact"/>
        <w:rPr>
          <w:sz w:val="20"/>
          <w:szCs w:val="20"/>
          <w:color w:val="auto"/>
        </w:rPr>
      </w:pPr>
    </w:p>
    <w:p>
      <w:pPr>
        <w:ind w:right="100" w:firstLine="898"/>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ORGANIZATION AND CONDUCT</w:t>
      </w:r>
      <w:r>
        <w:rPr>
          <w:rFonts w:ascii="Arial" w:cs="Arial" w:eastAsia="Arial" w:hAnsi="Arial"/>
          <w:sz w:val="17"/>
          <w:szCs w:val="17"/>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w:t>
      </w:r>
    </w:p>
    <w:p>
      <w:pPr>
        <w:sectPr>
          <w:pgSz w:w="11900" w:h="16838" w:orient="portrait"/>
          <w:cols w:equalWidth="0" w:num="1">
            <w:col w:w="11220"/>
          </w:cols>
          <w:pgMar w:left="320" w:top="274" w:right="359" w:bottom="1440" w:gutter="0" w:footer="0" w:header="0"/>
        </w:sectPr>
      </w:pPr>
    </w:p>
    <w:bookmarkStart w:id="8" w:name="page9"/>
    <w:bookmarkEnd w:id="8"/>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w:t>
      </w:r>
    </w:p>
    <w:p>
      <w:pPr>
        <w:spacing w:after="0" w:line="2" w:lineRule="exact"/>
        <w:rPr>
          <w:sz w:val="20"/>
          <w:szCs w:val="20"/>
          <w:color w:val="auto"/>
        </w:rPr>
      </w:pPr>
    </w:p>
    <w:p>
      <w:pPr>
        <w:jc w:val="both"/>
        <w:ind w:right="280" w:firstLine="8"/>
        <w:spacing w:after="0" w:line="281"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w:t>
      </w:r>
    </w:p>
    <w:p>
      <w:pPr>
        <w:spacing w:after="0" w:line="1" w:lineRule="exact"/>
        <w:rPr>
          <w:rFonts w:ascii="Arial" w:cs="Arial" w:eastAsia="Arial" w:hAnsi="Arial"/>
          <w:sz w:val="16"/>
          <w:szCs w:val="16"/>
          <w:color w:val="auto"/>
        </w:rPr>
      </w:pPr>
    </w:p>
    <w:p>
      <w:pPr>
        <w:ind w:right="20" w:firstLine="8"/>
        <w:spacing w:after="0" w:line="273"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76"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92"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87" w:lineRule="exact"/>
        <w:rPr>
          <w:sz w:val="20"/>
          <w:szCs w:val="20"/>
          <w:color w:val="auto"/>
        </w:rPr>
      </w:pPr>
    </w:p>
    <w:p>
      <w:pPr>
        <w:ind w:right="600" w:firstLine="898"/>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70" w:lineRule="exact"/>
        <w:rPr>
          <w:sz w:val="20"/>
          <w:szCs w:val="20"/>
          <w:color w:val="auto"/>
        </w:rPr>
      </w:pPr>
    </w:p>
    <w:p>
      <w:pPr>
        <w:ind w:right="60" w:firstLine="898"/>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A nominee for director shall be elected by the affirmative vote of the holders of a majority of the shares of stock outstanding and entitled to vote thereon .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a different vote is required by statute or by the charter of the Corporation. Unless otherwise provided by statute or by the charter, each outstanding share, regardless of class, shall be entitled to one vote on each matter submitted to a vote at a meeting of stockholders.</w:t>
      </w:r>
    </w:p>
    <w:p>
      <w:pPr>
        <w:sectPr>
          <w:pgSz w:w="11900" w:h="16838" w:orient="portrait"/>
          <w:cols w:equalWidth="0" w:num="1">
            <w:col w:w="11200"/>
          </w:cols>
          <w:pgMar w:left="320" w:top="274" w:right="379" w:bottom="1440" w:gutter="0" w:footer="0" w:header="0"/>
        </w:sectPr>
      </w:pPr>
    </w:p>
    <w:bookmarkStart w:id="9" w:name="page10"/>
    <w:bookmarkEnd w:id="9"/>
    <w:p>
      <w:pPr>
        <w:ind w:right="12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87" w:lineRule="exact"/>
        <w:rPr>
          <w:sz w:val="20"/>
          <w:szCs w:val="20"/>
          <w:color w:val="auto"/>
        </w:rPr>
      </w:pPr>
    </w:p>
    <w:p>
      <w:pPr>
        <w:ind w:right="160" w:firstLine="89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92"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70" w:lineRule="exact"/>
        <w:rPr>
          <w:sz w:val="20"/>
          <w:szCs w:val="20"/>
          <w:color w:val="auto"/>
        </w:rPr>
      </w:pPr>
    </w:p>
    <w:p>
      <w:pPr>
        <w:ind w:right="120" w:firstLine="898"/>
        <w:spacing w:after="0" w:line="255" w:lineRule="auto"/>
        <w:rPr>
          <w:sz w:val="20"/>
          <w:szCs w:val="20"/>
          <w:color w:val="auto"/>
        </w:rPr>
      </w:pPr>
      <w:r>
        <w:rPr>
          <w:rFonts w:ascii="Arial" w:cs="Arial" w:eastAsia="Arial" w:hAnsi="Arial"/>
          <w:sz w:val="18"/>
          <w:szCs w:val="18"/>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92" w:lineRule="exact"/>
        <w:rPr>
          <w:sz w:val="20"/>
          <w:szCs w:val="20"/>
          <w:color w:val="auto"/>
        </w:rPr>
      </w:pPr>
    </w:p>
    <w:p>
      <w:pPr>
        <w:ind w:firstLine="898"/>
        <w:spacing w:after="0" w:line="27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w:t>
      </w:r>
      <w:r>
        <w:rPr>
          <w:rFonts w:ascii="Arial" w:cs="Arial" w:eastAsia="Arial" w:hAnsi="Arial"/>
          <w:sz w:val="17"/>
          <w:szCs w:val="17"/>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 act, the vacancy may be filled by appointment made by the Board of Directors in advance of the</w:t>
      </w:r>
    </w:p>
    <w:p>
      <w:pPr>
        <w:sectPr>
          <w:pgSz w:w="11900" w:h="16838" w:orient="portrait"/>
          <w:cols w:equalWidth="0" w:num="1">
            <w:col w:w="11180"/>
          </w:cols>
          <w:pgMar w:left="320" w:top="274" w:right="399" w:bottom="1440" w:gutter="0" w:footer="0" w:header="0"/>
        </w:sectPr>
      </w:pPr>
    </w:p>
    <w:bookmarkStart w:id="10" w:name="page11"/>
    <w:bookmarkEnd w:id="1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95" w:lineRule="exact"/>
        <w:rPr>
          <w:sz w:val="20"/>
          <w:szCs w:val="20"/>
          <w:color w:val="auto"/>
        </w:rPr>
      </w:pPr>
    </w:p>
    <w:p>
      <w:pPr>
        <w:ind w:left="900"/>
        <w:spacing w:after="0"/>
        <w:tabs>
          <w:tab w:leader="none" w:pos="18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ADVANCE NOTICE OF STOCKHOLDER NOMINEES FOR DIRECTOR AND OTHER STOCKHOLDER PROPOSALS</w:t>
      </w:r>
      <w:r>
        <w:rPr>
          <w:rFonts w:ascii="Arial" w:cs="Arial" w:eastAsia="Arial" w:hAnsi="Arial"/>
          <w:sz w:val="17"/>
          <w:szCs w:val="17"/>
          <w:color w:val="auto"/>
        </w:rPr>
        <w:t>.</w:t>
      </w:r>
    </w:p>
    <w:p>
      <w:pPr>
        <w:spacing w:after="0" w:line="225" w:lineRule="exact"/>
        <w:rPr>
          <w:sz w:val="20"/>
          <w:szCs w:val="20"/>
          <w:color w:val="auto"/>
        </w:rPr>
      </w:pPr>
    </w:p>
    <w:p>
      <w:pPr>
        <w:ind w:firstLine="906"/>
        <w:spacing w:after="0" w:line="275" w:lineRule="auto"/>
        <w:tabs>
          <w:tab w:leader="none" w:pos="127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in the election of each individual so nominated or on any such other business and who has complied with this Section 11(a).</w:t>
      </w:r>
    </w:p>
    <w:p>
      <w:pPr>
        <w:spacing w:after="0" w:line="176" w:lineRule="exact"/>
        <w:rPr>
          <w:rFonts w:ascii="Arial" w:cs="Arial" w:eastAsia="Arial" w:hAnsi="Arial"/>
          <w:sz w:val="17"/>
          <w:szCs w:val="17"/>
          <w:color w:val="auto"/>
        </w:rPr>
      </w:pPr>
    </w:p>
    <w:p>
      <w:pPr>
        <w:ind w:firstLine="1468"/>
        <w:spacing w:after="0" w:line="269" w:lineRule="auto"/>
        <w:tabs>
          <w:tab w:leader="none" w:pos="1850"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nor later than 5:00 p.m., Eastern Time,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of the preceding year’s annual meeting, in order for notice by the stockholder to be timely, such notice must be so delivered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5:00 p.m., Eastern Time, on the later of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as originally convened,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pacing w:after="0" w:line="181" w:lineRule="exact"/>
        <w:rPr>
          <w:rFonts w:ascii="Arial" w:cs="Arial" w:eastAsia="Arial" w:hAnsi="Arial"/>
          <w:sz w:val="17"/>
          <w:szCs w:val="17"/>
          <w:color w:val="auto"/>
        </w:rPr>
      </w:pPr>
    </w:p>
    <w:p>
      <w:pPr>
        <w:ind w:left="1860" w:hanging="392"/>
        <w:spacing w:after="0"/>
        <w:tabs>
          <w:tab w:leader="none" w:pos="1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Such stockholder’s notice shall set forth:</w:t>
      </w:r>
    </w:p>
    <w:p>
      <w:pPr>
        <w:spacing w:after="0" w:line="225" w:lineRule="exact"/>
        <w:rPr>
          <w:rFonts w:ascii="Arial" w:cs="Arial" w:eastAsia="Arial" w:hAnsi="Arial"/>
          <w:sz w:val="18"/>
          <w:szCs w:val="18"/>
          <w:color w:val="auto"/>
        </w:rPr>
      </w:pPr>
    </w:p>
    <w:p>
      <w:pPr>
        <w:ind w:left="2260" w:hanging="343"/>
        <w:spacing w:after="0"/>
        <w:tabs>
          <w:tab w:leader="none" w:pos="22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as to each individual whom the stockholder proposes to nominate for election or reelection as a director (each, a “Proposed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Nominee”),</w:t>
      </w:r>
    </w:p>
    <w:p>
      <w:pPr>
        <w:sectPr>
          <w:pgSz w:w="11900" w:h="16838" w:orient="portrait"/>
          <w:cols w:equalWidth="0" w:num="1">
            <w:col w:w="11240"/>
          </w:cols>
          <w:pgMar w:left="320" w:top="274" w:right="339" w:bottom="1440" w:gutter="0" w:footer="0" w:header="0"/>
        </w:sectPr>
      </w:pPr>
    </w:p>
    <w:bookmarkStart w:id="11" w:name="page12"/>
    <w:bookmarkEnd w:id="11"/>
    <w:p>
      <w:pPr>
        <w:ind w:left="-1120" w:right="120" w:firstLine="2367"/>
        <w:spacing w:after="0" w:line="259" w:lineRule="auto"/>
        <w:tabs>
          <w:tab w:leader="none" w:pos="1668"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w:t>
      </w:r>
    </w:p>
    <w:p>
      <w:pPr>
        <w:spacing w:after="0" w:line="186" w:lineRule="exact"/>
        <w:rPr>
          <w:rFonts w:ascii="Arial" w:cs="Arial" w:eastAsia="Arial" w:hAnsi="Arial"/>
          <w:sz w:val="18"/>
          <w:szCs w:val="18"/>
          <w:color w:val="auto"/>
        </w:rPr>
      </w:pPr>
    </w:p>
    <w:p>
      <w:pPr>
        <w:ind w:left="-1120" w:right="20" w:firstLine="2367"/>
        <w:spacing w:after="0" w:line="259" w:lineRule="auto"/>
        <w:tabs>
          <w:tab w:leader="none" w:pos="16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whether such stockholder believes any such Proposed Nominee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w:t>
      </w:r>
    </w:p>
    <w:p>
      <w:pPr>
        <w:spacing w:after="0" w:line="186" w:lineRule="exact"/>
        <w:rPr>
          <w:rFonts w:ascii="Arial" w:cs="Arial" w:eastAsia="Arial" w:hAnsi="Arial"/>
          <w:sz w:val="18"/>
          <w:szCs w:val="18"/>
          <w:color w:val="auto"/>
        </w:rPr>
      </w:pPr>
    </w:p>
    <w:p>
      <w:pPr>
        <w:ind w:left="-1120" w:right="140" w:firstLine="1917"/>
        <w:spacing w:after="0" w:line="259" w:lineRule="auto"/>
        <w:tabs>
          <w:tab w:leader="none" w:pos="1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86" w:lineRule="exact"/>
        <w:rPr>
          <w:rFonts w:ascii="Arial" w:cs="Arial" w:eastAsia="Arial" w:hAnsi="Arial"/>
          <w:sz w:val="18"/>
          <w:szCs w:val="18"/>
          <w:color w:val="auto"/>
        </w:rPr>
      </w:pPr>
    </w:p>
    <w:p>
      <w:pPr>
        <w:ind w:left="1240" w:hanging="44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to the stockholder giving the notice, any Proposed Nominee and any Stockholder Associated Person,</w:t>
      </w:r>
    </w:p>
    <w:p>
      <w:pPr>
        <w:spacing w:after="0" w:line="225" w:lineRule="exact"/>
        <w:rPr>
          <w:rFonts w:ascii="Arial" w:cs="Arial" w:eastAsia="Arial" w:hAnsi="Arial"/>
          <w:sz w:val="18"/>
          <w:szCs w:val="18"/>
          <w:color w:val="auto"/>
        </w:rPr>
      </w:pPr>
    </w:p>
    <w:p>
      <w:pPr>
        <w:ind w:left="-1120" w:firstLine="2367"/>
        <w:spacing w:after="0" w:line="257" w:lineRule="auto"/>
        <w:tabs>
          <w:tab w:leader="none" w:pos="16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class, series and number of all shares of stock or other securities of the Corporation or any affiliate thereof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187" w:lineRule="exact"/>
        <w:rPr>
          <w:rFonts w:ascii="Arial" w:cs="Arial" w:eastAsia="Arial" w:hAnsi="Arial"/>
          <w:sz w:val="18"/>
          <w:szCs w:val="18"/>
          <w:color w:val="auto"/>
        </w:rPr>
      </w:pPr>
    </w:p>
    <w:p>
      <w:pPr>
        <w:ind w:left="-1120" w:right="520" w:firstLine="2367"/>
        <w:spacing w:after="0" w:line="277" w:lineRule="auto"/>
        <w:tabs>
          <w:tab w:leader="none" w:pos="16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nominee holder for, and number of, any Company Securities owned beneficially but not of record by such stockholder, Proposed Nominee or Stockholder Associated Person</w:t>
      </w:r>
      <w:r>
        <w:rPr>
          <w:rFonts w:ascii="Arial" w:cs="Arial" w:eastAsia="Arial" w:hAnsi="Arial"/>
          <w:sz w:val="18"/>
          <w:szCs w:val="18"/>
          <w:b w:val="1"/>
          <w:bCs w:val="1"/>
          <w:color w:val="auto"/>
        </w:rPr>
        <w:t>,</w:t>
      </w:r>
    </w:p>
    <w:p>
      <w:pPr>
        <w:spacing w:after="0" w:line="170" w:lineRule="exact"/>
        <w:rPr>
          <w:rFonts w:ascii="Arial" w:cs="Arial" w:eastAsia="Arial" w:hAnsi="Arial"/>
          <w:sz w:val="18"/>
          <w:szCs w:val="18"/>
          <w:color w:val="auto"/>
        </w:rPr>
      </w:pPr>
    </w:p>
    <w:p>
      <w:pPr>
        <w:ind w:left="-1120" w:right="40" w:firstLine="2367"/>
        <w:spacing w:after="0" w:line="254" w:lineRule="auto"/>
        <w:tabs>
          <w:tab w:leader="none" w:pos="16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Corporation or any affiliate thereof disproportionately to such person’s economic interest in the Company Securities</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ectPr>
          <w:pgSz w:w="11900" w:h="16838" w:orient="portrait"/>
          <w:cols w:equalWidth="0" w:num="1">
            <w:col w:w="10080"/>
          </w:cols>
          <w:pgMar w:left="1440" w:top="274" w:right="379" w:bottom="1440" w:gutter="0" w:footer="0" w:header="0"/>
        </w:sectPr>
      </w:pPr>
    </w:p>
    <w:bookmarkStart w:id="12" w:name="page13"/>
    <w:bookmarkEnd w:id="12"/>
    <w:p>
      <w:pPr>
        <w:ind w:left="-1120" w:right="80" w:firstLine="2367"/>
        <w:spacing w:after="0" w:line="257" w:lineRule="auto"/>
        <w:tabs>
          <w:tab w:leader="none" w:pos="1668" w:val="left"/>
        </w:tabs>
        <w:numPr>
          <w:ilvl w:val="2"/>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all other holders of the same class or series;</w:t>
      </w:r>
    </w:p>
    <w:p>
      <w:pPr>
        <w:spacing w:after="0" w:line="187" w:lineRule="exact"/>
        <w:rPr>
          <w:rFonts w:ascii="Arial" w:cs="Arial" w:eastAsia="Arial" w:hAnsi="Arial"/>
          <w:sz w:val="18"/>
          <w:szCs w:val="18"/>
          <w:color w:val="auto"/>
        </w:rPr>
      </w:pPr>
    </w:p>
    <w:p>
      <w:pPr>
        <w:ind w:left="-1120" w:right="380" w:firstLine="1917"/>
        <w:spacing w:after="0" w:line="277" w:lineRule="auto"/>
        <w:tabs>
          <w:tab w:leader="none" w:pos="12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to the stockholder giving the notice, any Stockholder Associated Person with an interest or ownership referred to in clauses (ii) or (iii) of this paragraph (3) of this Section 11(a) and any Proposed Nominee,</w:t>
      </w:r>
    </w:p>
    <w:p>
      <w:pPr>
        <w:spacing w:after="0" w:line="170" w:lineRule="exact"/>
        <w:rPr>
          <w:rFonts w:ascii="Arial" w:cs="Arial" w:eastAsia="Arial" w:hAnsi="Arial"/>
          <w:sz w:val="18"/>
          <w:szCs w:val="18"/>
          <w:color w:val="auto"/>
        </w:rPr>
      </w:pPr>
    </w:p>
    <w:p>
      <w:pPr>
        <w:ind w:left="-1120" w:right="280" w:firstLine="2367"/>
        <w:spacing w:after="0" w:line="277" w:lineRule="auto"/>
        <w:tabs>
          <w:tab w:leader="none" w:pos="16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stock ledger, and the current name and business address, if different, of each such Stockholder Associated Person and any Proposed Nominee and</w:t>
      </w:r>
    </w:p>
    <w:p>
      <w:pPr>
        <w:spacing w:after="0" w:line="170" w:lineRule="exact"/>
        <w:rPr>
          <w:rFonts w:ascii="Arial" w:cs="Arial" w:eastAsia="Arial" w:hAnsi="Arial"/>
          <w:sz w:val="18"/>
          <w:szCs w:val="18"/>
          <w:color w:val="auto"/>
        </w:rPr>
      </w:pPr>
    </w:p>
    <w:p>
      <w:pPr>
        <w:ind w:left="-1120" w:right="20" w:firstLine="2367"/>
        <w:spacing w:after="0" w:line="263" w:lineRule="auto"/>
        <w:tabs>
          <w:tab w:leader="none" w:pos="1658"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3" w:lineRule="exact"/>
        <w:rPr>
          <w:rFonts w:ascii="Arial" w:cs="Arial" w:eastAsia="Arial" w:hAnsi="Arial"/>
          <w:sz w:val="18"/>
          <w:szCs w:val="18"/>
          <w:color w:val="auto"/>
        </w:rPr>
      </w:pPr>
    </w:p>
    <w:p>
      <w:pPr>
        <w:ind w:left="-1120" w:right="880" w:firstLine="1917"/>
        <w:spacing w:after="0" w:line="342" w:lineRule="auto"/>
        <w:tabs>
          <w:tab w:leader="none" w:pos="1179"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name and address of any person who contacted or was contacted by the stockholder giving the notice or any Stockholder Associated Person about the Proposed Nominee or other business proposal prior to the date of such stockholder’s notice; and</w:t>
      </w:r>
    </w:p>
    <w:p>
      <w:pPr>
        <w:spacing w:after="0" w:line="123" w:lineRule="exact"/>
        <w:rPr>
          <w:rFonts w:ascii="Arial" w:cs="Arial" w:eastAsia="Arial" w:hAnsi="Arial"/>
          <w:sz w:val="16"/>
          <w:szCs w:val="16"/>
          <w:color w:val="auto"/>
        </w:rPr>
      </w:pPr>
    </w:p>
    <w:p>
      <w:pPr>
        <w:ind w:left="-1120" w:right="300" w:firstLine="1917"/>
        <w:spacing w:after="0" w:line="277" w:lineRule="auto"/>
        <w:tabs>
          <w:tab w:leader="none" w:pos="12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70" w:lineRule="exact"/>
        <w:rPr>
          <w:rFonts w:ascii="Arial" w:cs="Arial" w:eastAsia="Arial" w:hAnsi="Arial"/>
          <w:sz w:val="18"/>
          <w:szCs w:val="18"/>
          <w:color w:val="auto"/>
        </w:rPr>
      </w:pPr>
    </w:p>
    <w:p>
      <w:pPr>
        <w:ind w:left="-1120" w:firstLine="1468"/>
        <w:spacing w:after="0" w:line="289" w:lineRule="auto"/>
        <w:tabs>
          <w:tab w:leader="none" w:pos="73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stockholder’s notice shall, with respect to any Proposed Nominee, be accompanied by a certificate executed by the Proposed Nominee (i) 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sectPr>
          <w:pgSz w:w="11900" w:h="16838" w:orient="portrait"/>
          <w:cols w:equalWidth="0" w:num="1">
            <w:col w:w="10100"/>
          </w:cols>
          <w:pgMar w:left="1440" w:top="274" w:right="359" w:bottom="1440" w:gutter="0" w:footer="0" w:header="0"/>
        </w:sectPr>
      </w:pPr>
    </w:p>
    <w:bookmarkStart w:id="13" w:name="page14"/>
    <w:bookmarkEnd w:id="13"/>
    <w:p>
      <w:pPr>
        <w:ind w:left="-906" w:right="100" w:firstLine="1468"/>
        <w:spacing w:after="0" w:line="255" w:lineRule="auto"/>
        <w:tabs>
          <w:tab w:leader="none" w:pos="943"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92" w:lineRule="exact"/>
        <w:rPr>
          <w:rFonts w:ascii="Arial" w:cs="Arial" w:eastAsia="Arial" w:hAnsi="Arial"/>
          <w:sz w:val="18"/>
          <w:szCs w:val="18"/>
          <w:color w:val="auto"/>
        </w:rPr>
      </w:pPr>
    </w:p>
    <w:p>
      <w:pPr>
        <w:ind w:left="-906" w:right="100" w:firstLine="1468"/>
        <w:spacing w:after="0" w:line="259" w:lineRule="auto"/>
        <w:tabs>
          <w:tab w:leader="none" w:pos="943"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purposes of this Section 11,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186" w:lineRule="exact"/>
        <w:rPr>
          <w:rFonts w:ascii="Arial" w:cs="Arial" w:eastAsia="Arial" w:hAnsi="Arial"/>
          <w:sz w:val="18"/>
          <w:szCs w:val="18"/>
          <w:color w:val="auto"/>
        </w:rPr>
      </w:pPr>
    </w:p>
    <w:p>
      <w:pPr>
        <w:ind w:left="-906" w:firstLine="906"/>
        <w:spacing w:after="0" w:line="286" w:lineRule="auto"/>
        <w:tabs>
          <w:tab w:leader="none" w:pos="38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both at the time of giving of notice provided for in this Section 11 and at the time of the special meeting,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paragraphs (a)(3) and (4) of this Section 11, is delivered to the secretary at the principal executive office of the Corporation not earlier than the 120th day prior to such special meeting and not later than 5:00 p.m., 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the later of the 90th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73" w:lineRule="exact"/>
        <w:rPr>
          <w:rFonts w:ascii="Arial" w:cs="Arial" w:eastAsia="Arial" w:hAnsi="Arial"/>
          <w:sz w:val="16"/>
          <w:szCs w:val="16"/>
          <w:color w:val="auto"/>
        </w:rPr>
      </w:pPr>
    </w:p>
    <w:p>
      <w:pPr>
        <w:ind w:left="-906" w:right="60" w:firstLine="906"/>
        <w:spacing w:after="0" w:line="257" w:lineRule="auto"/>
        <w:tabs>
          <w:tab w:leader="none" w:pos="37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Any such stockholder shall notify the Corporation of any inaccuracy or change (within two Business Days of becoming aware of such inaccuracy or change) in any such information. Upon written request by the secretary or the Board of Directors, any such stockholder shall provide, within five Business</w:t>
      </w:r>
    </w:p>
    <w:p>
      <w:pPr>
        <w:sectPr>
          <w:pgSz w:w="11900" w:h="16838" w:orient="portrait"/>
          <w:cols w:equalWidth="0" w:num="1">
            <w:col w:w="10334"/>
          </w:cols>
          <w:pgMar w:left="1226" w:top="274" w:right="339" w:bottom="1440" w:gutter="0" w:footer="0" w:header="0"/>
        </w:sectPr>
      </w:pPr>
    </w:p>
    <w:bookmarkStart w:id="14" w:name="page15"/>
    <w:bookmarkEnd w:id="14"/>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(including, if requested by the Corporation, written confirmation by such stockholder that it continues to intend to bring such nomination or other business proposal before the meeting)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164" w:lineRule="exact"/>
        <w:rPr>
          <w:sz w:val="20"/>
          <w:szCs w:val="20"/>
          <w:color w:val="auto"/>
        </w:rPr>
      </w:pPr>
    </w:p>
    <w:p>
      <w:pPr>
        <w:ind w:right="100" w:firstLine="1468"/>
        <w:spacing w:after="0" w:line="259" w:lineRule="auto"/>
        <w:tabs>
          <w:tab w:leader="none" w:pos="18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86" w:lineRule="exact"/>
        <w:rPr>
          <w:rFonts w:ascii="Arial" w:cs="Arial" w:eastAsia="Arial" w:hAnsi="Arial"/>
          <w:sz w:val="18"/>
          <w:szCs w:val="18"/>
          <w:color w:val="auto"/>
        </w:rPr>
      </w:pPr>
    </w:p>
    <w:p>
      <w:pPr>
        <w:ind w:right="60" w:firstLine="1468"/>
        <w:spacing w:after="0" w:line="257" w:lineRule="auto"/>
        <w:tabs>
          <w:tab w:leader="none" w:pos="18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this Section 11, “the date of the proxy statement” shall have the same meaning as “the date of the company’s proxy statement released to shareholders” as used in Rule 14a-8(e) promulgated under the Exchange Act, as interpreted by the Securities and Exchange Commission (the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Commission pursuant to the Exchange Act.</w:t>
      </w:r>
    </w:p>
    <w:p>
      <w:pPr>
        <w:spacing w:after="0" w:line="187" w:lineRule="exact"/>
        <w:rPr>
          <w:rFonts w:ascii="Arial" w:cs="Arial" w:eastAsia="Arial" w:hAnsi="Arial"/>
          <w:sz w:val="18"/>
          <w:szCs w:val="18"/>
          <w:color w:val="auto"/>
        </w:rPr>
      </w:pPr>
    </w:p>
    <w:p>
      <w:pPr>
        <w:ind w:firstLine="1468"/>
        <w:spacing w:after="0" w:line="254" w:lineRule="auto"/>
        <w:tabs>
          <w:tab w:leader="none" w:pos="18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 or the Investment Company Act.</w:t>
      </w:r>
    </w:p>
    <w:p>
      <w:pPr>
        <w:spacing w:after="0" w:line="195"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70" w:lineRule="exact"/>
        <w:rPr>
          <w:sz w:val="20"/>
          <w:szCs w:val="20"/>
          <w:color w:val="auto"/>
        </w:rPr>
      </w:pPr>
    </w:p>
    <w:p>
      <w:pPr>
        <w:ind w:right="280" w:firstLine="89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CONTROL SHARE ACQUISITION ACT</w:t>
      </w:r>
      <w:r>
        <w:rPr>
          <w:rFonts w:ascii="Arial" w:cs="Arial" w:eastAsia="Arial" w:hAnsi="Arial"/>
          <w:sz w:val="18"/>
          <w:szCs w:val="18"/>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Notwithstanding the forgoing, the Company must consult with the SEC prior to applying the MGCL provisions referenced in</w:t>
      </w:r>
    </w:p>
    <w:p>
      <w:pPr>
        <w:sectPr>
          <w:pgSz w:w="11900" w:h="16838" w:orient="portrait"/>
          <w:cols w:equalWidth="0" w:num="1">
            <w:col w:w="11180"/>
          </w:cols>
          <w:pgMar w:left="320" w:top="274" w:right="399" w:bottom="1440" w:gutter="0" w:footer="0" w:header="0"/>
        </w:sectPr>
      </w:pPr>
    </w:p>
    <w:bookmarkStart w:id="15" w:name="page16"/>
    <w:bookmarkEnd w:id="1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225" w:lineRule="exact"/>
        <w:rPr>
          <w:sz w:val="20"/>
          <w:szCs w:val="20"/>
          <w:color w:val="auto"/>
        </w:rPr>
      </w:pPr>
    </w:p>
    <w:p>
      <w:pPr>
        <w:ind w:right="60" w:firstLine="89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TENURE AND RESIGNATION</w:t>
      </w:r>
      <w:r>
        <w:rPr>
          <w:rFonts w:ascii="Arial" w:cs="Arial" w:eastAsia="Arial" w:hAnsi="Arial"/>
          <w:sz w:val="17"/>
          <w:szCs w:val="17"/>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78"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8" w:lineRule="exact"/>
        <w:rPr>
          <w:sz w:val="20"/>
          <w:szCs w:val="20"/>
          <w:color w:val="auto"/>
        </w:rPr>
      </w:pPr>
    </w:p>
    <w:p>
      <w:pPr>
        <w:ind w:right="60" w:firstLine="898"/>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71"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w:t>
      </w:r>
    </w:p>
    <w:p>
      <w:pPr>
        <w:sectPr>
          <w:pgSz w:w="11900" w:h="16838" w:orient="portrait"/>
          <w:cols w:equalWidth="0" w:num="1">
            <w:col w:w="11220"/>
          </w:cols>
          <w:pgMar w:left="320" w:top="274" w:right="35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76" w:lineRule="exact"/>
        <w:rPr>
          <w:sz w:val="20"/>
          <w:szCs w:val="20"/>
          <w:color w:val="auto"/>
        </w:rPr>
      </w:pPr>
    </w:p>
    <w:p>
      <w:pPr>
        <w:ind w:right="40" w:firstLine="898"/>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71" w:lineRule="exact"/>
        <w:rPr>
          <w:sz w:val="20"/>
          <w:szCs w:val="20"/>
          <w:color w:val="auto"/>
        </w:rPr>
      </w:pPr>
    </w:p>
    <w:p>
      <w:pPr>
        <w:ind w:right="1000" w:firstLine="898"/>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70"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188" w:lineRule="exact"/>
        <w:rPr>
          <w:sz w:val="20"/>
          <w:szCs w:val="20"/>
          <w:color w:val="auto"/>
        </w:rPr>
      </w:pPr>
    </w:p>
    <w:p>
      <w:pPr>
        <w:ind w:right="60" w:firstLine="898"/>
        <w:spacing w:after="0" w:line="275"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ORGANIZATION</w:t>
      </w:r>
      <w:r>
        <w:rPr>
          <w:rFonts w:ascii="Arial" w:cs="Arial" w:eastAsia="Arial" w:hAnsi="Arial"/>
          <w:sz w:val="17"/>
          <w:szCs w:val="17"/>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76"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ectPr>
          <w:pgSz w:w="11900" w:h="16838" w:orient="portrait"/>
          <w:cols w:equalWidth="0" w:num="1">
            <w:col w:w="11220"/>
          </w:cols>
          <w:pgMar w:left="320" w:top="274" w:right="359" w:bottom="1440" w:gutter="0" w:footer="0" w:header="0"/>
        </w:sectPr>
      </w:pPr>
    </w:p>
    <w:bookmarkStart w:id="17" w:name="page18"/>
    <w:bookmarkEnd w:id="17"/>
    <w:p>
      <w:pPr>
        <w:ind w:right="4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87" w:lineRule="exact"/>
        <w:rPr>
          <w:sz w:val="20"/>
          <w:szCs w:val="20"/>
          <w:color w:val="auto"/>
        </w:rPr>
      </w:pPr>
    </w:p>
    <w:p>
      <w:pPr>
        <w:ind w:right="100" w:firstLine="898"/>
        <w:spacing w:after="0" w:line="29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VACANCIES</w:t>
      </w:r>
      <w:r>
        <w:rPr>
          <w:rFonts w:ascii="Arial" w:cs="Arial" w:eastAsia="Arial" w:hAnsi="Arial"/>
          <w:sz w:val="16"/>
          <w:szCs w:val="16"/>
          <w:color w:val="auto"/>
        </w:rPr>
        <w:t>. If for any reason any or all the directors cease to be directors, such event shall not terminate the Corporation or affect these Bylaws or the powers of the remaining directors hereunder. Subject to applicable requirements of the Investment Company Act, and except as may be provided by the Board of Directors in setting the terms of any class or series of preferred stock, any vacancy on the Board of Directors may be filled only by a majority of the remaining directors, even if the remaining directors do not constitute a quorum. Any director elected to fill a vacancy shall serve for the remainder of the full term of the class in which the vacancy occurred and until a successor is elected and qualifies.</w:t>
      </w:r>
    </w:p>
    <w:p>
      <w:pPr>
        <w:spacing w:after="0" w:line="161"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therefore.</w:t>
      </w:r>
    </w:p>
    <w:p>
      <w:pPr>
        <w:spacing w:after="0" w:line="178" w:lineRule="exact"/>
        <w:rPr>
          <w:sz w:val="20"/>
          <w:szCs w:val="20"/>
          <w:color w:val="auto"/>
        </w:rPr>
      </w:pPr>
    </w:p>
    <w:p>
      <w:pPr>
        <w:ind w:right="600" w:firstLine="89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70" w:lineRule="exact"/>
        <w:rPr>
          <w:sz w:val="20"/>
          <w:szCs w:val="20"/>
          <w:color w:val="auto"/>
        </w:rPr>
      </w:pPr>
    </w:p>
    <w:p>
      <w:pPr>
        <w:ind w:right="340" w:firstLine="898"/>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70"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88" w:lineRule="exact"/>
        <w:rPr>
          <w:sz w:val="20"/>
          <w:szCs w:val="20"/>
          <w:color w:val="auto"/>
        </w:rPr>
      </w:pPr>
    </w:p>
    <w:p>
      <w:pPr>
        <w:ind w:right="400" w:firstLine="898"/>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RATIFICATION</w:t>
      </w:r>
      <w:r>
        <w:rPr>
          <w:rFonts w:ascii="Arial" w:cs="Arial" w:eastAsia="Arial" w:hAnsi="Arial"/>
          <w:sz w:val="18"/>
          <w:szCs w:val="18"/>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w:t>
      </w:r>
    </w:p>
    <w:p>
      <w:pPr>
        <w:sectPr>
          <w:pgSz w:w="11900" w:h="16838" w:orient="portrait"/>
          <w:cols w:equalWidth="0" w:num="1">
            <w:col w:w="11200"/>
          </w:cols>
          <w:pgMar w:left="320" w:top="274" w:right="37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 and shall constitute a bar to any claim or execution of any judgment in respect of such questioned action or inaction.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right="80" w:firstLine="89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84"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70"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95"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ind w:right="260" w:firstLine="89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84"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provisions hereof, the Board of Directors shall have the power at any time to change the membership of any committee, to fill all vacancies, to</w:t>
      </w:r>
    </w:p>
    <w:p>
      <w:pPr>
        <w:sectPr>
          <w:pgSz w:w="11900" w:h="16838" w:orient="portrait"/>
          <w:cols w:equalWidth="0" w:num="1">
            <w:col w:w="11240"/>
          </w:cols>
          <w:pgMar w:left="320" w:top="274" w:right="339" w:bottom="1440" w:gutter="0" w:footer="0" w:header="0"/>
        </w:sectPr>
      </w:pPr>
    </w:p>
    <w:bookmarkStart w:id="19" w:name="page20"/>
    <w:bookmarkEnd w:id="19"/>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898"/>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66" w:lineRule="exact"/>
        <w:rPr>
          <w:sz w:val="20"/>
          <w:szCs w:val="20"/>
          <w:color w:val="auto"/>
        </w:rPr>
      </w:pPr>
    </w:p>
    <w:p>
      <w:pPr>
        <w:ind w:right="20" w:firstLine="89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78"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A vacancy in any office may be filled by the Board of Directors for the balance of the term.</w:t>
      </w:r>
    </w:p>
    <w:p>
      <w:pPr>
        <w:spacing w:after="0" w:line="225"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ectPr>
          <w:pgSz w:w="11900" w:h="16838" w:orient="portrait"/>
          <w:cols w:equalWidth="0" w:num="1">
            <w:col w:w="11200"/>
          </w:cols>
          <w:pgMar w:left="320" w:top="274" w:right="379" w:bottom="1440" w:gutter="0" w:footer="0" w:header="0"/>
        </w:sectPr>
      </w:pPr>
    </w:p>
    <w:bookmarkStart w:id="20" w:name="page21"/>
    <w:bookmarkEnd w:id="20"/>
    <w:p>
      <w:pPr>
        <w:ind w:right="8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70"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70"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8" w:lineRule="exact"/>
        <w:rPr>
          <w:sz w:val="20"/>
          <w:szCs w:val="20"/>
          <w:color w:val="auto"/>
        </w:rPr>
      </w:pPr>
    </w:p>
    <w:p>
      <w:pPr>
        <w:ind w:right="60" w:firstLine="898"/>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92" w:lineRule="exact"/>
        <w:rPr>
          <w:sz w:val="20"/>
          <w:szCs w:val="20"/>
          <w:color w:val="auto"/>
        </w:rPr>
      </w:pPr>
    </w:p>
    <w:p>
      <w:pPr>
        <w:ind w:right="40" w:firstLine="89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92"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ectPr>
          <w:pgSz w:w="11900" w:h="16838" w:orient="portrait"/>
          <w:cols w:equalWidth="0" w:num="1">
            <w:col w:w="11240"/>
          </w:cols>
          <w:pgMar w:left="320" w:top="274" w:right="339" w:bottom="1440" w:gutter="0" w:footer="0" w:header="0"/>
        </w:sectPr>
      </w:pPr>
    </w:p>
    <w:bookmarkStart w:id="21" w:name="page22"/>
    <w:bookmarkEnd w:id="21"/>
    <w:p>
      <w:pPr>
        <w:ind w:right="4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84"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87"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229"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88" w:lineRule="exact"/>
        <w:rPr>
          <w:sz w:val="20"/>
          <w:szCs w:val="20"/>
          <w:color w:val="auto"/>
        </w:rPr>
      </w:pPr>
    </w:p>
    <w:p>
      <w:pPr>
        <w:jc w:val="both"/>
        <w:ind w:right="160" w:firstLine="89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84" w:lineRule="exact"/>
        <w:rPr>
          <w:sz w:val="20"/>
          <w:szCs w:val="20"/>
          <w:color w:val="auto"/>
        </w:rPr>
      </w:pPr>
    </w:p>
    <w:p>
      <w:pPr>
        <w:ind w:right="660" w:firstLine="89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ectPr>
          <w:pgSz w:w="11900" w:h="16838" w:orient="portrait"/>
          <w:cols w:equalWidth="0" w:num="1">
            <w:col w:w="11220"/>
          </w:cols>
          <w:pgMar w:left="320" w:top="274"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right="40" w:firstLine="898"/>
        <w:spacing w:after="0" w:line="29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REQUIRED INFORMATION</w:t>
      </w:r>
      <w:r>
        <w:rPr>
          <w:rFonts w:ascii="Arial" w:cs="Arial" w:eastAsia="Arial" w:hAnsi="Arial"/>
          <w:sz w:val="16"/>
          <w:szCs w:val="16"/>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61"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 WHEN CERTIFICATES ISSUED</w:t>
      </w:r>
      <w:r>
        <w:rPr>
          <w:rFonts w:ascii="Arial" w:cs="Arial" w:eastAsia="Arial" w:hAnsi="Arial"/>
          <w:sz w:val="17"/>
          <w:szCs w:val="17"/>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 The issuance of a new certificate upon the transfer of certificated shares is subject to the determination of the Board of Directors that such shares shall no longer be represented by certificates.</w:t>
      </w:r>
    </w:p>
    <w:p>
      <w:pPr>
        <w:spacing w:after="0" w:line="176" w:lineRule="exact"/>
        <w:rPr>
          <w:sz w:val="20"/>
          <w:szCs w:val="20"/>
          <w:color w:val="auto"/>
        </w:rPr>
      </w:pPr>
    </w:p>
    <w:p>
      <w:pPr>
        <w:jc w:val="both"/>
        <w:ind w:right="140" w:firstLine="898"/>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84"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7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provided, however, if such shares have ceased to be certificated, no new certificate shall be issued unless requested in writing by such stockholder and the Board of Directors has determined that such certificates may be issued.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96" w:lineRule="exact"/>
        <w:rPr>
          <w:sz w:val="20"/>
          <w:szCs w:val="20"/>
          <w:color w:val="auto"/>
        </w:rPr>
      </w:pPr>
    </w:p>
    <w:p>
      <w:pPr>
        <w:ind w:right="760" w:firstLine="89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 The Board of Directors may set, in advance, a record date for the purpose of determining stockholders entitled to notice of or to vote at any</w:t>
      </w:r>
    </w:p>
    <w:p>
      <w:pPr>
        <w:sectPr>
          <w:pgSz w:w="11900" w:h="16838" w:orient="portrait"/>
          <w:cols w:equalWidth="0" w:num="1">
            <w:col w:w="11220"/>
          </w:cols>
          <w:pgMar w:left="320" w:top="270" w:right="359" w:bottom="1440" w:gutter="0" w:footer="0" w:header="0"/>
        </w:sectPr>
      </w:pPr>
    </w:p>
    <w:bookmarkStart w:id="23" w:name="page24"/>
    <w:bookmarkEnd w:id="23"/>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71"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When a record date for the determination of stockholders entitled to notice of and to vote at any meeting of stockholders has been set as provided in this section, such record date shall continue to apply to the meeting if adjourned or postponed, except if the meeting is adjourned or postponed to a date more than 120 days after the record date originally fixed for the meeting, in which case a new record date for such meeting may be determined as set forth herein.</w:t>
      </w:r>
    </w:p>
    <w:p>
      <w:pPr>
        <w:spacing w:after="0" w:line="187" w:lineRule="exact"/>
        <w:rPr>
          <w:sz w:val="20"/>
          <w:szCs w:val="20"/>
          <w:color w:val="auto"/>
        </w:rPr>
      </w:pPr>
    </w:p>
    <w:p>
      <w:pPr>
        <w:ind w:right="360" w:firstLine="89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LEDGER</w:t>
      </w:r>
      <w:r>
        <w:rPr>
          <w:rFonts w:ascii="Arial" w:cs="Arial" w:eastAsia="Arial" w:hAnsi="Arial"/>
          <w:sz w:val="18"/>
          <w:szCs w:val="18"/>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84"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Board of Directors shall have the power, from time to time, to fix the fiscal year of the Corporation by a duly adopted resolution.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20" w:firstLine="89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84" w:lineRule="exact"/>
        <w:rPr>
          <w:sz w:val="20"/>
          <w:szCs w:val="20"/>
          <w:color w:val="auto"/>
        </w:rPr>
      </w:pPr>
    </w:p>
    <w:p>
      <w:pPr>
        <w:ind w:right="560" w:firstLine="898"/>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CONTINGENCIES</w:t>
      </w:r>
      <w:r>
        <w:rPr>
          <w:rFonts w:ascii="Arial" w:cs="Arial" w:eastAsia="Arial" w:hAnsi="Arial"/>
          <w:sz w:val="17"/>
          <w:szCs w:val="17"/>
          <w:color w:val="auto"/>
        </w:rPr>
        <w:t>. Before payment of any dividends or other distributions, there may be set aside out of any assets of the Corporation available for dividends or other distributions such sum or sums as the Board of Directors may from time to time, in its absolute</w:t>
      </w:r>
    </w:p>
    <w:p>
      <w:pPr>
        <w:sectPr>
          <w:pgSz w:w="11900" w:h="16838" w:orient="portrait"/>
          <w:cols w:equalWidth="0" w:num="1">
            <w:col w:w="11220"/>
          </w:cols>
          <w:pgMar w:left="320" w:top="274" w:right="359" w:bottom="1440" w:gutter="0" w:footer="0" w:header="0"/>
        </w:sectPr>
      </w:pPr>
    </w:p>
    <w:bookmarkStart w:id="24" w:name="page25"/>
    <w:bookmarkEnd w:id="24"/>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4"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229"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rights to indemnification and advance of expenses provided by the Charter and these Bylaws shall vest immediately upon election of a director or officer.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68" w:lineRule="exact"/>
        <w:rPr>
          <w:sz w:val="20"/>
          <w:szCs w:val="20"/>
          <w:color w:val="auto"/>
        </w:rPr>
      </w:pPr>
    </w:p>
    <w:p>
      <w:pPr>
        <w:ind w:right="360" w:firstLine="898"/>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ectPr>
          <w:pgSz w:w="11900" w:h="16838" w:orient="portrait"/>
          <w:cols w:equalWidth="0" w:num="1">
            <w:col w:w="11160"/>
          </w:cols>
          <w:pgMar w:left="320" w:top="274" w:right="41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 OF NOTICE</w:t>
      </w:r>
    </w:p>
    <w:p>
      <w:pPr>
        <w:spacing w:after="0" w:line="229"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INSPECTION OF RECORDS</w:t>
      </w:r>
    </w:p>
    <w:p>
      <w:pPr>
        <w:spacing w:after="0" w:line="229" w:lineRule="exact"/>
        <w:rPr>
          <w:sz w:val="20"/>
          <w:szCs w:val="20"/>
          <w:color w:val="auto"/>
        </w:rPr>
      </w:pPr>
    </w:p>
    <w:p>
      <w:pPr>
        <w:ind w:right="320" w:firstLine="898"/>
        <w:spacing w:after="0" w:line="263"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COMPANY ACT</w:t>
      </w:r>
    </w:p>
    <w:p>
      <w:pPr>
        <w:spacing w:after="0" w:line="229"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EXCLUSIVE FORUM FOR CERTAIN LITIGATION</w:t>
      </w:r>
    </w:p>
    <w:p>
      <w:pPr>
        <w:spacing w:after="0" w:line="229"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Circuit Court for Baltimore City, Maryland, or, if that Court does not have jurisdiction, the United States District Court for the District of Maryland, Baltimore Division, shall be the sole and exclusive forum for</w:t>
      </w:r>
    </w:p>
    <w:p>
      <w:pPr>
        <w:ind w:right="40" w:firstLine="8"/>
        <w:spacing w:after="0" w:line="281"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the Corporation, (b) any action asserting a claim of breach of any duty owed by any director or officer or other agent of the Corporation to the Corporation or to the stockholders of the Corporation, (c) any action asserting a claim against the Corporation or any director or officer or other agent of the Corporation arising pursuant to any provision of the MGCL or the Charter or these Bylaws, or</w:t>
      </w:r>
    </w:p>
    <w:p>
      <w:pPr>
        <w:spacing w:after="0" w:line="1" w:lineRule="exact"/>
        <w:rPr>
          <w:rFonts w:ascii="Arial" w:cs="Arial" w:eastAsia="Arial" w:hAnsi="Arial"/>
          <w:sz w:val="16"/>
          <w:szCs w:val="16"/>
          <w:color w:val="auto"/>
        </w:rPr>
      </w:pPr>
    </w:p>
    <w:p>
      <w:pPr>
        <w:ind w:right="200" w:firstLine="8"/>
        <w:spacing w:after="0" w:line="260"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action asserting a claim against the Corporation or any director or officer or other agent of the Corporation that is governed by the internal affairs doctrine.</w:t>
      </w:r>
    </w:p>
    <w:p>
      <w:pPr>
        <w:sectPr>
          <w:pgSz w:w="11900" w:h="16838" w:orient="portrait"/>
          <w:cols w:equalWidth="0" w:num="1">
            <w:col w:w="11220"/>
          </w:cols>
          <w:pgMar w:left="320" w:top="270" w:right="359" w:bottom="1440" w:gutter="0" w:footer="0" w:header="0"/>
        </w:sectPr>
      </w:pPr>
    </w:p>
    <w:bookmarkStart w:id="26" w:name="page27"/>
    <w:bookmarkEnd w:id="26"/>
    <w:p>
      <w:pPr>
        <w:jc w:val="center"/>
        <w:ind w:righ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XVI</w:t>
      </w:r>
    </w:p>
    <w:p>
      <w:pPr>
        <w:spacing w:after="0" w:line="225"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AMENDMENT OF BYLAWS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shall have the exclusive power to adopt, alter or repeal any provision of these Bylaws and to make new Bylaws.</w:t>
      </w:r>
    </w:p>
    <w:p>
      <w:pPr>
        <w:sectPr>
          <w:pgSz w:w="11900" w:h="16838" w:orient="portrait"/>
          <w:cols w:equalWidth="0" w:num="1">
            <w:col w:w="9780"/>
          </w:cols>
          <w:pgMar w:left="1220" w:top="270" w:right="8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37385" cy="471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73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Announces Quarterly Distribution of $0.28 per Share</w:t>
      </w:r>
    </w:p>
    <w:p>
      <w:pPr>
        <w:spacing w:after="0" w:line="22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NEW YORK, NY — (Marketwired — December 2, 2015) — PennantPark Investment Corporation (the “Company”) (NASDAQ: PNNT) declares first fiscal quarter 2016 distribution of $0.28 per share, payable on January 4, 2016 to stockholders of record as of December 24, 2015.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INVESTMENT CORPORATION</w:t>
      </w:r>
    </w:p>
    <w:p>
      <w:pPr>
        <w:spacing w:after="0" w:line="11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right="9560" w:firstLine="8"/>
        <w:spacing w:after="0" w:line="323" w:lineRule="auto"/>
        <w:tabs>
          <w:tab w:leader="none" w:pos="4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905-1000 www.pennantpark.com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7"/>
    </w:lvl>
  </w:abstractNum>
  <w:abstractNum w:abstractNumId="6">
    <w:nsid w:val="109CF92E"/>
    <w:multiLevelType w:val="hybridMultilevel"/>
    <w:lvl w:ilvl="0">
      <w:lvlJc w:val="left"/>
      <w:lvlText w:val="(%1)"/>
      <w:numFmt w:val="lowerLetter"/>
      <w:start w:val="3"/>
    </w:lvl>
  </w:abstractNum>
  <w:abstractNum w:abstractNumId="7">
    <w:nsid w:val="DED7263"/>
    <w:multiLevelType w:val="hybridMultilevel"/>
    <w:lvl w:ilvl="0">
      <w:lvlJc w:val="left"/>
      <w:lvlText w:val="(%1)"/>
      <w:numFmt w:val="lowerLetter"/>
      <w:start w:val="5"/>
    </w:lvl>
  </w:abstractNum>
  <w:abstractNum w:abstractNumId="8">
    <w:nsid w:val="7FDCC23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9"/>
    </w:lvl>
  </w:abstractNum>
  <w:abstractNum w:abstractNumId="9">
    <w:nsid w:val="1BEFD79F"/>
    <w:multiLevelType w:val="hybridMultilevel"/>
    <w:lvl w:ilvl="0">
      <w:lvlJc w:val="left"/>
      <w:lvlText w:val="%1"/>
      <w:numFmt w:val="lowerRoman"/>
      <w:start w:val="1"/>
    </w:lvl>
    <w:lvl w:ilvl="1">
      <w:lvlJc w:val="left"/>
      <w:lvlText w:val="(%2)"/>
      <w:numFmt w:val="upperLetter"/>
      <w:start w:val="1"/>
    </w:lvl>
  </w:abstractNum>
  <w:abstractNum w:abstractNumId="10">
    <w:nsid w:val="41A7C4C9"/>
    <w:multiLevelType w:val="hybridMultilevel"/>
    <w:lvl w:ilvl="0">
      <w:lvlJc w:val="left"/>
      <w:lvlText w:val="(%1)"/>
      <w:numFmt w:val="lowerRoman"/>
      <w:start w:val="2"/>
    </w:lvl>
    <w:lvl w:ilvl="1">
      <w:lvlJc w:val="left"/>
      <w:lvlText w:val="(%2)"/>
      <w:numFmt w:val="upperLetter"/>
      <w:start w:val="1"/>
    </w:lvl>
  </w:abstractNum>
  <w:abstractNum w:abstractNumId="11">
    <w:nsid w:val="6B68079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12">
    <w:nsid w:val="4E6AFB66"/>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13">
    <w:nsid w:val="25E45D32"/>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4">
    <w:nsid w:val="519B500D"/>
    <w:multiLevelType w:val="hybridMultilevel"/>
    <w:lvl w:ilvl="0">
      <w:lvlJc w:val="left"/>
      <w:lvlText w:val="%1"/>
      <w:numFmt w:val="lowerLetter"/>
      <w:start w:val="1"/>
    </w:lvl>
    <w:lvl w:ilvl="1">
      <w:lvlJc w:val="left"/>
      <w:lvlText w:val="(%2)"/>
      <w:numFmt w:val="decimal"/>
      <w:start w:val="5"/>
    </w:lvl>
  </w:abstractNum>
  <w:abstractNum w:abstractNumId="15">
    <w:nsid w:val="431BD7B7"/>
    <w:multiLevelType w:val="hybridMultilevel"/>
    <w:lvl w:ilvl="0">
      <w:lvlJc w:val="left"/>
      <w:lvlText w:val="(%1)"/>
      <w:numFmt w:val="lowerLetter"/>
      <w:start w:val="2"/>
    </w:lvl>
    <w:lvl w:ilvl="1">
      <w:lvlJc w:val="left"/>
      <w:lvlText w:val="%2"/>
      <w:numFmt w:val="decimal"/>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4"/>
    </w:lvl>
  </w:abstractNum>
  <w:abstractNum w:abstractNumId="19">
    <w:nsid w:val="62BBD95A"/>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2020-05-05T15:12:25Z</dcterms:created>
  <dcterms:modified xsi:type="dcterms:W3CDTF">2020-05-05T15:12:25Z</dcterms:modified>
</cp:coreProperties>
</file>