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Date of Report: January 12, 2015</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jc w:val="both"/>
        <w:ind w:left="40" w:right="100"/>
        <w:spacing w:after="0"/>
        <w:rPr>
          <w:sz w:val="20"/>
          <w:szCs w:val="20"/>
          <w:color w:val="auto"/>
        </w:rPr>
      </w:pPr>
      <w:r>
        <w:rPr>
          <w:rFonts w:ascii="Arial" w:cs="Arial" w:eastAsia="Arial" w:hAnsi="Arial"/>
          <w:sz w:val="22"/>
          <w:szCs w:val="22"/>
          <w:color w:val="auto"/>
        </w:rPr>
        <w:t>On January 12, 2015, PennantPark Investment Corporation issued a press release announcing its scheduled earnings release for the first fiscal quarter ended December 31, 2014. A copy of the press release is furnished as Exhibit 99.1 to this report, pursuant to Item 7.01 and Regulation FD.</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ind w:left="40" w:right="60"/>
        <w:spacing w:after="0" w:line="236" w:lineRule="auto"/>
        <w:rPr>
          <w:sz w:val="20"/>
          <w:szCs w:val="20"/>
          <w:color w:val="auto"/>
        </w:rPr>
      </w:pPr>
      <w:r>
        <w:rPr>
          <w:rFonts w:ascii="Arial" w:cs="Arial" w:eastAsia="Arial" w:hAnsi="Arial"/>
          <w:sz w:val="22"/>
          <w:szCs w:val="22"/>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214" w:lineRule="exact"/>
        <w:rPr>
          <w:sz w:val="24"/>
          <w:szCs w:val="24"/>
          <w:color w:val="auto"/>
        </w:rPr>
      </w:pPr>
    </w:p>
    <w:p>
      <w:pPr>
        <w:ind w:left="40"/>
        <w:spacing w:after="0"/>
        <w:rPr>
          <w:sz w:val="20"/>
          <w:szCs w:val="20"/>
          <w:color w:val="auto"/>
        </w:rPr>
      </w:pPr>
      <w:r>
        <w:rPr>
          <w:rFonts w:ascii="Arial" w:cs="Arial" w:eastAsia="Arial" w:hAnsi="Arial"/>
          <w:sz w:val="22"/>
          <w:szCs w:val="22"/>
          <w:color w:val="auto"/>
        </w:rPr>
        <w:t>Forward-Looking Statements</w:t>
      </w:r>
    </w:p>
    <w:p>
      <w:pPr>
        <w:spacing w:after="0" w:line="233"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ectPr>
          <w:pgSz w:w="11900" w:h="16838" w:orient="portrait"/>
          <w:cols w:equalWidth="0" w:num="1">
            <w:col w:w="11200"/>
          </w:cols>
          <w:pgMar w:left="320" w:top="828" w:right="379" w:bottom="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00" w:lineRule="exact"/>
        <w:rPr>
          <w:sz w:val="20"/>
          <w:szCs w:val="20"/>
          <w:color w:val="auto"/>
        </w:rPr>
      </w:pPr>
    </w:p>
    <w:p>
      <w:pPr>
        <w:spacing w:after="0" w:line="250" w:lineRule="exact"/>
        <w:rPr>
          <w:sz w:val="20"/>
          <w:szCs w:val="20"/>
          <w:color w:val="auto"/>
        </w:rPr>
      </w:pPr>
    </w:p>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January 12, 2015</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860" w:type="dxa"/>
            <w:vAlign w:val="bottom"/>
          </w:tcPr>
          <w:p>
            <w:pPr>
              <w:spacing w:after="0"/>
              <w:rPr>
                <w:sz w:val="20"/>
                <w:szCs w:val="20"/>
                <w:color w:val="auto"/>
              </w:rPr>
            </w:pPr>
            <w:r>
              <w:rPr>
                <w:rFonts w:ascii="Arial" w:cs="Arial" w:eastAsia="Arial" w:hAnsi="Arial"/>
                <w:sz w:val="22"/>
                <w:szCs w:val="22"/>
                <w:color w:val="auto"/>
              </w:rPr>
              <w:t>Dated: January 12, 2015</w:t>
            </w:r>
          </w:p>
        </w:tc>
        <w:tc>
          <w:tcPr>
            <w:tcW w:w="6580" w:type="dxa"/>
            <w:vAlign w:val="bottom"/>
            <w:gridSpan w:val="3"/>
          </w:tcPr>
          <w:p>
            <w:pPr>
              <w:ind w:left="176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860" w:type="dxa"/>
            <w:vAlign w:val="bottom"/>
          </w:tcPr>
          <w:p>
            <w:pPr>
              <w:spacing w:after="0"/>
              <w:rPr>
                <w:sz w:val="24"/>
                <w:szCs w:val="24"/>
                <w:color w:val="auto"/>
              </w:rPr>
            </w:pPr>
          </w:p>
        </w:tc>
        <w:tc>
          <w:tcPr>
            <w:tcW w:w="6580" w:type="dxa"/>
            <w:vAlign w:val="bottom"/>
            <w:gridSpan w:val="3"/>
          </w:tcPr>
          <w:p>
            <w:pPr>
              <w:ind w:left="1760"/>
              <w:spacing w:after="0"/>
              <w:rPr>
                <w:sz w:val="20"/>
                <w:szCs w:val="20"/>
                <w:color w:val="auto"/>
              </w:rPr>
            </w:pPr>
            <w:r>
              <w:rPr>
                <w:rFonts w:ascii="Arial" w:cs="Arial" w:eastAsia="Arial" w:hAnsi="Arial"/>
                <w:sz w:val="22"/>
                <w:szCs w:val="22"/>
                <w:color w:val="auto"/>
              </w:rPr>
              <w:t>By: /s/ Aviv Efrat</w:t>
            </w:r>
          </w:p>
        </w:tc>
      </w:tr>
      <w:tr>
        <w:trPr>
          <w:trHeight w:val="20"/>
        </w:trPr>
        <w:tc>
          <w:tcPr>
            <w:tcW w:w="38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860" w:type="dxa"/>
            <w:vAlign w:val="bottom"/>
          </w:tcPr>
          <w:p>
            <w:pPr>
              <w:spacing w:after="0"/>
              <w:rPr>
                <w:sz w:val="21"/>
                <w:szCs w:val="21"/>
                <w:color w:val="auto"/>
              </w:rPr>
            </w:pPr>
          </w:p>
        </w:tc>
        <w:tc>
          <w:tcPr>
            <w:tcW w:w="6580" w:type="dxa"/>
            <w:vAlign w:val="bottom"/>
            <w:gridSpan w:val="3"/>
          </w:tcPr>
          <w:p>
            <w:pPr>
              <w:ind w:left="200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860" w:type="dxa"/>
            <w:vAlign w:val="bottom"/>
          </w:tcPr>
          <w:p>
            <w:pPr>
              <w:spacing w:after="0"/>
              <w:rPr>
                <w:sz w:val="23"/>
                <w:szCs w:val="23"/>
                <w:color w:val="auto"/>
              </w:rPr>
            </w:pPr>
          </w:p>
        </w:tc>
        <w:tc>
          <w:tcPr>
            <w:tcW w:w="6580" w:type="dxa"/>
            <w:vAlign w:val="bottom"/>
            <w:gridSpan w:val="3"/>
          </w:tcPr>
          <w:p>
            <w:pPr>
              <w:ind w:left="20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7"/>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7"/>
              </w:rPr>
              <w:t>January 12, 2015</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Schedules Earnings Release of First Fiscal Quarter 2015 Results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NEW YORK, NY -- (Marketwired - January 12, 2015) - PennantPark Investment Corporation (the "Company") (NASDAQ: PNNT) announced today that it will report results for the first fiscal quarter ended December 31, 2014 on Wednesday, February 4, 2015 after the close of the financial markets.</w:t>
      </w:r>
    </w:p>
    <w:p>
      <w:pPr>
        <w:spacing w:after="0" w:line="186" w:lineRule="exact"/>
        <w:rPr>
          <w:sz w:val="20"/>
          <w:szCs w:val="20"/>
          <w:color w:val="auto"/>
        </w:rPr>
      </w:pPr>
    </w:p>
    <w:p>
      <w:pPr>
        <w:ind w:right="60"/>
        <w:spacing w:after="0" w:line="282" w:lineRule="auto"/>
        <w:rPr>
          <w:sz w:val="20"/>
          <w:szCs w:val="20"/>
          <w:color w:val="auto"/>
        </w:rPr>
      </w:pPr>
      <w:r>
        <w:rPr>
          <w:rFonts w:ascii="Arial" w:cs="Arial" w:eastAsia="Arial" w:hAnsi="Arial"/>
          <w:sz w:val="19"/>
          <w:szCs w:val="19"/>
          <w:color w:val="auto"/>
        </w:rPr>
        <w:t>The Company will also host a conference call at 10:00 a.m. (Eastern Time) on Thursday, February 5, 2015 to discuss its financial results. All interested parties are welcome to participate. You can access the conference call by dialing (888) 244-2459 approximately 5-10 minutes prior to the call. International callers should dial (913) 312-1494. All callers should reference PennantPark Investment Corporation. An archived replay of the call will be available through February 19, 2015 by calling (888) 203-1112. International callers please dial (719) 457-0820. For all phone replays, please reference conference ID #1523960.</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ind w:right="60"/>
        <w:spacing w:after="0" w:line="297" w:lineRule="auto"/>
        <w:rPr>
          <w:sz w:val="20"/>
          <w:szCs w:val="20"/>
          <w:color w:val="auto"/>
        </w:rPr>
      </w:pPr>
      <w:r>
        <w:rPr>
          <w:rFonts w:ascii="Arial" w:cs="Arial" w:eastAsia="Arial" w:hAnsi="Arial"/>
          <w:sz w:val="19"/>
          <w:szCs w:val="19"/>
          <w:color w:val="auto"/>
        </w:rPr>
        <w:t>The Company is a business development company which principally invests in U.S. middle-market private companies in the form of senior secured loans, mezzanine debt, and equity investments. From time to time, the Company may also invest in public companies whose securities are thinly traded. The Company is managed by PennantPark Investment Advisers, LLC.</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8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Statements other than statements of historical facts included in this press release may constitute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4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2020-05-05T15:07:08Z</dcterms:created>
  <dcterms:modified xsi:type="dcterms:W3CDTF">2020-05-05T15:07:08Z</dcterms:modified>
</cp:coreProperties>
</file>