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ind w:left="4220"/>
        <w:spacing w:after="0"/>
        <w:rPr>
          <w:sz w:val="20"/>
          <w:szCs w:val="20"/>
          <w:color w:val="auto"/>
        </w:rPr>
      </w:pPr>
      <w:r>
        <w:rPr>
          <w:rFonts w:ascii="Arial" w:cs="Arial" w:eastAsia="Arial" w:hAnsi="Arial"/>
          <w:sz w:val="22"/>
          <w:szCs w:val="22"/>
          <w:b w:val="1"/>
          <w:bCs w:val="1"/>
          <w:color w:val="auto"/>
        </w:rPr>
        <w:t>Date of Report: April 25, 2008</w:t>
      </w:r>
    </w:p>
    <w:p>
      <w:pPr>
        <w:spacing w:after="0" w:line="14"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Investment Corporation</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4320" w:type="dxa"/>
            <w:vAlign w:val="bottom"/>
          </w:tcPr>
          <w:p>
            <w:pPr>
              <w:jc w:val="center"/>
              <w:ind w:right="172"/>
              <w:spacing w:after="0"/>
              <w:rPr>
                <w:sz w:val="20"/>
                <w:szCs w:val="20"/>
                <w:color w:val="auto"/>
              </w:rPr>
            </w:pPr>
            <w:r>
              <w:rPr>
                <w:rFonts w:ascii="Arial" w:cs="Arial" w:eastAsia="Arial" w:hAnsi="Arial"/>
                <w:sz w:val="22"/>
                <w:szCs w:val="22"/>
                <w:b w:val="1"/>
                <w:bCs w:val="1"/>
                <w:color w:val="auto"/>
                <w:w w:val="95"/>
              </w:rPr>
              <w:t>Maryland</w:t>
            </w:r>
          </w:p>
        </w:tc>
        <w:tc>
          <w:tcPr>
            <w:tcW w:w="2640" w:type="dxa"/>
            <w:vAlign w:val="bottom"/>
          </w:tcPr>
          <w:p>
            <w:pPr>
              <w:jc w:val="center"/>
              <w:ind w:right="392"/>
              <w:spacing w:after="0"/>
              <w:rPr>
                <w:sz w:val="20"/>
                <w:szCs w:val="20"/>
                <w:color w:val="auto"/>
              </w:rPr>
            </w:pPr>
            <w:r>
              <w:rPr>
                <w:rFonts w:ascii="Arial" w:cs="Arial" w:eastAsia="Arial" w:hAnsi="Arial"/>
                <w:sz w:val="22"/>
                <w:szCs w:val="22"/>
                <w:b w:val="1"/>
                <w:bCs w:val="1"/>
                <w:color w:val="auto"/>
                <w:w w:val="89"/>
              </w:rPr>
              <w:t>814-00736</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20-8250744</w:t>
            </w:r>
          </w:p>
        </w:tc>
        <w:tc>
          <w:tcPr>
            <w:tcW w:w="0" w:type="dxa"/>
            <w:vAlign w:val="bottom"/>
          </w:tcPr>
          <w:p>
            <w:pPr>
              <w:spacing w:after="0"/>
              <w:rPr>
                <w:sz w:val="1"/>
                <w:szCs w:val="1"/>
                <w:color w:val="auto"/>
              </w:rPr>
            </w:pPr>
          </w:p>
        </w:tc>
      </w:tr>
      <w:tr>
        <w:trPr>
          <w:trHeight w:val="243"/>
        </w:trPr>
        <w:tc>
          <w:tcPr>
            <w:tcW w:w="4320" w:type="dxa"/>
            <w:vAlign w:val="bottom"/>
          </w:tcPr>
          <w:p>
            <w:pPr>
              <w:jc w:val="center"/>
              <w:ind w:right="232"/>
              <w:spacing w:after="0" w:line="243" w:lineRule="exact"/>
              <w:rPr>
                <w:sz w:val="20"/>
                <w:szCs w:val="20"/>
                <w:color w:val="auto"/>
              </w:rPr>
            </w:pPr>
            <w:r>
              <w:rPr>
                <w:rFonts w:ascii="Arial" w:cs="Arial" w:eastAsia="Arial" w:hAnsi="Arial"/>
                <w:sz w:val="22"/>
                <w:szCs w:val="22"/>
                <w:color w:val="auto"/>
                <w:w w:val="90"/>
              </w:rPr>
              <w:t>(State or other jurisdiction</w:t>
            </w:r>
          </w:p>
        </w:tc>
        <w:tc>
          <w:tcPr>
            <w:tcW w:w="2640" w:type="dxa"/>
            <w:vAlign w:val="bottom"/>
          </w:tcPr>
          <w:p>
            <w:pPr>
              <w:jc w:val="center"/>
              <w:ind w:right="3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c>
          <w:tcPr>
            <w:tcW w:w="0" w:type="dxa"/>
            <w:vAlign w:val="bottom"/>
          </w:tcPr>
          <w:p>
            <w:pPr>
              <w:spacing w:after="0"/>
              <w:rPr>
                <w:sz w:val="1"/>
                <w:szCs w:val="1"/>
                <w:color w:val="auto"/>
              </w:rPr>
            </w:pPr>
          </w:p>
        </w:tc>
      </w:tr>
      <w:tr>
        <w:trPr>
          <w:trHeight w:val="274"/>
        </w:trPr>
        <w:tc>
          <w:tcPr>
            <w:tcW w:w="4320" w:type="dxa"/>
            <w:vAlign w:val="bottom"/>
          </w:tcPr>
          <w:p>
            <w:pPr>
              <w:jc w:val="center"/>
              <w:ind w:right="172"/>
              <w:spacing w:after="0"/>
              <w:rPr>
                <w:sz w:val="20"/>
                <w:szCs w:val="20"/>
                <w:color w:val="auto"/>
              </w:rPr>
            </w:pPr>
            <w:r>
              <w:rPr>
                <w:rFonts w:ascii="Arial" w:cs="Arial" w:eastAsia="Arial" w:hAnsi="Arial"/>
                <w:sz w:val="22"/>
                <w:szCs w:val="22"/>
                <w:color w:val="auto"/>
                <w:w w:val="93"/>
              </w:rPr>
              <w:t>of incorporation)</w:t>
            </w:r>
          </w:p>
        </w:tc>
        <w:tc>
          <w:tcPr>
            <w:tcW w:w="2640" w:type="dxa"/>
            <w:vAlign w:val="bottom"/>
          </w:tcPr>
          <w:p>
            <w:pPr>
              <w:jc w:val="center"/>
              <w:ind w:right="3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c>
          <w:tcPr>
            <w:tcW w:w="0" w:type="dxa"/>
            <w:vAlign w:val="bottom"/>
          </w:tcPr>
          <w:p>
            <w:pPr>
              <w:spacing w:after="0"/>
              <w:rPr>
                <w:sz w:val="1"/>
                <w:szCs w:val="1"/>
                <w:color w:val="auto"/>
              </w:rPr>
            </w:pPr>
          </w:p>
        </w:tc>
      </w:tr>
      <w:tr>
        <w:trPr>
          <w:trHeight w:val="449"/>
        </w:trPr>
        <w:tc>
          <w:tcPr>
            <w:tcW w:w="4320" w:type="dxa"/>
            <w:vAlign w:val="bottom"/>
          </w:tcPr>
          <w:p>
            <w:pPr>
              <w:jc w:val="center"/>
              <w:ind w:right="172"/>
              <w:spacing w:after="0"/>
              <w:rPr>
                <w:sz w:val="20"/>
                <w:szCs w:val="20"/>
                <w:color w:val="auto"/>
              </w:rPr>
            </w:pPr>
            <w:r>
              <w:rPr>
                <w:rFonts w:ascii="Arial" w:cs="Arial" w:eastAsia="Arial" w:hAnsi="Arial"/>
                <w:sz w:val="22"/>
                <w:szCs w:val="22"/>
                <w:b w:val="1"/>
                <w:bCs w:val="1"/>
                <w:color w:val="auto"/>
                <w:w w:val="88"/>
              </w:rPr>
              <w:t>590 Madison Avenue, 15th Floor, New York,</w:t>
            </w:r>
          </w:p>
        </w:tc>
        <w:tc>
          <w:tcPr>
            <w:tcW w:w="2640" w:type="dxa"/>
            <w:vAlign w:val="bottom"/>
          </w:tcPr>
          <w:p>
            <w:pPr>
              <w:spacing w:after="0"/>
              <w:rPr>
                <w:sz w:val="24"/>
                <w:szCs w:val="24"/>
                <w:color w:val="auto"/>
              </w:rPr>
            </w:pPr>
          </w:p>
        </w:tc>
        <w:tc>
          <w:tcPr>
            <w:tcW w:w="2800" w:type="dxa"/>
            <w:vAlign w:val="bottom"/>
            <w:vMerge w:val="restart"/>
          </w:tcPr>
          <w:p>
            <w:pPr>
              <w:jc w:val="right"/>
              <w:ind w:right="632"/>
              <w:spacing w:after="0"/>
              <w:rPr>
                <w:sz w:val="20"/>
                <w:szCs w:val="20"/>
                <w:color w:val="auto"/>
              </w:rPr>
            </w:pPr>
            <w:r>
              <w:rPr>
                <w:rFonts w:ascii="Arial" w:cs="Arial" w:eastAsia="Arial" w:hAnsi="Arial"/>
                <w:sz w:val="22"/>
                <w:szCs w:val="22"/>
                <w:b w:val="1"/>
                <w:bCs w:val="1"/>
                <w:color w:val="auto"/>
              </w:rPr>
              <w:t>10022</w:t>
            </w:r>
          </w:p>
        </w:tc>
        <w:tc>
          <w:tcPr>
            <w:tcW w:w="0" w:type="dxa"/>
            <w:vAlign w:val="bottom"/>
          </w:tcPr>
          <w:p>
            <w:pPr>
              <w:spacing w:after="0"/>
              <w:rPr>
                <w:sz w:val="1"/>
                <w:szCs w:val="1"/>
                <w:color w:val="auto"/>
              </w:rPr>
            </w:pPr>
          </w:p>
        </w:tc>
      </w:tr>
      <w:tr>
        <w:trPr>
          <w:trHeight w:val="127"/>
        </w:trPr>
        <w:tc>
          <w:tcPr>
            <w:tcW w:w="4320" w:type="dxa"/>
            <w:vAlign w:val="bottom"/>
            <w:vMerge w:val="restart"/>
          </w:tcPr>
          <w:p>
            <w:pPr>
              <w:jc w:val="center"/>
              <w:ind w:right="172"/>
              <w:spacing w:after="0" w:line="249" w:lineRule="exact"/>
              <w:rPr>
                <w:sz w:val="20"/>
                <w:szCs w:val="20"/>
                <w:color w:val="auto"/>
              </w:rPr>
            </w:pPr>
            <w:r>
              <w:rPr>
                <w:rFonts w:ascii="Arial" w:cs="Arial" w:eastAsia="Arial" w:hAnsi="Arial"/>
                <w:sz w:val="22"/>
                <w:szCs w:val="22"/>
                <w:b w:val="1"/>
                <w:bCs w:val="1"/>
                <w:color w:val="auto"/>
                <w:w w:val="91"/>
              </w:rPr>
              <w:t>New York</w:t>
            </w:r>
          </w:p>
        </w:tc>
        <w:tc>
          <w:tcPr>
            <w:tcW w:w="2640" w:type="dxa"/>
            <w:vAlign w:val="bottom"/>
          </w:tcPr>
          <w:p>
            <w:pPr>
              <w:spacing w:after="0"/>
              <w:rPr>
                <w:sz w:val="11"/>
                <w:szCs w:val="11"/>
                <w:color w:val="auto"/>
              </w:rPr>
            </w:pPr>
          </w:p>
        </w:tc>
        <w:tc>
          <w:tcPr>
            <w:tcW w:w="2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4320" w:type="dxa"/>
            <w:vAlign w:val="bottom"/>
            <w:vMerge w:val="continue"/>
          </w:tcPr>
          <w:p>
            <w:pPr>
              <w:spacing w:after="0"/>
              <w:rPr>
                <w:sz w:val="10"/>
                <w:szCs w:val="10"/>
                <w:color w:val="auto"/>
              </w:rPr>
            </w:pPr>
          </w:p>
        </w:tc>
        <w:tc>
          <w:tcPr>
            <w:tcW w:w="2640" w:type="dxa"/>
            <w:vAlign w:val="bottom"/>
          </w:tcPr>
          <w:p>
            <w:pPr>
              <w:spacing w:after="0"/>
              <w:rPr>
                <w:sz w:val="10"/>
                <w:szCs w:val="10"/>
                <w:color w:val="auto"/>
              </w:rPr>
            </w:pPr>
          </w:p>
        </w:tc>
        <w:tc>
          <w:tcPr>
            <w:tcW w:w="2800" w:type="dxa"/>
            <w:vAlign w:val="bottom"/>
            <w:vMerge w:val="restart"/>
          </w:tcPr>
          <w:p>
            <w:pPr>
              <w:jc w:val="center"/>
              <w:ind w:left="692"/>
              <w:spacing w:after="0"/>
              <w:rPr>
                <w:sz w:val="20"/>
                <w:szCs w:val="20"/>
                <w:color w:val="auto"/>
              </w:rPr>
            </w:pPr>
            <w:r>
              <w:rPr>
                <w:rFonts w:ascii="Arial" w:cs="Arial" w:eastAsia="Arial" w:hAnsi="Arial"/>
                <w:sz w:val="22"/>
                <w:szCs w:val="22"/>
                <w:color w:val="auto"/>
                <w:w w:val="92"/>
              </w:rPr>
              <w:t>(Zip Code)</w:t>
            </w:r>
          </w:p>
        </w:tc>
        <w:tc>
          <w:tcPr>
            <w:tcW w:w="0" w:type="dxa"/>
            <w:vAlign w:val="bottom"/>
          </w:tcPr>
          <w:p>
            <w:pPr>
              <w:spacing w:after="0"/>
              <w:rPr>
                <w:sz w:val="1"/>
                <w:szCs w:val="1"/>
                <w:color w:val="auto"/>
              </w:rPr>
            </w:pPr>
          </w:p>
        </w:tc>
      </w:tr>
      <w:tr>
        <w:trPr>
          <w:trHeight w:val="153"/>
        </w:trPr>
        <w:tc>
          <w:tcPr>
            <w:tcW w:w="4320" w:type="dxa"/>
            <w:vAlign w:val="bottom"/>
            <w:vMerge w:val="restart"/>
          </w:tcPr>
          <w:p>
            <w:pPr>
              <w:jc w:val="center"/>
              <w:ind w:right="192"/>
              <w:spacing w:after="0"/>
              <w:rPr>
                <w:sz w:val="20"/>
                <w:szCs w:val="20"/>
                <w:color w:val="auto"/>
              </w:rPr>
            </w:pPr>
            <w:r>
              <w:rPr>
                <w:rFonts w:ascii="Arial" w:cs="Arial" w:eastAsia="Arial" w:hAnsi="Arial"/>
                <w:sz w:val="22"/>
                <w:szCs w:val="22"/>
                <w:color w:val="auto"/>
                <w:w w:val="90"/>
              </w:rPr>
              <w:t>(Address of principal executive offices)</w:t>
            </w:r>
          </w:p>
        </w:tc>
        <w:tc>
          <w:tcPr>
            <w:tcW w:w="2640" w:type="dxa"/>
            <w:vAlign w:val="bottom"/>
          </w:tcPr>
          <w:p>
            <w:pPr>
              <w:spacing w:after="0"/>
              <w:rPr>
                <w:sz w:val="13"/>
                <w:szCs w:val="13"/>
                <w:color w:val="auto"/>
              </w:rPr>
            </w:pPr>
          </w:p>
        </w:tc>
        <w:tc>
          <w:tcPr>
            <w:tcW w:w="2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320" w:type="dxa"/>
            <w:vAlign w:val="bottom"/>
            <w:vMerge w:val="continue"/>
          </w:tcPr>
          <w:p>
            <w:pPr>
              <w:spacing w:after="0"/>
              <w:rPr>
                <w:sz w:val="10"/>
                <w:szCs w:val="10"/>
                <w:color w:val="auto"/>
              </w:rPr>
            </w:pPr>
          </w:p>
        </w:tc>
        <w:tc>
          <w:tcPr>
            <w:tcW w:w="264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jc w:val="both"/>
        <w:ind w:left="40" w:right="60"/>
        <w:spacing w:after="0"/>
        <w:rPr>
          <w:sz w:val="20"/>
          <w:szCs w:val="20"/>
          <w:color w:val="auto"/>
        </w:rPr>
      </w:pPr>
      <w:r>
        <w:rPr>
          <w:rFonts w:ascii="Arial" w:cs="Arial" w:eastAsia="Arial" w:hAnsi="Arial"/>
          <w:sz w:val="22"/>
          <w:szCs w:val="22"/>
          <w:color w:val="auto"/>
        </w:rPr>
        <w:t>On April 25, 2008, PennantPark Investment Corporation issued a press release announcing its scheduled earnings release for the quarter ended March 31, 2008, the second quarter of its fiscal 2008 year. A copy of the press release is furnished as Exhibit 99.1 to this report, pursuant to Item 7.01 and Regulation FD.</w:t>
      </w:r>
    </w:p>
    <w:p>
      <w:pPr>
        <w:spacing w:after="0" w:line="180"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33" w:lineRule="exact"/>
        <w:rPr>
          <w:sz w:val="24"/>
          <w:szCs w:val="24"/>
          <w:color w:val="auto"/>
        </w:rPr>
      </w:pPr>
    </w:p>
    <w:p>
      <w:pPr>
        <w:ind w:left="700" w:right="8880" w:hanging="652"/>
        <w:spacing w:after="0" w:line="280" w:lineRule="auto"/>
        <w:tabs>
          <w:tab w:leader="none" w:pos="35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700" w:right="7800" w:hanging="652"/>
        <w:spacing w:after="0" w:line="230" w:lineRule="auto"/>
        <w:tabs>
          <w:tab w:leader="none" w:pos="37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700" w:right="8260" w:hanging="652"/>
        <w:spacing w:after="0" w:line="230" w:lineRule="auto"/>
        <w:tabs>
          <w:tab w:leader="none" w:pos="34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60" w:hanging="312"/>
        <w:spacing w:after="0" w:line="230" w:lineRule="auto"/>
        <w:tabs>
          <w:tab w:leader="none" w:pos="36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4"/>
          <w:szCs w:val="24"/>
          <w:color w:val="auto"/>
        </w:rPr>
      </w:pPr>
    </w:p>
    <w:p>
      <w:pPr>
        <w:ind w:left="700"/>
        <w:spacing w:after="0"/>
        <w:tabs>
          <w:tab w:leader="none" w:pos="144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Investment Corporation dated April 25, 2008</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4"/>
          <w:szCs w:val="24"/>
          <w:color w:val="auto"/>
        </w:rPr>
      </w:pPr>
    </w:p>
    <w:p>
      <w:pPr>
        <w:ind w:left="40" w:right="20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ectPr>
          <w:pgSz w:w="11900" w:h="16838" w:orient="portrait"/>
          <w:cols w:equalWidth="0" w:num="1">
            <w:col w:w="11200"/>
          </w:cols>
          <w:pgMar w:left="320" w:top="828" w:right="379" w:bottom="49"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81"/>
        </w:trPr>
        <w:tc>
          <w:tcPr>
            <w:tcW w:w="3400" w:type="dxa"/>
            <w:vAlign w:val="bottom"/>
          </w:tcPr>
          <w:p>
            <w:pPr>
              <w:spacing w:after="0"/>
              <w:rPr>
                <w:sz w:val="20"/>
                <w:szCs w:val="20"/>
                <w:color w:val="auto"/>
              </w:rPr>
            </w:pPr>
            <w:r>
              <w:rPr>
                <w:rFonts w:ascii="Arial" w:cs="Arial" w:eastAsia="Arial" w:hAnsi="Arial"/>
                <w:sz w:val="22"/>
                <w:szCs w:val="22"/>
                <w:color w:val="auto"/>
              </w:rPr>
              <w:t>Dated: April 25, 2008</w:t>
            </w:r>
          </w:p>
        </w:tc>
        <w:tc>
          <w:tcPr>
            <w:tcW w:w="6320" w:type="dxa"/>
            <w:vAlign w:val="bottom"/>
            <w:gridSpan w:val="3"/>
          </w:tcPr>
          <w:p>
            <w:pPr>
              <w:ind w:left="1500"/>
              <w:spacing w:after="0"/>
              <w:rPr>
                <w:sz w:val="20"/>
                <w:szCs w:val="20"/>
                <w:color w:val="auto"/>
              </w:rPr>
            </w:pPr>
            <w:r>
              <w:rPr>
                <w:rFonts w:ascii="Arial" w:cs="Arial" w:eastAsia="Arial" w:hAnsi="Arial"/>
                <w:sz w:val="22"/>
                <w:szCs w:val="22"/>
                <w:b w:val="1"/>
                <w:bCs w:val="1"/>
                <w:color w:val="auto"/>
                <w:w w:val="98"/>
              </w:rPr>
              <w:t>PENNANTPARK INVESTMENT CORPORATION</w:t>
            </w:r>
          </w:p>
        </w:tc>
      </w:tr>
      <w:tr>
        <w:trPr>
          <w:trHeight w:val="408"/>
        </w:trPr>
        <w:tc>
          <w:tcPr>
            <w:tcW w:w="3400" w:type="dxa"/>
            <w:vAlign w:val="bottom"/>
          </w:tcPr>
          <w:p>
            <w:pPr>
              <w:spacing w:after="0"/>
              <w:rPr>
                <w:sz w:val="24"/>
                <w:szCs w:val="24"/>
                <w:color w:val="auto"/>
              </w:rPr>
            </w:pPr>
          </w:p>
        </w:tc>
        <w:tc>
          <w:tcPr>
            <w:tcW w:w="6320" w:type="dxa"/>
            <w:vAlign w:val="bottom"/>
            <w:gridSpan w:val="3"/>
          </w:tcPr>
          <w:p>
            <w:pPr>
              <w:ind w:left="1500"/>
              <w:spacing w:after="0"/>
              <w:rPr>
                <w:sz w:val="20"/>
                <w:szCs w:val="20"/>
                <w:color w:val="auto"/>
              </w:rPr>
            </w:pPr>
            <w:r>
              <w:rPr>
                <w:rFonts w:ascii="Arial" w:cs="Arial" w:eastAsia="Arial" w:hAnsi="Arial"/>
                <w:sz w:val="22"/>
                <w:szCs w:val="22"/>
                <w:color w:val="auto"/>
              </w:rPr>
              <w:t>By: /s/ Aviv Efrat</w:t>
            </w:r>
          </w:p>
        </w:tc>
      </w:tr>
      <w:tr>
        <w:trPr>
          <w:trHeight w:val="20"/>
        </w:trPr>
        <w:tc>
          <w:tcPr>
            <w:tcW w:w="34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42"/>
        </w:trPr>
        <w:tc>
          <w:tcPr>
            <w:tcW w:w="3400" w:type="dxa"/>
            <w:vAlign w:val="bottom"/>
          </w:tcPr>
          <w:p>
            <w:pPr>
              <w:spacing w:after="0"/>
              <w:rPr>
                <w:sz w:val="21"/>
                <w:szCs w:val="21"/>
                <w:color w:val="auto"/>
              </w:rPr>
            </w:pPr>
          </w:p>
        </w:tc>
        <w:tc>
          <w:tcPr>
            <w:tcW w:w="6320" w:type="dxa"/>
            <w:vAlign w:val="bottom"/>
            <w:gridSpan w:val="3"/>
          </w:tcPr>
          <w:p>
            <w:pPr>
              <w:ind w:left="176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400" w:type="dxa"/>
            <w:vAlign w:val="bottom"/>
          </w:tcPr>
          <w:p>
            <w:pPr>
              <w:spacing w:after="0"/>
              <w:rPr>
                <w:sz w:val="23"/>
                <w:szCs w:val="23"/>
                <w:color w:val="auto"/>
              </w:rPr>
            </w:pPr>
          </w:p>
        </w:tc>
        <w:tc>
          <w:tcPr>
            <w:tcW w:w="6320" w:type="dxa"/>
            <w:vAlign w:val="bottom"/>
            <w:gridSpan w:val="3"/>
          </w:tcPr>
          <w:p>
            <w:pPr>
              <w:ind w:left="176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7"/>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840" w:type="dxa"/>
            <w:vAlign w:val="bottom"/>
            <w:gridSpan w:val="3"/>
          </w:tcPr>
          <w:p>
            <w:pPr>
              <w:jc w:val="center"/>
              <w:ind w:left="1532"/>
              <w:spacing w:after="0"/>
              <w:rPr>
                <w:sz w:val="20"/>
                <w:szCs w:val="20"/>
                <w:color w:val="auto"/>
              </w:rPr>
            </w:pPr>
            <w:r>
              <w:rPr>
                <w:rFonts w:ascii="Arial" w:cs="Arial" w:eastAsia="Arial" w:hAnsi="Arial"/>
                <w:sz w:val="22"/>
                <w:szCs w:val="22"/>
                <w:color w:val="auto"/>
                <w:w w:val="87"/>
              </w:rPr>
              <w:t>Press Release of PennantPark Investment Corporation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840" w:type="dxa"/>
            <w:vAlign w:val="bottom"/>
            <w:gridSpan w:val="3"/>
            <w:vMerge w:val="restart"/>
          </w:tcPr>
          <w:p>
            <w:pPr>
              <w:jc w:val="center"/>
              <w:ind w:left="1552"/>
              <w:spacing w:after="0"/>
              <w:rPr>
                <w:sz w:val="20"/>
                <w:szCs w:val="20"/>
                <w:color w:val="auto"/>
              </w:rPr>
            </w:pPr>
            <w:r>
              <w:rPr>
                <w:rFonts w:ascii="Arial" w:cs="Arial" w:eastAsia="Arial" w:hAnsi="Arial"/>
                <w:sz w:val="22"/>
                <w:szCs w:val="22"/>
                <w:color w:val="auto"/>
                <w:w w:val="92"/>
              </w:rPr>
              <w:t>April 25, 2008</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360" w:top="111" w:right="559" w:bottom="1440" w:gutter="0" w:footer="0" w:header="0"/>
        </w:sectPr>
      </w:pPr>
    </w:p>
    <w:bookmarkStart w:id="2" w:name="page3"/>
    <w:bookmarkEnd w:id="2"/>
    <w:p>
      <w:pPr>
        <w:ind w:left="1060"/>
        <w:spacing w:after="0"/>
        <w:rPr>
          <w:sz w:val="20"/>
          <w:szCs w:val="20"/>
          <w:color w:val="auto"/>
        </w:rPr>
      </w:pPr>
      <w:r>
        <w:rPr>
          <w:rFonts w:ascii="Arial" w:cs="Arial" w:eastAsia="Arial" w:hAnsi="Arial"/>
          <w:sz w:val="21"/>
          <w:szCs w:val="21"/>
          <w:b w:val="1"/>
          <w:bCs w:val="1"/>
          <w:color w:val="auto"/>
        </w:rPr>
        <w:t>PennantPark Investment Corporation Schedules Earnings Release of Second Quarter 2008 Results</w:t>
      </w:r>
    </w:p>
    <w:p>
      <w:pPr>
        <w:spacing w:after="0" w:line="224" w:lineRule="exact"/>
        <w:rPr>
          <w:sz w:val="20"/>
          <w:szCs w:val="20"/>
          <w:color w:val="auto"/>
        </w:rPr>
      </w:pPr>
    </w:p>
    <w:p>
      <w:pPr>
        <w:ind w:left="60"/>
        <w:spacing w:after="0"/>
        <w:rPr>
          <w:sz w:val="20"/>
          <w:szCs w:val="20"/>
          <w:color w:val="auto"/>
        </w:rPr>
      </w:pPr>
      <w:r>
        <w:rPr>
          <w:rFonts w:ascii="Arial" w:cs="Arial" w:eastAsia="Arial" w:hAnsi="Arial"/>
          <w:sz w:val="19"/>
          <w:szCs w:val="19"/>
          <w:color w:val="auto"/>
        </w:rPr>
        <w:t>NEW YORK, NY -- 04/25/2008 -- PennantPark Investment Corporation (the "Company") (NASDAQ: PNNT) announced today</w:t>
      </w:r>
    </w:p>
    <w:p>
      <w:pPr>
        <w:spacing w:after="0" w:line="43" w:lineRule="exact"/>
        <w:rPr>
          <w:sz w:val="20"/>
          <w:szCs w:val="20"/>
          <w:color w:val="auto"/>
        </w:rPr>
      </w:pPr>
    </w:p>
    <w:p>
      <w:pPr>
        <w:jc w:val="center"/>
        <w:ind w:right="20"/>
        <w:spacing w:after="0" w:line="236" w:lineRule="auto"/>
        <w:rPr>
          <w:sz w:val="20"/>
          <w:szCs w:val="20"/>
          <w:color w:val="auto"/>
        </w:rPr>
      </w:pPr>
      <w:r>
        <w:rPr>
          <w:rFonts w:ascii="Arial" w:cs="Arial" w:eastAsia="Arial" w:hAnsi="Arial"/>
          <w:sz w:val="22"/>
          <w:szCs w:val="22"/>
          <w:color w:val="auto"/>
        </w:rPr>
        <w:t>that it will report its second fiscal quarter results for the period ended March 31, 2008 on May 8, 2008 after the close of the financial markets.</w:t>
      </w:r>
    </w:p>
    <w:p>
      <w:pPr>
        <w:spacing w:after="0" w:line="187" w:lineRule="exact"/>
        <w:rPr>
          <w:sz w:val="20"/>
          <w:szCs w:val="20"/>
          <w:color w:val="auto"/>
        </w:rPr>
      </w:pPr>
    </w:p>
    <w:p>
      <w:pPr>
        <w:jc w:val="center"/>
        <w:ind w:right="20"/>
        <w:spacing w:after="0" w:line="282" w:lineRule="auto"/>
        <w:rPr>
          <w:sz w:val="20"/>
          <w:szCs w:val="20"/>
          <w:color w:val="auto"/>
        </w:rPr>
      </w:pPr>
      <w:r>
        <w:rPr>
          <w:rFonts w:ascii="Arial" w:cs="Arial" w:eastAsia="Arial" w:hAnsi="Arial"/>
          <w:sz w:val="19"/>
          <w:szCs w:val="19"/>
          <w:color w:val="auto"/>
        </w:rPr>
        <w:t>The Company will also host a conference call at 10:00 a.m. (Eastern Time) on Friday, May 9, 2008 to discuss the quarterly results. All interested parties are welcome to participate. You can access the conference call by dialing (866) 225-6564 approximately 5-10 minutes prior to the call. International callers should dial (416) 641-6136. All callers should reference "PennantPark Investment Corporation." An archived replay of the call will be available through May 23, 2008 by calling (800) 408-3053. International callers please dial (416) 695-5800. For all replays, please reference conference ID #3260084.</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About PennantPark Investment Corporation</w:t>
      </w:r>
    </w:p>
    <w:p>
      <w:pPr>
        <w:spacing w:after="0" w:line="206" w:lineRule="exact"/>
        <w:rPr>
          <w:sz w:val="20"/>
          <w:szCs w:val="20"/>
          <w:color w:val="auto"/>
        </w:rPr>
      </w:pPr>
    </w:p>
    <w:p>
      <w:pPr>
        <w:jc w:val="center"/>
        <w:spacing w:after="0" w:line="238" w:lineRule="auto"/>
        <w:rPr>
          <w:sz w:val="20"/>
          <w:szCs w:val="20"/>
          <w:color w:val="auto"/>
        </w:rPr>
      </w:pPr>
      <w:r>
        <w:rPr>
          <w:rFonts w:ascii="Arial" w:cs="Arial" w:eastAsia="Arial" w:hAnsi="Arial"/>
          <w:sz w:val="22"/>
          <w:szCs w:val="22"/>
          <w:color w:val="auto"/>
        </w:rPr>
        <w:t>PennantPark Investment Corporation is a business development company which principally invests in U.S. middle-market private companies in the form of mezzanine debt, senior secured loans and equity investments. From time to time, we may also invest in public companies whose securities are thinly traded. PennantPark Investment Corporation is managed by PennantPark Investment Advisers, LLC.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jc w:val="center"/>
        <w:spacing w:after="0" w:line="279"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statements made herein. All forward-looking statements speak only as of the date of this press release.</w:t>
      </w:r>
    </w:p>
    <w:p>
      <w:pPr>
        <w:spacing w:after="0" w:line="168"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Contact:</w:t>
      </w:r>
    </w:p>
    <w:p>
      <w:pPr>
        <w:jc w:val="center"/>
        <w:spacing w:after="0" w:line="238" w:lineRule="auto"/>
        <w:rPr>
          <w:sz w:val="20"/>
          <w:szCs w:val="20"/>
          <w:color w:val="auto"/>
        </w:rPr>
      </w:pPr>
      <w:r>
        <w:rPr>
          <w:rFonts w:ascii="Courier New" w:cs="Courier New" w:eastAsia="Courier New" w:hAnsi="Courier New"/>
          <w:sz w:val="18"/>
          <w:szCs w:val="18"/>
          <w:color w:val="auto"/>
        </w:rPr>
        <w:t>Aviv Efrat</w:t>
      </w:r>
    </w:p>
    <w:p>
      <w:pPr>
        <w:jc w:val="center"/>
        <w:spacing w:after="0" w:line="238" w:lineRule="auto"/>
        <w:rPr>
          <w:sz w:val="20"/>
          <w:szCs w:val="20"/>
          <w:color w:val="auto"/>
        </w:rPr>
      </w:pPr>
      <w:r>
        <w:rPr>
          <w:rFonts w:ascii="Courier New" w:cs="Courier New" w:eastAsia="Courier New" w:hAnsi="Courier New"/>
          <w:sz w:val="18"/>
          <w:szCs w:val="18"/>
          <w:color w:val="auto"/>
        </w:rPr>
        <w:t>PennantPark Investment Corporation</w:t>
      </w:r>
    </w:p>
    <w:p>
      <w:pPr>
        <w:jc w:val="center"/>
        <w:spacing w:after="0"/>
        <w:rPr>
          <w:sz w:val="20"/>
          <w:szCs w:val="20"/>
          <w:color w:val="auto"/>
        </w:rPr>
      </w:pPr>
      <w:r>
        <w:rPr>
          <w:rFonts w:ascii="Courier New" w:cs="Courier New" w:eastAsia="Courier New" w:hAnsi="Courier New"/>
          <w:sz w:val="18"/>
          <w:szCs w:val="18"/>
          <w:color w:val="auto"/>
        </w:rPr>
        <w:t>(212) 905-1000</w:t>
      </w:r>
    </w:p>
    <w:p>
      <w:pPr>
        <w:jc w:val="center"/>
        <w:ind w:right="20"/>
        <w:spacing w:after="0"/>
        <w:tabs>
          <w:tab w:leader="none" w:pos="200" w:val="left"/>
        </w:tabs>
        <w:rPr>
          <w:sz w:val="20"/>
          <w:szCs w:val="20"/>
          <w:color w:val="auto"/>
        </w:rPr>
      </w:pPr>
      <w:r>
        <w:rPr>
          <w:rFonts w:ascii="Courier New" w:cs="Courier New" w:eastAsia="Courier New" w:hAnsi="Courier New"/>
          <w:sz w:val="18"/>
          <w:szCs w:val="18"/>
          <w:color w:val="auto"/>
        </w:rPr>
        <w:t>Or visit us at:</w:t>
      </w:r>
      <w:r>
        <w:rPr>
          <w:sz w:val="20"/>
          <w:szCs w:val="20"/>
          <w:color w:val="auto"/>
        </w:rPr>
        <w:tab/>
      </w:r>
      <w:r>
        <w:rPr>
          <w:rFonts w:ascii="Courier New" w:cs="Courier New" w:eastAsia="Courier New" w:hAnsi="Courier New"/>
          <w:sz w:val="16"/>
          <w:szCs w:val="16"/>
          <w:color w:val="auto"/>
        </w:rPr>
        <w:t>www.pennantpark.com</w:t>
      </w:r>
    </w:p>
    <w:sectPr>
      <w:pgSz w:w="11900" w:h="16838" w:orient="portrait"/>
      <w:cols w:equalWidth="0" w:num="1">
        <w:col w:w="11220"/>
      </w:cols>
      <w:pgMar w:left="34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2020-05-05T15:06:42Z</dcterms:created>
  <dcterms:modified xsi:type="dcterms:W3CDTF">2020-05-05T15:06:42Z</dcterms:modified>
</cp:coreProperties>
</file>