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8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PennantPark Investment Corporation</w:t>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00" w:right="80" w:hanging="598"/>
        <w:spacing w:after="0" w:line="277"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98" w:lineRule="auto"/>
        <w:tabs>
          <w:tab w:leader="none" w:pos="6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-2720340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-2454275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-2051050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-1785620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-1519555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-704850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-438785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-173355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92075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20" w:right="5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21780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78050" cy="514350"/>
                    </a:xfrm>
                    <a:prstGeom prst="rect">
                      <a:avLst/>
                    </a:prstGeom>
                    <a:noFill/>
                  </pic:spPr>
                </pic:pic>
              </a:graphicData>
            </a:graphic>
          </wp:anchor>
        </w:drawing>
        <w:t>December [●],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You are cordially invited to attend the 2019 Annual Meeting of Stockholders of PennantPark Investment Corporation (“PNNT” or the “Company”) to be held on February 5, 2019 at 9:30 a.m., Eastern Time, at the offices of Dechert LLP, located at 1095 Avenue of the Americas, New York, New York.</w:t>
      </w:r>
    </w:p>
    <w:p>
      <w:pPr>
        <w:spacing w:after="0" w:line="124"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The Notice of Annual Meeting of Stockholders and the Proxy Statement of the Company, provides an outline of the business to be conducted at the Annual Meeting of Stockholders. At the meeting, you will be asked to: (1) elect one director of the Company; (2) ratify the selection of RSM US LLP to serve as the Company’s independent registered public accounting firm for the fiscal year ending September 30, 2019 and (3)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 In connection with the board of directors’ approval of a lower minimum asset coverage ratio, effective November 13, 2018, the Company’s board of directors also approved a Third Amended and Restated Investment Advisory Management Agreement (the “Amended Agreement”) pursuant to which the base management fee payable by the Company to its investment adviser was reduced from an annual rate of 1.50% to an annual rate of 1.00% for the Company’s gross assets (as defined in the Amended Agreement) that exceed 200% of the Company’s total net assets as of the end of the immediately preceding quarter.</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It is important that your shares be represented at the Annual Meeting of Stockholders. If you are unable to attend the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 w:name="page3"/>
    <w:bookmarkEnd w:id="2"/>
    <w:p>
      <w:pPr>
        <w:ind w:left="37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2019</w:t>
      </w:r>
    </w:p>
    <w:p>
      <w:pPr>
        <w:spacing w:after="0" w:line="9"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December [●], 2018</w:t>
      </w:r>
    </w:p>
    <w:p>
      <w:pPr>
        <w:spacing w:after="0" w:line="234"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or the “Company”) that: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2019 Annual Meeting of Stockholders of the Company (the “Annual Meeting”) will be held at the offices of Dechert LLP, located at 1095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Americas, New York, New York, on February 5, 2019 at 9:30 a.m., Eastern Time, for the following purposes:</w:t>
      </w:r>
    </w:p>
    <w:p>
      <w:pPr>
        <w:spacing w:after="0" w:line="103" w:lineRule="exact"/>
        <w:rPr>
          <w:sz w:val="20"/>
          <w:szCs w:val="20"/>
          <w:color w:val="auto"/>
        </w:rPr>
      </w:pPr>
    </w:p>
    <w:p>
      <w:pPr>
        <w:ind w:left="1200" w:right="28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one director to the Board of Directors of the Company, who will serve until the 2022 annual meeting of stockholders and until his successor is duly elected and qualifies;</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 and</w:t>
      </w:r>
    </w:p>
    <w:p>
      <w:pPr>
        <w:spacing w:after="0" w:line="62" w:lineRule="exact"/>
        <w:rPr>
          <w:rFonts w:ascii="Arial" w:cs="Arial" w:eastAsia="Arial" w:hAnsi="Arial"/>
          <w:sz w:val="18"/>
          <w:szCs w:val="18"/>
          <w:color w:val="auto"/>
        </w:rPr>
      </w:pPr>
    </w:p>
    <w:p>
      <w:pPr>
        <w:ind w:left="1200" w:right="380" w:hanging="598"/>
        <w:spacing w:after="0" w:line="31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w:t>
      </w:r>
    </w:p>
    <w:p>
      <w:pPr>
        <w:spacing w:after="0" w:line="147" w:lineRule="exact"/>
        <w:rPr>
          <w:sz w:val="20"/>
          <w:szCs w:val="20"/>
          <w:color w:val="auto"/>
        </w:rPr>
      </w:pPr>
    </w:p>
    <w:p>
      <w:pPr>
        <w:ind w:right="640" w:firstLine="598"/>
        <w:spacing w:after="0" w:line="342"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the Company at the close of business on November 19, 2018. The Company is furnishing a Proxy Statement and proxy card to the Stockholders via the mail and on the Internet.</w:t>
      </w:r>
    </w:p>
    <w:p>
      <w:pPr>
        <w:spacing w:after="0" w:line="124"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Your vote is extremely important to us. If you are unable to attend the Annual Meeting, please sign the enclosed proxy card and return it promptly in the self-addressed envelope provided. Please refer to the voting instructions provided on your proxy card. You may also vote electronically by telephone or on the Internet by following the instructions included with your proxy card. In the event there are not sufficient votes for a quorum or to approve the Company’s proposals at the time of the Annual Meeting, the Annual Meeting may be adjourned in order to permit further solicitation of proxies by the Company.</w:t>
      </w:r>
    </w:p>
    <w:p>
      <w:pPr>
        <w:spacing w:after="0" w:line="15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47" w:lineRule="exact"/>
        <w:rPr>
          <w:sz w:val="20"/>
          <w:szCs w:val="20"/>
          <w:color w:val="auto"/>
        </w:rPr>
      </w:pPr>
    </w:p>
    <w:p>
      <w:pPr>
        <w:jc w:val="both"/>
        <w:ind w:left="120" w:right="140"/>
        <w:spacing w:after="0" w:line="261" w:lineRule="auto"/>
        <w:rPr>
          <w:sz w:val="20"/>
          <w:szCs w:val="20"/>
          <w:color w:val="auto"/>
        </w:rPr>
      </w:pPr>
      <w:r>
        <w:rPr>
          <w:rFonts w:ascii="Arial" w:cs="Arial" w:eastAsia="Arial" w:hAnsi="Arial"/>
          <w:sz w:val="18"/>
          <w:szCs w:val="18"/>
          <w:b w:val="1"/>
          <w:bCs w:val="1"/>
          <w:color w:val="auto"/>
        </w:rPr>
        <w:t>This is an important meeting. To ensure proper representation at the meeting, please complete, sign, date and return the proxy card in the enclosed self-addressed envelope or vote by telephone or through the Internet. Your vote is extremely important no matter how many or how few shares you own; please send in your proxy card today.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54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657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ind w:left="37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rFonts w:ascii="Arial" w:cs="Arial" w:eastAsia="Arial" w:hAnsi="Arial"/>
          <w:sz w:val="18"/>
          <w:szCs w:val="18"/>
          <w:b w:val="1"/>
          <w:bCs w:val="1"/>
          <w:color w:val="auto"/>
        </w:rPr>
      </w:pPr>
    </w:p>
    <w:p>
      <w:pPr>
        <w:ind w:left="5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5, 2019</w:t>
      </w:r>
    </w:p>
    <w:p>
      <w:pPr>
        <w:spacing w:after="0" w:line="211"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47"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PennantPark Investment Corporation (“PNNT,” the “Company,” “we,” “us” or “our”) for use at the Company’s 2019 Annual Meeting of Stockholders (the “Meeting”) to be held on Tuesday, February 5, 2019 at 9:30 a.m., Eastern Time, at the offices of Dechert LLP, located at 1095 Avenue of the Americas, New York, New York, and at any postponements or adjournments thereof. This Proxy Statement, the accompanying proxy card, Notice of Annual Meeting and the Company’s Annual Report for the fiscal year ended September 30, 2018 are being provided to the stockholders thereof (the “Stockholders”) of record as of November 19, 2018 (the “Record Date”) via mail and the Internet on or about December 10, 2018.</w:t>
      </w:r>
    </w:p>
    <w:p>
      <w:pPr>
        <w:spacing w:after="0" w:line="178"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131" w:lineRule="exact"/>
        <w:rPr>
          <w:sz w:val="20"/>
          <w:szCs w:val="20"/>
          <w:color w:val="auto"/>
        </w:rPr>
      </w:pPr>
    </w:p>
    <w:p>
      <w:pPr>
        <w:ind w:left="1220" w:right="180" w:hanging="618"/>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one director to the Board, who will serve until the 2022 annual meeting of stockholders and until his successor is duly elected and qualifies (“Proposal 1”);</w:t>
      </w:r>
    </w:p>
    <w:p>
      <w:pPr>
        <w:spacing w:after="0" w:line="62" w:lineRule="exact"/>
        <w:rPr>
          <w:rFonts w:ascii="Arial" w:cs="Arial" w:eastAsia="Arial" w:hAnsi="Arial"/>
          <w:sz w:val="18"/>
          <w:szCs w:val="18"/>
          <w:color w:val="auto"/>
        </w:rPr>
      </w:pPr>
    </w:p>
    <w:p>
      <w:pPr>
        <w:ind w:left="1180" w:right="200" w:hanging="578"/>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 (“Proposal 2”); and</w:t>
      </w:r>
    </w:p>
    <w:p>
      <w:pPr>
        <w:spacing w:after="0" w:line="75" w:lineRule="exact"/>
        <w:rPr>
          <w:rFonts w:ascii="Arial" w:cs="Arial" w:eastAsia="Arial" w:hAnsi="Arial"/>
          <w:sz w:val="18"/>
          <w:szCs w:val="18"/>
          <w:color w:val="auto"/>
        </w:rPr>
      </w:pPr>
    </w:p>
    <w:p>
      <w:pPr>
        <w:ind w:left="1180" w:right="20" w:hanging="57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 (“Proposal 3” or the “Asset Coverage Ratio Proposal”).</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November 19, 2018. There were 69,053,958 shares of the Company’s common stock (the “Common Stock”) outstanding on the Record Date. Stockholders are entitled to one vote for each share of Common Stock held.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right="40" w:firstLine="598"/>
        <w:spacing w:after="0" w:line="302"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at the Meeting. The presence at the Meeting, in person or by proxy, of the holders of a majority of the shares of Common Stock of the Company outstanding on the Record Date will constitute a quorum of the Company. Abstentions and Broker Non-Votes (as defined below) will be treated as shares present at the Meeting for quorum purposes. If there are not enough votes for a quorum of the Company, the chairman of the Meeting will adjourn the Meeting to permit the further solicitation of proxies.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election of a director to the Board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the Company, votes to withhold authority, as well as abstentions and Broker Non-Votes, will have the effect of a vote against the nominee.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RSM US LLP to serve as the Company’s independent registered public accounting firm. Abstentions will not be included in determining the number of votes cast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Asset Coverage Ratio Proposal</w:t>
      </w:r>
    </w:p>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The affirmative vote of a majority of the votes cast on Proposal 3 at the Meeting, in person or by proxy, is required to approve Proposal 3. Abstentions and Broker Non-Votes will not be included in determining the number of votes cast on the proposal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and Proposal 3 are non-routine matters. As a result, if you hold shares of the Company’s 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1or Proposal 3. If you do not vote or give your Broker specific instructions on how to vote for you, your shares will have the effect of a vote against Proposal 1. If you do not vote or give your Broker specific instructions as how to vote for you, your shares will have no effect on Proposal 3.</w:t>
      </w:r>
    </w:p>
    <w:p>
      <w:pPr>
        <w:spacing w:after="0" w:line="189" w:lineRule="exact"/>
        <w:rPr>
          <w:sz w:val="20"/>
          <w:szCs w:val="20"/>
          <w:color w:val="auto"/>
        </w:rPr>
      </w:pPr>
    </w:p>
    <w:p>
      <w:pPr>
        <w:ind w:right="20" w:firstLine="598"/>
        <w:spacing w:after="0" w:line="282" w:lineRule="auto"/>
        <w:rPr>
          <w:sz w:val="20"/>
          <w:szCs w:val="20"/>
          <w:color w:val="auto"/>
        </w:rPr>
      </w:pPr>
      <w:r>
        <w:rPr>
          <w:rFonts w:ascii="Arial" w:cs="Arial" w:eastAsia="Arial" w:hAnsi="Arial"/>
          <w:sz w:val="18"/>
          <w:szCs w:val="18"/>
          <w:b w:val="1"/>
          <w:bCs w:val="1"/>
          <w:color w:val="auto"/>
        </w:rPr>
        <w:t>For these reasons, it is imperative that Stockholders vote or provide instructions to their Brokers as to how to vote with respect to Proposal 1 and Proposal 3.</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 w:name="page6"/>
    <w:bookmarkEnd w:id="5"/>
    <w:p>
      <w:pPr>
        <w:ind w:right="380" w:firstLine="598"/>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printing and mailing this Proxy Statement, the accompanying Notice of Annual Meeting of Stockholders, Annual Report, and proxy card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93"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may combine any mailings for multiple accounts going to a single household, which is commonly referred to as “householding,” by delivering to that address this Proxy Statement, the accompanying Notice of Annual Meeting of Stockholders, Annual Report, and proxy card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Proxy Statement, the accompanying Notice of Annual Meeting of Stockholders, Annual Report, and proxy card or other communications, please notify your Broker. Stockholders who currently receive multiple copies of the Proxy Statement, the accompanying Notice of Annual Meeting of Stockholders, Annual Report, and proxy card or other communications at their addresses and would like to request "householding" of their communications should contact their Brokers.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transmission by directors or officers of the Company, officers or employees of PennantPark Investment Advisers, LLC, our investment adviser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“Adviser”), PennantPark Investment Administration, LLC, our administrator (the “Administrator”), and/or by a retained solicitor. No additional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paid to such directors, officers or regular employees for such services. If we retain a solicitor, we have estimated that we will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for such services. If we engage a solicitor, you could be contacted by telephone on behalf of the Company and be urged to vote. The solicitor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attempt to influence how you vote your shares, but will only ask that you take the time to cast a vote. You may also be asked if you would like to vote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telephone and to have your vote transmitted to our proxy tabulation firm. The address of each of the Adviser and the Administrator is 590 Madison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right="80" w:firstLine="598"/>
        <w:spacing w:after="0" w:line="297" w:lineRule="auto"/>
        <w:rPr>
          <w:sz w:val="20"/>
          <w:szCs w:val="20"/>
          <w:color w:val="auto"/>
        </w:rPr>
      </w:pPr>
      <w:r>
        <w:rPr>
          <w:rFonts w:ascii="Arial" w:cs="Arial" w:eastAsia="Arial" w:hAnsi="Arial"/>
          <w:sz w:val="16"/>
          <w:szCs w:val="16"/>
          <w:color w:val="auto"/>
        </w:rPr>
        <w:t xml:space="preserve">Stockholders may provide their voting instructions through the Internet, by telephone or by mail by following the instructions on the enclosed proxy card. These options require Stockholders to input the Control Number, which is provided with the enclosed proxy card.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5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enclosed proxy card.</w:t>
      </w:r>
    </w:p>
    <w:p>
      <w:pPr>
        <w:spacing w:after="0" w:line="170"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Company’s Secretary on any business day before the date of the Meeting.</w:t>
      </w:r>
    </w:p>
    <w:p>
      <w:pPr>
        <w:spacing w:after="0" w:line="188"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jc w:val="both"/>
        <w:ind w:right="340" w:firstLine="598"/>
        <w:spacing w:after="0" w:line="264" w:lineRule="auto"/>
        <w:rPr>
          <w:sz w:val="20"/>
          <w:szCs w:val="20"/>
          <w:color w:val="auto"/>
        </w:rPr>
      </w:pPr>
      <w:r>
        <w:rPr>
          <w:rFonts w:ascii="Arial" w:cs="Arial" w:eastAsia="Arial" w:hAnsi="Arial"/>
          <w:sz w:val="18"/>
          <w:szCs w:val="18"/>
          <w:color w:val="auto"/>
        </w:rPr>
        <w:t>The following table sets forth, as of November 30, 2018,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Owned</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4"/>
        </w:trPr>
        <w:tc>
          <w:tcPr>
            <w:tcW w:w="6500" w:type="dxa"/>
            <w:vAlign w:val="bottom"/>
            <w:gridSpan w:val="3"/>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8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bottom w:val="single" w:sz="8" w:color="CFF0FC"/>
            </w:tcBorders>
          </w:tcPr>
          <w:p>
            <w:pPr>
              <w:spacing w:after="0" w:line="20" w:lineRule="exact"/>
              <w:rPr>
                <w:sz w:val="1"/>
                <w:szCs w:val="1"/>
                <w:color w:val="auto"/>
              </w:rPr>
            </w:pPr>
          </w:p>
        </w:tc>
        <w:tc>
          <w:tcPr>
            <w:tcW w:w="5220" w:type="dxa"/>
            <w:vAlign w:val="bottom"/>
            <w:tcBorders>
              <w:bottom w:val="single" w:sz="8" w:color="CFF0FC"/>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Adam K. Bernstein</w:t>
            </w:r>
          </w:p>
        </w:tc>
        <w:tc>
          <w:tcPr>
            <w:tcW w:w="2460" w:type="dxa"/>
            <w:vAlign w:val="bottom"/>
            <w:gridSpan w:val="2"/>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Pr>
          <w:p>
            <w:pPr>
              <w:jc w:val="right"/>
              <w:spacing w:after="0"/>
              <w:rPr>
                <w:sz w:val="20"/>
                <w:szCs w:val="20"/>
                <w:color w:val="auto"/>
              </w:rPr>
            </w:pPr>
            <w:r>
              <w:rPr>
                <w:rFonts w:ascii="Arial" w:cs="Arial" w:eastAsia="Arial" w:hAnsi="Arial"/>
                <w:sz w:val="18"/>
                <w:szCs w:val="18"/>
                <w:color w:val="auto"/>
              </w:rPr>
              <w:t>46,430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Jeffrey Flug</w:t>
            </w:r>
          </w:p>
        </w:tc>
        <w:tc>
          <w:tcPr>
            <w:tcW w:w="2460" w:type="dxa"/>
            <w:vAlign w:val="bottom"/>
            <w:gridSpan w:val="2"/>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Pr>
          <w:p>
            <w:pPr>
              <w:jc w:val="right"/>
              <w:spacing w:after="0"/>
              <w:rPr>
                <w:sz w:val="20"/>
                <w:szCs w:val="20"/>
                <w:color w:val="auto"/>
              </w:rPr>
            </w:pPr>
            <w:r>
              <w:rPr>
                <w:rFonts w:ascii="Arial" w:cs="Arial" w:eastAsia="Arial" w:hAnsi="Arial"/>
                <w:sz w:val="18"/>
                <w:szCs w:val="18"/>
                <w:color w:val="auto"/>
              </w:rPr>
              <w:t>320,560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844,333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Aviv Efrat</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650,923 shares held by the Adviser.</w:t>
      </w:r>
    </w:p>
    <w:p>
      <w:pPr>
        <w:spacing w:after="0" w:line="20" w:lineRule="exact"/>
        <w:rPr>
          <w:rFonts w:ascii="Arial" w:cs="Arial" w:eastAsia="Arial" w:hAnsi="Arial"/>
          <w:sz w:val="17"/>
          <w:szCs w:val="17"/>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Pursuant to Section 16(a) of the Securities Exchange Act of 1934, as amended (the “Exchange Act”), the Company’s directors and other executive officer and any persons holding more than 10% of the Company’s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other executive officer, the Company believes that, during the fiscal year ended September 30, 2018, all Section 16(a) filing requirements applicable to such persons were met in a timely manner.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November 30, 2018. Information as to beneficial ownership is based on information furnished to the Company by such persons. For purposes of this proxy statement, the term “Fund Complex” is defined to include the Company and PennantPark Floating Rate Capital, Ltd. (“PFLT”).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Dollar Range of the Common</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of the Company</w:t>
            </w:r>
          </w:p>
        </w:tc>
        <w:tc>
          <w:tcPr>
            <w:tcW w:w="2480" w:type="dxa"/>
            <w:vAlign w:val="bottom"/>
            <w:vMerge w:val="restart"/>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the Common Stock</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3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Stock of the Company</w:t>
            </w:r>
            <w:r>
              <w:rPr>
                <w:rFonts w:ascii="Arial" w:cs="Arial" w:eastAsia="Arial" w:hAnsi="Arial"/>
                <w:sz w:val="12"/>
                <w:szCs w:val="12"/>
                <w:b w:val="1"/>
                <w:bCs w:val="1"/>
                <w:color w:val="auto"/>
                <w:w w:val="93"/>
              </w:rPr>
              <w:t>(1)</w:t>
            </w:r>
          </w:p>
        </w:tc>
        <w:tc>
          <w:tcPr>
            <w:tcW w:w="3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Adam K. Bernstein</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18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Marshall Brozost</w:t>
            </w:r>
          </w:p>
        </w:tc>
        <w:tc>
          <w:tcPr>
            <w:tcW w:w="2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180" w:type="dxa"/>
            <w:vAlign w:val="bottom"/>
            <w:shd w:val="clear" w:color="auto" w:fill="CFF0FC"/>
          </w:tcPr>
          <w:p>
            <w:pPr>
              <w:spacing w:after="0"/>
              <w:rPr>
                <w:sz w:val="19"/>
                <w:szCs w:val="19"/>
                <w:color w:val="auto"/>
              </w:rPr>
            </w:pP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Jeffrey Flug</w:t>
            </w:r>
          </w:p>
        </w:tc>
        <w:tc>
          <w:tcPr>
            <w:tcW w:w="3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Samuel L. Katz</w:t>
            </w:r>
          </w:p>
        </w:tc>
        <w:tc>
          <w:tcPr>
            <w:tcW w:w="30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0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 II and III directors will expire in 2020, 2021 and 2022, respectively. Each director will hold office for the term to which he is elected and until a successor is duly elected and qualifies.</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 Stockholder can vote for, or withhold his or her vote from, the nominee named below. In the absence of instructions to the contrary, it is the intention of the person named as proxy to vote such proxy FOR the election of the nominee named below. If the nominee should decline or be unable to serve as a director, it is intended that the proxy will be voted for the election of such person as is nominated by the Board as a replacement. The Board has no reason to believe that the nominee will be unable or unwilling to serve.</w:t>
      </w:r>
    </w:p>
    <w:p>
      <w:pPr>
        <w:spacing w:after="0" w:line="183" w:lineRule="exact"/>
        <w:rPr>
          <w:sz w:val="20"/>
          <w:szCs w:val="20"/>
          <w:color w:val="auto"/>
        </w:rPr>
      </w:pPr>
    </w:p>
    <w:p>
      <w:pPr>
        <w:ind w:right="500" w:firstLine="598"/>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 NAMED IN THIS PROXY STATEMENT.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the Nominee and Directors</w:t>
      </w:r>
    </w:p>
    <w:p>
      <w:pPr>
        <w:spacing w:after="0" w:line="225"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Certain information with respect to the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currently serves as a director of the Company.</w:t>
      </w:r>
    </w:p>
    <w:p>
      <w:pPr>
        <w:spacing w:after="0" w:line="14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Mr. Arthur H. Penn has been nominated for election as a Class III director of the Company for a three-year term expiring in 2022. Mr. Penn is not being proposed for election pursuant to any agreement or understanding between Mr. Penn and the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9" w:name="page10"/>
    <w:bookmarkEnd w:id="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60" w:type="dxa"/>
            <w:vAlign w:val="bottom"/>
          </w:tcPr>
          <w:p>
            <w:pPr>
              <w:spacing w:after="0"/>
              <w:rPr>
                <w:sz w:val="14"/>
                <w:szCs w:val="14"/>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Position(s) held</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 of Office and</w:t>
            </w:r>
          </w:p>
        </w:tc>
        <w:tc>
          <w:tcPr>
            <w:tcW w:w="6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6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Length of Time</w:t>
            </w:r>
          </w:p>
        </w:tc>
        <w:tc>
          <w:tcPr>
            <w:tcW w:w="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with Company</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6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Past 5 Years</w:t>
            </w:r>
          </w:p>
        </w:tc>
        <w:tc>
          <w:tcPr>
            <w:tcW w:w="0" w:type="dxa"/>
            <w:vAlign w:val="bottom"/>
          </w:tcPr>
          <w:p>
            <w:pPr>
              <w:spacing w:after="0"/>
              <w:rPr>
                <w:sz w:val="1"/>
                <w:szCs w:val="1"/>
                <w:color w:val="auto"/>
              </w:rPr>
            </w:pPr>
          </w:p>
        </w:tc>
      </w:tr>
      <w:tr>
        <w:trPr>
          <w:trHeight w:val="341"/>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Independent Directors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Adam K. Bernstein (55)</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88"/>
              </w:rPr>
              <w:t>President of The Bernstein Companies,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 Washington, D.C.-based real estate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investment and development firm,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7"/>
              </w:rPr>
              <w:t>since 1995 and President and Chief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2021</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Executive Officer of Consortium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9"/>
              </w:rPr>
              <w:t>Atlantic Realty Trust, Inc., a private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88"/>
              </w:rPr>
              <w:t>real estate investment trust operating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the Mid-Atlantic region, from 2006.</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Also, Mr. Bernstein has served on the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Board of Overseers of the School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Arts and Sciences at the University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Pennsylvania since 2012.</w:t>
            </w: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Marshall Brozost (51)</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Partner at Orrick, Herrington &amp;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8"/>
              </w:rPr>
              <w:t>Sutcliffe LLP, where he practices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the real estate and private equity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groups, since July 2016. Prior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2020</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Orrick, Herrington &amp; Sutcliffe LLP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Mr. Brozost practiced law at Schulte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Roth &amp; Zabel from May 2012 to July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8"/>
              </w:rPr>
              <w:t>2016 and at Dewey &amp; LeBoeuf LLP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from 2005 to 2012.</w:t>
            </w: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Jeffrey Flug (56)</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Mr. Flug was President of Union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Square Hospitality Group, 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7"/>
              </w:rPr>
              <w:t>exclusive chain of restaurants,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0"/>
              </w:rPr>
              <w:t>2009 to June 2015. Mr. Flug served as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2021</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Chief Executive Officer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Executive Director of Millennium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Promise Alliance, Inc., a non-profit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organization whose mission is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eradicate extreme global poverty,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from 2006 to 2008. From 2000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2006, Mr. Flug was a Managing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3"/>
              </w:rPr>
              <w:t>Director and Head of North American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Institutional Sales at JP Morgan’s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Investment Bank.</w:t>
            </w: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gridSpan w:val="2"/>
          </w:tcPr>
          <w:p>
            <w:pPr>
              <w:jc w:val="right"/>
              <w:ind w:right="176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Companies in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Fund Complex Overseen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Director of Shake</w:t>
      </w:r>
    </w:p>
    <w:p>
      <w:pPr>
        <w:spacing w:after="0" w:line="34"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Shack Inc., since</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September 2014;</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Sears Hometown and</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Outlet Stores, Inc.,</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from October 2012 to</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September 2015.</w:t>
      </w:r>
    </w:p>
    <w:p>
      <w:pPr>
        <w:sectPr>
          <w:pgSz w:w="11900" w:h="16838" w:orient="portrait"/>
          <w:cols w:equalWidth="0" w:num="2">
            <w:col w:w="7600" w:space="60"/>
            <w:col w:w="3760"/>
          </w:cols>
          <w:pgMar w:left="240" w:top="1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Company,</w:t>
            </w: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 Companies in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Position(s) held</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Term of Office and</w:t>
            </w:r>
          </w:p>
        </w:tc>
        <w:tc>
          <w:tcPr>
            <w:tcW w:w="27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8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Length of Time</w:t>
            </w:r>
          </w:p>
        </w:tc>
        <w:tc>
          <w:tcPr>
            <w:tcW w:w="2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Fund Complex Overseen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with Company</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Past 5 Years</w:t>
            </w:r>
          </w:p>
        </w:tc>
        <w:tc>
          <w:tcPr>
            <w:tcW w:w="6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by Director</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13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Samuel L. Katz (53)</w:t>
            </w:r>
          </w:p>
        </w:tc>
        <w:tc>
          <w:tcPr>
            <w:tcW w:w="1600" w:type="dxa"/>
            <w:vAlign w:val="bottom"/>
          </w:tcPr>
          <w:p>
            <w:pPr>
              <w:ind w:left="380"/>
              <w:spacing w:after="0"/>
              <w:rPr>
                <w:sz w:val="20"/>
                <w:szCs w:val="20"/>
                <w:color w:val="auto"/>
              </w:rPr>
            </w:pPr>
            <w:r>
              <w:rPr>
                <w:rFonts w:ascii="Arial" w:cs="Arial" w:eastAsia="Arial" w:hAnsi="Arial"/>
                <w:sz w:val="17"/>
                <w:szCs w:val="17"/>
                <w:color w:val="auto"/>
              </w:rPr>
              <w:t>Director</w:t>
            </w:r>
          </w:p>
        </w:tc>
        <w:tc>
          <w:tcPr>
            <w:tcW w:w="1380" w:type="dxa"/>
            <w:vAlign w:val="bottom"/>
          </w:tcPr>
          <w:p>
            <w:pPr>
              <w:ind w:left="140"/>
              <w:spacing w:after="0"/>
              <w:rPr>
                <w:sz w:val="20"/>
                <w:szCs w:val="20"/>
                <w:color w:val="auto"/>
              </w:rPr>
            </w:pPr>
            <w:r>
              <w:rPr>
                <w:rFonts w:ascii="Arial" w:cs="Arial" w:eastAsia="Arial" w:hAnsi="Arial"/>
                <w:sz w:val="17"/>
                <w:szCs w:val="17"/>
                <w:color w:val="auto"/>
              </w:rPr>
              <w:t>PNNT - Class I</w:t>
            </w:r>
          </w:p>
        </w:tc>
        <w:tc>
          <w:tcPr>
            <w:tcW w:w="3180" w:type="dxa"/>
            <w:vAlign w:val="bottom"/>
          </w:tcPr>
          <w:p>
            <w:pPr>
              <w:ind w:left="60"/>
              <w:spacing w:after="0"/>
              <w:rPr>
                <w:sz w:val="20"/>
                <w:szCs w:val="20"/>
                <w:color w:val="auto"/>
              </w:rPr>
            </w:pPr>
            <w:r>
              <w:rPr>
                <w:rFonts w:ascii="Arial" w:cs="Arial" w:eastAsia="Arial" w:hAnsi="Arial"/>
                <w:sz w:val="17"/>
                <w:szCs w:val="17"/>
                <w:color w:val="auto"/>
              </w:rPr>
              <w:t>Managing Partner of TZP Group</w:t>
            </w:r>
          </w:p>
        </w:tc>
        <w:tc>
          <w:tcPr>
            <w:tcW w:w="800" w:type="dxa"/>
            <w:vAlign w:val="bottom"/>
          </w:tcPr>
          <w:p>
            <w:pPr>
              <w:ind w:left="500"/>
              <w:spacing w:after="0"/>
              <w:rPr>
                <w:sz w:val="20"/>
                <w:szCs w:val="20"/>
                <w:color w:val="auto"/>
              </w:rPr>
            </w:pPr>
            <w:r>
              <w:rPr>
                <w:rFonts w:ascii="Arial" w:cs="Arial" w:eastAsia="Arial" w:hAnsi="Arial"/>
                <w:sz w:val="17"/>
                <w:szCs w:val="17"/>
                <w:color w:val="auto"/>
                <w:w w:val="87"/>
              </w:rPr>
              <w:t>Two</w:t>
            </w: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Director since</w:t>
            </w:r>
          </w:p>
        </w:tc>
        <w:tc>
          <w:tcPr>
            <w:tcW w:w="3180" w:type="dxa"/>
            <w:vAlign w:val="bottom"/>
          </w:tcPr>
          <w:p>
            <w:pPr>
              <w:ind w:left="60"/>
              <w:spacing w:after="0"/>
              <w:rPr>
                <w:sz w:val="20"/>
                <w:szCs w:val="20"/>
                <w:color w:val="auto"/>
              </w:rPr>
            </w:pPr>
            <w:r>
              <w:rPr>
                <w:rFonts w:ascii="Arial" w:cs="Arial" w:eastAsia="Arial" w:hAnsi="Arial"/>
                <w:sz w:val="17"/>
                <w:szCs w:val="17"/>
                <w:color w:val="auto"/>
              </w:rPr>
              <w:t>LLC, a private equity fund, since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February 2007;</w:t>
            </w:r>
          </w:p>
        </w:tc>
        <w:tc>
          <w:tcPr>
            <w:tcW w:w="3180" w:type="dxa"/>
            <w:vAlign w:val="bottom"/>
          </w:tcPr>
          <w:p>
            <w:pPr>
              <w:ind w:left="60"/>
              <w:spacing w:after="0"/>
              <w:rPr>
                <w:sz w:val="20"/>
                <w:szCs w:val="20"/>
                <w:color w:val="auto"/>
              </w:rPr>
            </w:pPr>
            <w:r>
              <w:rPr>
                <w:rFonts w:ascii="Arial" w:cs="Arial" w:eastAsia="Arial" w:hAnsi="Arial"/>
                <w:sz w:val="17"/>
                <w:szCs w:val="17"/>
                <w:color w:val="auto"/>
              </w:rPr>
              <w:t>2007. Before joining TZP Group, Mr.</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Term Expires</w:t>
            </w:r>
          </w:p>
        </w:tc>
        <w:tc>
          <w:tcPr>
            <w:tcW w:w="3180" w:type="dxa"/>
            <w:vAlign w:val="bottom"/>
          </w:tcPr>
          <w:p>
            <w:pPr>
              <w:ind w:left="60"/>
              <w:spacing w:after="0"/>
              <w:rPr>
                <w:sz w:val="20"/>
                <w:szCs w:val="20"/>
                <w:color w:val="auto"/>
              </w:rPr>
            </w:pPr>
            <w:r>
              <w:rPr>
                <w:rFonts w:ascii="Arial" w:cs="Arial" w:eastAsia="Arial" w:hAnsi="Arial"/>
                <w:sz w:val="17"/>
                <w:szCs w:val="17"/>
                <w:color w:val="auto"/>
              </w:rPr>
              <w:t>Katz was Chief Executive Officer of</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2020</w:t>
            </w:r>
          </w:p>
        </w:tc>
        <w:tc>
          <w:tcPr>
            <w:tcW w:w="3180" w:type="dxa"/>
            <w:vAlign w:val="bottom"/>
          </w:tcPr>
          <w:p>
            <w:pPr>
              <w:ind w:left="60"/>
              <w:spacing w:after="0"/>
              <w:rPr>
                <w:sz w:val="20"/>
                <w:szCs w:val="20"/>
                <w:color w:val="auto"/>
              </w:rPr>
            </w:pPr>
            <w:r>
              <w:rPr>
                <w:rFonts w:ascii="Arial" w:cs="Arial" w:eastAsia="Arial" w:hAnsi="Arial"/>
                <w:sz w:val="17"/>
                <w:szCs w:val="17"/>
                <w:color w:val="auto"/>
              </w:rPr>
              <w:t>MacAndrews &amp; Forbes Acquisition</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Holdings, Inc. from 2006 to 2007.</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Prior to that position, Mr. Katz was</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Chairman and Chief Executive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Officer of the Cendant Travel</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Distribution Services Division from</w:t>
            </w:r>
          </w:p>
        </w:tc>
        <w:tc>
          <w:tcPr>
            <w:tcW w:w="8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2001 to 2005.</w:t>
            </w:r>
          </w:p>
        </w:tc>
        <w:tc>
          <w:tcPr>
            <w:tcW w:w="800" w:type="dxa"/>
            <w:vAlign w:val="bottom"/>
          </w:tcPr>
          <w:p>
            <w:pPr>
              <w:spacing w:after="0"/>
              <w:rPr>
                <w:sz w:val="18"/>
                <w:szCs w:val="18"/>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7"/>
                <w:szCs w:val="17"/>
                <w:b w:val="1"/>
                <w:bCs w:val="1"/>
                <w:color w:val="auto"/>
              </w:rPr>
              <w:t>Interested Director</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7"/>
        </w:trPr>
        <w:tc>
          <w:tcPr>
            <w:tcW w:w="1920" w:type="dxa"/>
            <w:vAlign w:val="bottom"/>
          </w:tcPr>
          <w:p>
            <w:pPr>
              <w:spacing w:after="0"/>
              <w:rPr>
                <w:sz w:val="20"/>
                <w:szCs w:val="20"/>
                <w:color w:val="auto"/>
              </w:rPr>
            </w:pPr>
            <w:r>
              <w:rPr>
                <w:rFonts w:ascii="Arial" w:cs="Arial" w:eastAsia="Arial" w:hAnsi="Arial"/>
                <w:sz w:val="17"/>
                <w:szCs w:val="17"/>
                <w:color w:val="auto"/>
              </w:rPr>
              <w:t>Arthur H. Penn (55)</w:t>
            </w:r>
            <w:r>
              <w:rPr>
                <w:rFonts w:ascii="Arial" w:cs="Arial" w:eastAsia="Arial" w:hAnsi="Arial"/>
                <w:sz w:val="14"/>
                <w:szCs w:val="14"/>
                <w:color w:val="auto"/>
              </w:rPr>
              <w:t>(3)</w:t>
            </w:r>
          </w:p>
        </w:tc>
        <w:tc>
          <w:tcPr>
            <w:tcW w:w="1600" w:type="dxa"/>
            <w:vAlign w:val="bottom"/>
          </w:tcPr>
          <w:p>
            <w:pPr>
              <w:ind w:left="380"/>
              <w:spacing w:after="0"/>
              <w:rPr>
                <w:sz w:val="20"/>
                <w:szCs w:val="20"/>
                <w:color w:val="auto"/>
              </w:rPr>
            </w:pPr>
            <w:r>
              <w:rPr>
                <w:rFonts w:ascii="Arial" w:cs="Arial" w:eastAsia="Arial" w:hAnsi="Arial"/>
                <w:sz w:val="17"/>
                <w:szCs w:val="17"/>
                <w:color w:val="auto"/>
              </w:rPr>
              <w:t>Director</w:t>
            </w:r>
          </w:p>
        </w:tc>
        <w:tc>
          <w:tcPr>
            <w:tcW w:w="1380" w:type="dxa"/>
            <w:vAlign w:val="bottom"/>
          </w:tcPr>
          <w:p>
            <w:pPr>
              <w:ind w:left="140"/>
              <w:spacing w:after="0"/>
              <w:rPr>
                <w:sz w:val="20"/>
                <w:szCs w:val="20"/>
                <w:color w:val="auto"/>
              </w:rPr>
            </w:pPr>
            <w:r>
              <w:rPr>
                <w:rFonts w:ascii="Arial" w:cs="Arial" w:eastAsia="Arial" w:hAnsi="Arial"/>
                <w:sz w:val="17"/>
                <w:szCs w:val="17"/>
                <w:color w:val="auto"/>
                <w:w w:val="99"/>
              </w:rPr>
              <w:t>PNNT - Class III</w:t>
            </w:r>
          </w:p>
        </w:tc>
        <w:tc>
          <w:tcPr>
            <w:tcW w:w="3180" w:type="dxa"/>
            <w:vAlign w:val="bottom"/>
          </w:tcPr>
          <w:p>
            <w:pPr>
              <w:ind w:left="60"/>
              <w:spacing w:after="0"/>
              <w:rPr>
                <w:sz w:val="20"/>
                <w:szCs w:val="20"/>
                <w:color w:val="auto"/>
              </w:rPr>
            </w:pPr>
            <w:r>
              <w:rPr>
                <w:rFonts w:ascii="Arial" w:cs="Arial" w:eastAsia="Arial" w:hAnsi="Arial"/>
                <w:sz w:val="17"/>
                <w:szCs w:val="17"/>
                <w:color w:val="auto"/>
              </w:rPr>
              <w:t>Founder, Chairman and Chief</w:t>
            </w:r>
          </w:p>
        </w:tc>
        <w:tc>
          <w:tcPr>
            <w:tcW w:w="800" w:type="dxa"/>
            <w:vAlign w:val="bottom"/>
          </w:tcPr>
          <w:p>
            <w:pPr>
              <w:ind w:left="500"/>
              <w:spacing w:after="0"/>
              <w:rPr>
                <w:sz w:val="20"/>
                <w:szCs w:val="20"/>
                <w:color w:val="auto"/>
              </w:rPr>
            </w:pPr>
            <w:r>
              <w:rPr>
                <w:rFonts w:ascii="Arial" w:cs="Arial" w:eastAsia="Arial" w:hAnsi="Arial"/>
                <w:sz w:val="17"/>
                <w:szCs w:val="17"/>
                <w:color w:val="auto"/>
                <w:w w:val="87"/>
              </w:rPr>
              <w:t>Two</w:t>
            </w: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Nominee</w:t>
            </w:r>
          </w:p>
        </w:tc>
        <w:tc>
          <w:tcPr>
            <w:tcW w:w="1380" w:type="dxa"/>
            <w:vAlign w:val="bottom"/>
          </w:tcPr>
          <w:p>
            <w:pPr>
              <w:ind w:left="140"/>
              <w:spacing w:after="0"/>
              <w:rPr>
                <w:sz w:val="20"/>
                <w:szCs w:val="20"/>
                <w:color w:val="auto"/>
              </w:rPr>
            </w:pPr>
            <w:r>
              <w:rPr>
                <w:rFonts w:ascii="Arial" w:cs="Arial" w:eastAsia="Arial" w:hAnsi="Arial"/>
                <w:sz w:val="17"/>
                <w:szCs w:val="17"/>
                <w:color w:val="auto"/>
              </w:rPr>
              <w:t>Director since</w:t>
            </w:r>
          </w:p>
        </w:tc>
        <w:tc>
          <w:tcPr>
            <w:tcW w:w="3180" w:type="dxa"/>
            <w:vAlign w:val="bottom"/>
          </w:tcPr>
          <w:p>
            <w:pPr>
              <w:ind w:left="60"/>
              <w:spacing w:after="0"/>
              <w:rPr>
                <w:sz w:val="20"/>
                <w:szCs w:val="20"/>
                <w:color w:val="auto"/>
              </w:rPr>
            </w:pPr>
            <w:r>
              <w:rPr>
                <w:rFonts w:ascii="Arial" w:cs="Arial" w:eastAsia="Arial" w:hAnsi="Arial"/>
                <w:sz w:val="17"/>
                <w:szCs w:val="17"/>
                <w:color w:val="auto"/>
              </w:rPr>
              <w:t>Executive Officer of the Company</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February 2007;</w:t>
            </w:r>
          </w:p>
        </w:tc>
        <w:tc>
          <w:tcPr>
            <w:tcW w:w="3180" w:type="dxa"/>
            <w:vAlign w:val="bottom"/>
          </w:tcPr>
          <w:p>
            <w:pPr>
              <w:ind w:left="60"/>
              <w:spacing w:after="0"/>
              <w:rPr>
                <w:sz w:val="20"/>
                <w:szCs w:val="20"/>
                <w:color w:val="auto"/>
              </w:rPr>
            </w:pPr>
            <w:r>
              <w:rPr>
                <w:rFonts w:ascii="Arial" w:cs="Arial" w:eastAsia="Arial" w:hAnsi="Arial"/>
                <w:sz w:val="17"/>
                <w:szCs w:val="17"/>
                <w:color w:val="auto"/>
              </w:rPr>
              <w:t>from its inception in 2007. Mr. Penn</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Chief Executive</w:t>
            </w:r>
          </w:p>
        </w:tc>
        <w:tc>
          <w:tcPr>
            <w:tcW w:w="1380" w:type="dxa"/>
            <w:vAlign w:val="bottom"/>
          </w:tcPr>
          <w:p>
            <w:pPr>
              <w:ind w:left="140"/>
              <w:spacing w:after="0"/>
              <w:rPr>
                <w:sz w:val="20"/>
                <w:szCs w:val="20"/>
                <w:color w:val="auto"/>
              </w:rPr>
            </w:pPr>
            <w:r>
              <w:rPr>
                <w:rFonts w:ascii="Arial" w:cs="Arial" w:eastAsia="Arial" w:hAnsi="Arial"/>
                <w:sz w:val="17"/>
                <w:szCs w:val="17"/>
                <w:color w:val="auto"/>
              </w:rPr>
              <w:t>Term Expires, if</w:t>
            </w:r>
          </w:p>
        </w:tc>
        <w:tc>
          <w:tcPr>
            <w:tcW w:w="3180" w:type="dxa"/>
            <w:vAlign w:val="bottom"/>
          </w:tcPr>
          <w:p>
            <w:pPr>
              <w:ind w:left="60"/>
              <w:spacing w:after="0"/>
              <w:rPr>
                <w:sz w:val="20"/>
                <w:szCs w:val="20"/>
                <w:color w:val="auto"/>
              </w:rPr>
            </w:pPr>
            <w:r>
              <w:rPr>
                <w:rFonts w:ascii="Arial" w:cs="Arial" w:eastAsia="Arial" w:hAnsi="Arial"/>
                <w:sz w:val="17"/>
                <w:szCs w:val="17"/>
                <w:color w:val="auto"/>
              </w:rPr>
              <w:t>also is the Founder and Managing</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Officer and</w:t>
            </w:r>
          </w:p>
        </w:tc>
        <w:tc>
          <w:tcPr>
            <w:tcW w:w="1380" w:type="dxa"/>
            <w:vAlign w:val="bottom"/>
          </w:tcPr>
          <w:p>
            <w:pPr>
              <w:ind w:left="140"/>
              <w:spacing w:after="0"/>
              <w:rPr>
                <w:sz w:val="20"/>
                <w:szCs w:val="20"/>
                <w:color w:val="auto"/>
              </w:rPr>
            </w:pPr>
            <w:r>
              <w:rPr>
                <w:rFonts w:ascii="Arial" w:cs="Arial" w:eastAsia="Arial" w:hAnsi="Arial"/>
                <w:sz w:val="17"/>
                <w:szCs w:val="17"/>
                <w:color w:val="auto"/>
              </w:rPr>
              <w:t>elected, 2022</w:t>
            </w:r>
          </w:p>
        </w:tc>
        <w:tc>
          <w:tcPr>
            <w:tcW w:w="3180" w:type="dxa"/>
            <w:vAlign w:val="bottom"/>
          </w:tcPr>
          <w:p>
            <w:pPr>
              <w:ind w:left="60"/>
              <w:spacing w:after="0"/>
              <w:rPr>
                <w:sz w:val="20"/>
                <w:szCs w:val="20"/>
                <w:color w:val="auto"/>
              </w:rPr>
            </w:pPr>
            <w:r>
              <w:rPr>
                <w:rFonts w:ascii="Arial" w:cs="Arial" w:eastAsia="Arial" w:hAnsi="Arial"/>
                <w:sz w:val="17"/>
                <w:szCs w:val="17"/>
                <w:color w:val="auto"/>
              </w:rPr>
              <w:t>Member of the Adviser. Before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w w:val="99"/>
              </w:rPr>
              <w:t>Chairman of the</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founding the Company, Mr. Penn was</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Board of</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the Co-Founder of Apollo Investment</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Directors</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Management, where he was a</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Managing Partner from 2004 to 2006.</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He also served as Chief Operating</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Officer of Apollo Investment</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Corporation from inception in 2004 to</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2006 and served as President and</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Chief Operating Officer in 2006. He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formerly was a Managing Partner of</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Apollo Value Fund L.P. (formerly</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Apollo Distressed Investment Fund,</w:t>
            </w:r>
          </w:p>
        </w:tc>
        <w:tc>
          <w:tcPr>
            <w:tcW w:w="8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L.P.) from 2003 to 2006.</w:t>
            </w:r>
          </w:p>
        </w:tc>
        <w:tc>
          <w:tcPr>
            <w:tcW w:w="800" w:type="dxa"/>
            <w:vAlign w:val="bottom"/>
          </w:tcPr>
          <w:p>
            <w:pPr>
              <w:spacing w:after="0"/>
              <w:rPr>
                <w:sz w:val="18"/>
                <w:szCs w:val="18"/>
                <w:color w:val="auto"/>
              </w:rPr>
            </w:pPr>
          </w:p>
        </w:tc>
      </w:tr>
    </w:tbl>
    <w:p>
      <w:pPr>
        <w:spacing w:after="0" w:line="23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2">
            <w:col w:w="9760" w:space="720"/>
            <w:col w:w="940"/>
          </w:cols>
          <w:pgMar w:left="240" w:top="131"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1"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80"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 w:name="page13"/>
    <w:bookmarkEnd w:id="12"/>
    <w:p>
      <w:pPr>
        <w:ind w:right="80" w:firstLine="598"/>
        <w:spacing w:after="0" w:line="293"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6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Board has established an Audit Committee, a Nominating and Corporate Governance Committee and a Compensation Committee. For the fiscal year ended September 30, 2018,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its quarterly report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8"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6"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adopted a formal policy with regard to the consideration of diversity in identifying individuals for election as members of the Board, but the Nominating and Corporate Governance Committee will consider such factors as they may deem are in the best interests of the Company and its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60" w:firstLine="598"/>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Position(s) held</w:t>
            </w:r>
          </w:p>
        </w:tc>
        <w:tc>
          <w:tcPr>
            <w:tcW w:w="68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with the Company</w:t>
            </w:r>
          </w:p>
        </w:tc>
        <w:tc>
          <w:tcPr>
            <w:tcW w:w="6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Aviv Efrat (54)</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Chief Financial Officer and Treasurer of the Company and PFLT from their inception in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Treasurer</w:t>
            </w:r>
          </w:p>
        </w:tc>
        <w:tc>
          <w:tcPr>
            <w:tcW w:w="6800" w:type="dxa"/>
            <w:vAlign w:val="bottom"/>
          </w:tcPr>
          <w:p>
            <w:pPr>
              <w:spacing w:after="0"/>
              <w:rPr>
                <w:sz w:val="20"/>
                <w:szCs w:val="20"/>
                <w:color w:val="auto"/>
              </w:rPr>
            </w:pPr>
            <w:r>
              <w:rPr>
                <w:rFonts w:ascii="Arial" w:cs="Arial" w:eastAsia="Arial" w:hAnsi="Arial"/>
                <w:sz w:val="18"/>
                <w:szCs w:val="18"/>
                <w:color w:val="auto"/>
                <w:w w:val="94"/>
              </w:rPr>
              <w:t>and 2010, respectively. Managing Director of the Administrator from inception in 2007.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6"/>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8"/>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Certified Public Accountants.</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30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8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30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(63)</w:t>
            </w:r>
          </w:p>
        </w:tc>
        <w:tc>
          <w:tcPr>
            <w:tcW w:w="100" w:type="dxa"/>
            <w:vAlign w:val="bottom"/>
          </w:tcPr>
          <w:p>
            <w:pPr>
              <w:spacing w:after="0"/>
              <w:rPr>
                <w:sz w:val="16"/>
                <w:szCs w:val="16"/>
                <w:color w:val="auto"/>
              </w:rPr>
            </w:pPr>
          </w:p>
        </w:tc>
        <w:tc>
          <w:tcPr>
            <w:tcW w:w="23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investment advisers, private funds and investment companies from 2004 when he founded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620" w:right="2380" w:hanging="5612"/>
        <w:spacing w:after="0" w:line="528" w:lineRule="auto"/>
        <w:tabs>
          <w:tab w:leader="none" w:pos="5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840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i w:val="1"/>
          <w:iCs w:val="1"/>
          <w:color w:val="auto"/>
        </w:rPr>
        <w:t>Code of Conduct and Joint Code of Ethics</w:t>
      </w:r>
    </w:p>
    <w:p>
      <w:pPr>
        <w:spacing w:after="0" w:line="225"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required by the 1940 Act, the Company, together with PFLT,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its Annual Report on Form 10-K, filed with the SEC on November 15, 2018. You may access the Joint Code of Ethics via the Internet site of the SEC (http://www.sec.gov) or our website (http://www.pennantpark.com). The Company intends to disclose any material amendments to or waivers of required provisions of its Code of Conduct or its Joint Code of Ethics on Form 8-K.</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2018. No compensation is paid directly by the Company to any interested director or executive officer of the Company.</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Total paid to</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0" w:type="dxa"/>
            <w:vAlign w:val="bottom"/>
          </w:tcPr>
          <w:p>
            <w:pPr>
              <w:spacing w:after="0"/>
              <w:rPr>
                <w:sz w:val="1"/>
                <w:szCs w:val="1"/>
                <w:color w:val="auto"/>
              </w:rPr>
            </w:pPr>
          </w:p>
        </w:tc>
      </w:tr>
      <w:tr>
        <w:trPr>
          <w:trHeight w:val="149"/>
        </w:trPr>
        <w:tc>
          <w:tcPr>
            <w:tcW w:w="24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from the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from the Fund</w:t>
            </w:r>
          </w:p>
        </w:tc>
        <w:tc>
          <w:tcPr>
            <w:tcW w:w="0" w:type="dxa"/>
            <w:vAlign w:val="bottom"/>
          </w:tcPr>
          <w:p>
            <w:pPr>
              <w:spacing w:after="0"/>
              <w:rPr>
                <w:sz w:val="1"/>
                <w:szCs w:val="1"/>
                <w:color w:val="auto"/>
              </w:rPr>
            </w:pPr>
          </w:p>
        </w:tc>
      </w:tr>
      <w:tr>
        <w:trPr>
          <w:trHeight w:val="158"/>
        </w:trPr>
        <w:tc>
          <w:tcPr>
            <w:tcW w:w="2420" w:type="dxa"/>
            <w:vAlign w:val="bottom"/>
            <w:gridSpan w:val="6"/>
            <w:vMerge w:val="continue"/>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Company</w:t>
            </w: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5"/>
              </w:rPr>
              <w:t>from the Company</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Complex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5"/>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7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260" w:type="dxa"/>
            <w:vAlign w:val="bottom"/>
            <w:tcBorders>
              <w:top w:val="single" w:sz="8" w:color="CFF0FC"/>
            </w:tcBorders>
          </w:tcPr>
          <w:p>
            <w:pPr>
              <w:spacing w:after="0"/>
              <w:rPr>
                <w:sz w:val="19"/>
                <w:szCs w:val="19"/>
                <w:color w:val="auto"/>
              </w:rPr>
            </w:pPr>
          </w:p>
        </w:tc>
        <w:tc>
          <w:tcPr>
            <w:tcW w:w="1660" w:type="dxa"/>
            <w:vAlign w:val="bottom"/>
            <w:tcBorders>
              <w:top w:val="single" w:sz="8" w:color="CFF0FC"/>
            </w:tcBorders>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4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132,500</w:t>
            </w:r>
          </w:p>
        </w:tc>
        <w:tc>
          <w:tcPr>
            <w:tcW w:w="260" w:type="dxa"/>
            <w:vAlign w:val="bottom"/>
          </w:tcPr>
          <w:p>
            <w:pPr>
              <w:spacing w:after="0"/>
              <w:rPr>
                <w:sz w:val="19"/>
                <w:szCs w:val="19"/>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132,500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Arthur H. Penn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Management Agreement with the Adviser was re-approved by the Board, including a majority of the Independent Directors, in February 2018. Under the Company’s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2018, the Adviser earned a base management fee of $16.5 million (after a waiver of $0.9 million) and an incentive fee of $11.0 million (after a waiver of $0.5 million) from the Company.</w:t>
      </w:r>
    </w:p>
    <w:p>
      <w:pPr>
        <w:spacing w:after="0" w:line="18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Company’s Administration Agreement with the Administrator was re-approved by the Board, including a majority of the Independent Directors, in February 2018. Under the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the Managing Director of the Administrator. For the fiscal year ended September 30, 2018, the Adviser and the Administrator, collectively, were reimbursed $2.0 million from the Company for the services described above.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860" w:firstLine="598"/>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the Company and its subsidiaries on and during the Company’s fiscal year ending September 30, 2019. RSM was selected by the Audit Committee, and that selection was ratified by a majority of the Board, including all of the Independent Directors, by a vote cast in person.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2018 and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 2017</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 2018</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38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2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425,641</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Audit Related Fees</w:t>
            </w:r>
          </w:p>
        </w:tc>
        <w:tc>
          <w:tcPr>
            <w:tcW w:w="4040" w:type="dxa"/>
            <w:vAlign w:val="bottom"/>
            <w:gridSpan w:val="2"/>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4040" w:type="dxa"/>
            <w:vAlign w:val="bottom"/>
            <w:gridSpan w:val="2"/>
            <w:shd w:val="clear" w:color="auto" w:fill="CFF0FC"/>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17,855</w:t>
            </w:r>
          </w:p>
        </w:tc>
        <w:tc>
          <w:tcPr>
            <w:tcW w:w="76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All Other Fees</w:t>
            </w:r>
          </w:p>
        </w:tc>
        <w:tc>
          <w:tcPr>
            <w:tcW w:w="4040" w:type="dxa"/>
            <w:vAlign w:val="bottom"/>
            <w:gridSpan w:val="2"/>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9,416</w:t>
            </w:r>
          </w:p>
        </w:tc>
        <w:tc>
          <w:tcPr>
            <w:tcW w:w="60" w:type="dxa"/>
            <w:vAlign w:val="bottom"/>
          </w:tcPr>
          <w:p>
            <w:pPr>
              <w:spacing w:after="0"/>
              <w:rPr>
                <w:sz w:val="19"/>
                <w:szCs w:val="19"/>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2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444,104</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311,730</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2018 were approved by the Audit Committee in accordance with such policy.</w:t>
      </w:r>
    </w:p>
    <w:p>
      <w:pPr>
        <w:spacing w:after="0" w:line="17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0" w:name="page21"/>
    <w:bookmarkEnd w:id="20"/>
    <w:p>
      <w:pPr>
        <w:jc w:val="center"/>
        <w:ind w:left="280" w:right="8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2018.</w:t>
      </w:r>
    </w:p>
    <w:p>
      <w:pPr>
        <w:spacing w:after="0" w:line="170"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Company’s Annual Report on Form 10-K for the fiscal year ended September 30, 2018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jc w:val="both"/>
        <w:ind w:left="600" w:hanging="592"/>
        <w:spacing w:after="0" w:line="264"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1" w:name="page22"/>
    <w:bookmarkEnd w:id="21"/>
    <w:p>
      <w:pPr>
        <w:jc w:val="center"/>
        <w:spacing w:after="0" w:line="259" w:lineRule="auto"/>
        <w:rPr>
          <w:sz w:val="20"/>
          <w:szCs w:val="20"/>
          <w:color w:val="auto"/>
        </w:rPr>
      </w:pPr>
      <w:r>
        <w:rPr>
          <w:rFonts w:ascii="Arial" w:cs="Arial" w:eastAsia="Arial" w:hAnsi="Arial"/>
          <w:sz w:val="18"/>
          <w:szCs w:val="18"/>
          <w:b w:val="1"/>
          <w:bCs w:val="1"/>
          <w:i w:val="1"/>
          <w:iCs w:val="1"/>
          <w:color w:val="auto"/>
        </w:rPr>
        <w:t>PROPOSAL 3: APPROVAL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March 23, 2018, an amendment to Section 61(a) of the 1940 Act was signed into law and added a new Section 61(a)(2), which reduces the asset coverage requirements applicable to business development companies (“BDCs”) from 200% to 150%, so long as certain approval and disclosure requirements are satisfied. Under the existing 200% minimum asset coverage ratio, the Company is permitted to borrow up to one dollar for investment purposes for every one dollar of investor equity (without giving effect to any Exemptive relief with respect to Small Business Administration debentures)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w:t>
      </w:r>
    </w:p>
    <w:p>
      <w:pPr>
        <w:spacing w:after="0" w:line="18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Specifically, the Company is permitted to apply a lower minimum asset coverage ratio of 150% if: (1) the Company complies with certain additional asset coverage disclosure requirements, as discussed below; and (2)(A) a “required majority” of the Company’s directors, as defined in Section 57(o) of the 1940 Act, approves the application of such a lower minimum asset coverage ratio to the Company, in which case the 150% minimum asset coverage ratio will become effective on the date that is one year after the date of such independent director approval; or (B) the Company obtains, at a special or annual meeting of its stockholders at which a quorum is present, the approval of more than 50% of the votes cast for the application of such a lower minimum asset coverage ratio to the Company, in which case the 150% minimum asset coverage ratio will become effective on the first day after the date of such stockholder approval.</w:t>
      </w:r>
    </w:p>
    <w:p>
      <w:pPr>
        <w:spacing w:after="0" w:line="16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On November 13, 2018, the Board, including a “required majority” of the Company’s directors, as defined in Section 57(o) of the 1940 Act, approved the application of the 150% minimum asset coverage ratio to the Company. As a result, and subject to certain additional disclosure requirements as described below, the 150% minimum asset coverage ratio will automatically apply to the Company effective as of November 13, 2019, and, as of November 13, 2019, the Company will be permitted to incur double the maximum amount of leverage that it is currently permitted to incur (without giving effect to any Exemptive relief with respect to Small Business Administration debentures).</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connection with the Board’s approval of a lower minimum asset coverage ratio, effective upon the earlier of Stockholder approval of Proposal 3 and November 13, 2019, the Board also approved a Third Amended and Restated Investment Advisory and Management Agreement (the “Amended Agreement”) pursuant to which the base management fee payable by the Company to the Adviser will be reduced from an annual rate of 1.50% to an annual rate of 1.00% for the Company’s gross assets (as defined in the Amended Agreement) that exceed 200% of the Company’s total net assets as of the end of the immediately preceding quarter.</w:t>
      </w:r>
    </w:p>
    <w:p>
      <w:pPr>
        <w:spacing w:after="0" w:line="18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addition, in order to provide the Company with the maximum financial flexibility at the earliest possible date, the Board also authorized the Company to seek stockholder approval of the Asset Coverage Ratio Proposal, which, if approved, would accelerate the effective date of the increase in the leverage limit by approximately nine months. If the Company’s Stockholders approve the Asset Coverage Ratio Proposal at the Meeting, the 150% minimum asset coverage ratio is expected to apply effective as of February 6, 2019, the first day after the Meeting and, as a result, the Company will be permitted to incur double the maximum amount of leverage that the Company is currently able to incur (without giving effect to any Exemptive relief with respect to Small Business Administration debentures) approximately nine months earlier than if the Company’s Stockholders do not vote to approve the Asset Coverage Ratio Proposal.</w:t>
      </w:r>
    </w:p>
    <w:p>
      <w:pPr>
        <w:spacing w:after="0" w:line="216"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Board values the opinions of the Stockholders and will reconvene to reconsider its approval of the modified asset coverage requirements if this proposal is not approved by Stockholders. There can be no assurance that the Board would rescind its approval if this proposal is not approved by Stockholders. If this proposal is not approved by Stockholders and the Board does not rescind its approval, we will be subject to the 150% minimum asset coverage ratio beginning November 13,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Recommendation of the Board; Reasons for the Asset Coverage Ratio Proposal</w:t>
      </w:r>
    </w:p>
    <w:p>
      <w:pPr>
        <w:spacing w:after="0" w:line="121" w:lineRule="exact"/>
        <w:rPr>
          <w:sz w:val="20"/>
          <w:szCs w:val="20"/>
          <w:color w:val="auto"/>
        </w:rPr>
      </w:pPr>
    </w:p>
    <w:p>
      <w:pPr>
        <w:ind w:right="380" w:firstLine="598"/>
        <w:spacing w:after="0" w:line="342" w:lineRule="auto"/>
        <w:rPr>
          <w:sz w:val="20"/>
          <w:szCs w:val="20"/>
          <w:color w:val="auto"/>
        </w:rPr>
      </w:pPr>
      <w:r>
        <w:rPr>
          <w:rFonts w:ascii="Arial" w:cs="Arial" w:eastAsia="Arial" w:hAnsi="Arial"/>
          <w:sz w:val="16"/>
          <w:szCs w:val="16"/>
          <w:color w:val="auto"/>
        </w:rPr>
        <w:t>The Board unanimously recommends that the Company’s Stockholders approve the Asset Coverage Ratio Proposal. In consideration of the application of the 150% minimum asset coverage ratio to the Company, the Board considered the information it received relating to, among other things:</w:t>
      </w:r>
    </w:p>
    <w:p>
      <w:pPr>
        <w:spacing w:after="0" w:line="2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benefits of increased financial flexibility;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to increase and sustain returns on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investment strategy and portfolio construction;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middle market direct lending landscape;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relative to benefits associated with the use of increased leverage;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on the base management and incentive fees payable to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of current credit facility;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additional disclosure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Increased Financial Flexibility</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Board considered that, as a BDC and a RIC for tax purposes, the Company will benefit from increasing the maximum regulatory leverage, through significantly more flexibility for complying with the asset coverage requirements applicable to BDCs. Importantly, application of the 150% minimum asset coverage ratio would enable the Company to better withstand potential adverse market movements while still meeting its asset coverage requirements. For example, as of September 30, 2018, the Company’s asset coverage ratio was 291%, which, under the current 200% minimum asset coverage ratio, provided a 26% cushion based on fair value of investments. Under a 150% minimum asset coverage ratio, all else being equal, that cushion would be 44% based on fair value of investments.</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example, even if the underlying performance of one or more portfolio companies may not indicate an impairment or inability to repay all principal and interest in full, volatility in the capital markets may negatively impact the valuations of the Company’s investments and create unrealized capital depreciation on certain investments. Any such reductions in value (as well as unrealized capital depreciation based on the underlying performance of the Company’s portfolio companies, if any) will negatively impact the Company’s total assets and the ability to satisfy the minimum asset coverage ratio. Any failure to satisfy the asset coverage ratio could have a material adverse effect on the Company’s business, financial condition or results of operations, including the Company’s ability to borrow, pay dividends (and, as a result, the Company’s ability to maintain its RIC status), or repurchase shares of its common stock.</w:t>
      </w:r>
    </w:p>
    <w:p>
      <w:pPr>
        <w:spacing w:after="0" w:line="189" w:lineRule="exact"/>
        <w:rPr>
          <w:sz w:val="20"/>
          <w:szCs w:val="20"/>
          <w:color w:val="auto"/>
        </w:rPr>
      </w:pPr>
    </w:p>
    <w:p>
      <w:pPr>
        <w:ind w:right="360" w:firstLine="598"/>
        <w:spacing w:after="0" w:line="342" w:lineRule="auto"/>
        <w:rPr>
          <w:sz w:val="20"/>
          <w:szCs w:val="20"/>
          <w:color w:val="auto"/>
        </w:rPr>
      </w:pPr>
      <w:r>
        <w:rPr>
          <w:rFonts w:ascii="Arial" w:cs="Arial" w:eastAsia="Arial" w:hAnsi="Arial"/>
          <w:sz w:val="16"/>
          <w:szCs w:val="16"/>
          <w:color w:val="auto"/>
        </w:rPr>
        <w:t>In addition to enhancing the ability of the Company to bear adverse market movements and still meet the asset coverage requirements, the Board concluded that having the option to access additional financing would give the Company more flexibility to fully execute its business strategy.</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following additional information:</w:t>
      </w:r>
    </w:p>
    <w:p>
      <w:pPr>
        <w:spacing w:after="0" w:line="131" w:lineRule="exact"/>
        <w:rPr>
          <w:sz w:val="20"/>
          <w:szCs w:val="20"/>
          <w:color w:val="auto"/>
        </w:rPr>
      </w:pPr>
    </w:p>
    <w:p>
      <w:pPr>
        <w:ind w:left="900" w:right="680" w:hanging="325"/>
        <w:spacing w:after="0" w:line="25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total assets, total debt outstanding (in dollars and as a percentage of total assets), net assets and asset coverage ratio as of September 30, 2018;</w:t>
      </w:r>
    </w:p>
    <w:p>
      <w:pPr>
        <w:spacing w:after="0" w:line="1" w:lineRule="exact"/>
        <w:rPr>
          <w:rFonts w:ascii="Arial" w:cs="Arial" w:eastAsia="Arial" w:hAnsi="Arial"/>
          <w:sz w:val="18"/>
          <w:szCs w:val="18"/>
          <w:color w:val="auto"/>
        </w:rPr>
      </w:pPr>
    </w:p>
    <w:p>
      <w:pPr>
        <w:ind w:left="900" w:right="120" w:hanging="325"/>
        <w:spacing w:after="0" w:line="25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assuming that as of September 30, 2018 the Company had incurred the maximum amount of borrowings that could be incurred by the Company under the currently applicable 200% asset coverage ratio, the Company’s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total assets, total debt outstanding (with the maximum amount of additional borrowings that would be permitted to incur in dollars and as a percentage of total assets), net assets and asset coverage ratio; and</w:t>
      </w:r>
    </w:p>
    <w:p>
      <w:pPr>
        <w:spacing w:after="0" w:line="95"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assuming that as of September 30, 2018 the Company had incurred the maximum amount of borrowings that could be incurred by the Company under the proposed 150% asset coverage ratio,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total assets, total debt outstanding (with the maximum amount of additional borrowings that would be permitted to incur in dollars and as a percentage of total assets), net assets and asset coverage ratio.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3" w:name="page24"/>
    <w:bookmarkEnd w:id="23"/>
    <w:p>
      <w:pPr>
        <w:jc w:val="both"/>
        <w:ind w:right="360" w:firstLine="598"/>
        <w:spacing w:after="0" w:line="264" w:lineRule="auto"/>
        <w:rPr>
          <w:sz w:val="20"/>
          <w:szCs w:val="20"/>
          <w:color w:val="auto"/>
        </w:rPr>
      </w:pPr>
      <w:r>
        <w:rPr>
          <w:rFonts w:ascii="Arial" w:cs="Arial" w:eastAsia="Arial" w:hAnsi="Arial"/>
          <w:sz w:val="18"/>
          <w:szCs w:val="18"/>
          <w:color w:val="auto"/>
        </w:rPr>
        <w:t>In evaluating the information presented below, it is important to recognize that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0" w:type="dxa"/>
            <w:vAlign w:val="bottom"/>
            <w:gridSpan w:val="6"/>
          </w:tcPr>
          <w:p>
            <w:pPr>
              <w:jc w:val="center"/>
              <w:ind w:right="560"/>
              <w:spacing w:after="0"/>
              <w:rPr>
                <w:sz w:val="20"/>
                <w:szCs w:val="20"/>
                <w:color w:val="auto"/>
              </w:rPr>
            </w:pPr>
            <w:r>
              <w:rPr>
                <w:rFonts w:ascii="Arial" w:cs="Arial" w:eastAsia="Arial" w:hAnsi="Arial"/>
                <w:sz w:val="14"/>
                <w:szCs w:val="14"/>
                <w:b w:val="1"/>
                <w:bCs w:val="1"/>
                <w:i w:val="1"/>
                <w:iCs w:val="1"/>
                <w:color w:val="auto"/>
                <w:w w:val="92"/>
              </w:rPr>
              <w:t xml:space="preserve">Pro Forma </w:t>
            </w: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Assuming That the Company Had Incurred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the Maximum Amount of Borrowings That</w:t>
            </w: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4"/>
                <w:szCs w:val="14"/>
                <w:b w:val="1"/>
                <w:bCs w:val="1"/>
                <w:color w:val="auto"/>
                <w:w w:val="94"/>
              </w:rPr>
              <w:t>Could Be Incurred by the Company</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Actual Amounts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Under the Currently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Under the Proposed</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Selected Consolidated Financial Statement Data</w:t>
            </w:r>
          </w:p>
        </w:tc>
        <w:tc>
          <w:tcPr>
            <w:tcW w:w="1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Applicable 200%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Minimum Asset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150% Minimum Asset</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(dollar amounts in thousands)</w:t>
            </w:r>
          </w:p>
        </w:tc>
        <w:tc>
          <w:tcPr>
            <w:tcW w:w="160" w:type="dxa"/>
            <w:vAlign w:val="bottom"/>
          </w:tcPr>
          <w:p>
            <w:pPr>
              <w:spacing w:after="0"/>
              <w:rPr>
                <w:sz w:val="14"/>
                <w:szCs w:val="14"/>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September 30, 2018</w:t>
            </w:r>
            <w:r>
              <w:rPr>
                <w:rFonts w:ascii="Arial" w:cs="Arial" w:eastAsia="Arial" w:hAnsi="Arial"/>
                <w:sz w:val="10"/>
                <w:szCs w:val="10"/>
                <w:b w:val="1"/>
                <w:bCs w:val="1"/>
                <w:color w:val="auto"/>
                <w:w w:val="92"/>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1,160,119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1,460,052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2,088,954</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328,968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628,902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340"/>
              <w:spacing w:after="0"/>
              <w:rPr>
                <w:sz w:val="20"/>
                <w:szCs w:val="20"/>
                <w:color w:val="auto"/>
              </w:rPr>
            </w:pPr>
            <w:r>
              <w:rPr>
                <w:rFonts w:ascii="Arial" w:cs="Arial" w:eastAsia="Arial" w:hAnsi="Arial"/>
                <w:sz w:val="18"/>
                <w:szCs w:val="18"/>
                <w:color w:val="auto"/>
              </w:rPr>
              <w:t>1,257,804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628,902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628,902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628,902</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Asset Coverage Ratio</w:t>
            </w: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2018, the Company’s total outstanding indebtedness represented 28.4% of the Company’s total assets.</w:t>
      </w:r>
    </w:p>
    <w:p>
      <w:pPr>
        <w:spacing w:after="0" w:line="23" w:lineRule="exact"/>
        <w:rPr>
          <w:rFonts w:ascii="Arial" w:cs="Arial" w:eastAsia="Arial" w:hAnsi="Arial"/>
          <w:sz w:val="18"/>
          <w:szCs w:val="18"/>
          <w:color w:val="auto"/>
        </w:rPr>
      </w:pPr>
    </w:p>
    <w:p>
      <w:pPr>
        <w:ind w:left="600" w:right="200" w:hanging="59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$329.0 million as of September 30, 2018 and applying the currently applicable 200% minimum asset coverage ratio, the Company could have incurred up to an additional $299.9 million of borrowings, bringing the Company’s total indebtedness and total assets to $628.9 million and $1.46 billion, respectively. The maximum amount of additional borrowings of $299.9 million would have represented 20.5 % of the total assets of $1.46 billion, which are the total assets that the Company would have had with such additional borrowings.</w:t>
      </w:r>
    </w:p>
    <w:p>
      <w:pPr>
        <w:spacing w:after="0" w:line="2" w:lineRule="exact"/>
        <w:rPr>
          <w:rFonts w:ascii="Arial" w:cs="Arial" w:eastAsia="Arial" w:hAnsi="Arial"/>
          <w:sz w:val="18"/>
          <w:szCs w:val="18"/>
          <w:color w:val="auto"/>
        </w:rPr>
      </w:pPr>
    </w:p>
    <w:p>
      <w:pPr>
        <w:ind w:left="600" w:right="20" w:hanging="592"/>
        <w:spacing w:after="0" w:line="28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Assuming that the Company had incurred the maximum amount of borrowings that could be incurred by the Company under the currently applicable 200% minimum asset coverage ratio of $628.9 million and then applying the proposed 150% minimum asset coverage ratio, the Company could have incurred an additional $628.9 million for a total of $928.8 million of borrowings, bringing the Company’s total indebtedness and total assets to $1.26 billion and $2.09 billion, respectively. The maximum amount of additional borrowings of $928.8 million would have represented 44.5% of the total assets of $2.09 billion, which are the total assets that the Company would have had with such additional borrowings.</w:t>
      </w:r>
    </w:p>
    <w:p>
      <w:pPr>
        <w:spacing w:after="0" w:line="3" w:lineRule="exact"/>
        <w:rPr>
          <w:rFonts w:ascii="Arial" w:cs="Arial" w:eastAsia="Arial" w:hAnsi="Arial"/>
          <w:sz w:val="16"/>
          <w:szCs w:val="16"/>
          <w:color w:val="auto"/>
        </w:rPr>
      </w:pPr>
    </w:p>
    <w:p>
      <w:pPr>
        <w:ind w:left="600" w:right="40" w:hanging="592"/>
        <w:spacing w:after="0" w:line="261"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2018, we had $175.4 million of SBA-guaranteed debentures outstanding, which have been excluded from total debt presented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-1803400</wp:posOffset>
            </wp:positionV>
            <wp:extent cx="840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to Increase and Sustain Returns on Equity</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Board and the Adviser discussed how access to greater leverage has the potential to increase and sustain the Company’s investment yield and returns to Stockholders. Funds that use leverage generally aim to earn an investment return on money raised through leverage that exceeds the costs of leveraging, and thereby to increase returns to Stockholders. The Board discussed that any investment returns in excess of the costs of leverage would benefit the Stockholders; however, to the extent the costs of leverage exceed such investment returns, those costs would be borne by and reduce the returns to the Stockholders.</w:t>
      </w:r>
    </w:p>
    <w:p>
      <w:pPr>
        <w:spacing w:after="0" w:line="188"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Adviser informed the Board that the Company would only expect to incur additional indebtedness if the Adviser believes that, over time, the costs of carrying the assets to be acquired through leverage are likely to be lower than the Company’s expected incremental investment yield and returns on equity.</w:t>
      </w:r>
    </w:p>
    <w:p>
      <w:pPr>
        <w:spacing w:after="0" w:line="18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While no assurances can be given that the investment yield and returns on equity attributable to borrowing would exceed the costs of such leverage, the Board concluded that the benefits of increased leverage outweigh the risks, as noted in more detail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ind w:right="80" w:firstLine="598"/>
        <w:spacing w:after="0" w:line="293" w:lineRule="auto"/>
        <w:rPr>
          <w:sz w:val="20"/>
          <w:szCs w:val="20"/>
          <w:color w:val="auto"/>
        </w:rPr>
      </w:pPr>
      <w:r>
        <w:rPr>
          <w:rFonts w:ascii="Arial" w:cs="Arial" w:eastAsia="Arial" w:hAnsi="Arial"/>
          <w:sz w:val="16"/>
          <w:szCs w:val="16"/>
          <w:color w:val="auto"/>
        </w:rPr>
        <w:t>The following tables illustrate the effect of leverage on returns from an investment in the Company’s Common Stock, based on (1) the actual amount of borrowings incurred by the Company as of September 30, 2018, (2) the maximum amount of borrowings that could be incurred by the Company as of September 30, 2018 under the currently applicable 200% minimum asset coverage ratio (that is, a 1:1 debt-to-equity ratio), and (3) the maximum amount of borrowings that could be incurred by the Company as of September 30, 2018 if the proposed 150% minimum asset coverage ratio were applied (that is, a 2:1 debt-to-equity ratio), in each case assuming annual returns on the Company’s portfolio (net of expenses) of -10%, -5%, 0%, 5% and 10%. The calculations in the tables below are hypothetical, and actual returns may be higher or lower than those appearing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0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Effects of Leverage Based on the Actual Amount of Borrowings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5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w w:val="95"/>
              </w:rPr>
              <w:t>Incurred by the Company as of September 30, 2018</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52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(21.6)%</w:t>
            </w:r>
          </w:p>
        </w:tc>
        <w:tc>
          <w:tcPr>
            <w:tcW w:w="1540" w:type="dxa"/>
            <w:vAlign w:val="bottom"/>
          </w:tcPr>
          <w:p>
            <w:pPr>
              <w:jc w:val="right"/>
              <w:ind w:right="256"/>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r>
    </w:tbl>
    <w:p>
      <w:pPr>
        <w:spacing w:after="0" w:line="121" w:lineRule="exact"/>
        <w:rPr>
          <w:sz w:val="20"/>
          <w:szCs w:val="20"/>
          <w:color w:val="auto"/>
        </w:rPr>
      </w:pPr>
    </w:p>
    <w:p>
      <w:pPr>
        <w:ind w:left="600" w:right="40" w:hanging="592"/>
        <w:spacing w:after="0" w:line="264"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September 30, 2018, the Company had (i) $1.16 billion in total assets (ii) $504.3 million in outstanding indebtedness, which includes our SBA-guaranteed debentures, (iii) $628.9 million in net assets and (iv) a weighted average interest rate, excluding fees (such as fees on undrawn amounts and amortization of financing costs), of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61"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Based on outstanding indebtedness of $504.4 million as of September 30, 2018, and the weighted average effective annual interest rate, excluding fees (such as fees on undrawn amounts and amortization of financing costs), of 3.91% as of that date, the Company’s investment portfolio at fair value would have had to produce an annual return of approximately 1.75% to cover annual interest payments on the outstanding debt.</w:t>
      </w:r>
    </w:p>
    <w:p>
      <w:pPr>
        <w:spacing w:after="0" w:line="184"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 xml:space="preserve">Effects of Leverage Based on the </w:t>
      </w:r>
      <w:r>
        <w:rPr>
          <w:rFonts w:ascii="Arial" w:cs="Arial" w:eastAsia="Arial" w:hAnsi="Arial"/>
          <w:sz w:val="14"/>
          <w:szCs w:val="14"/>
          <w:b w:val="1"/>
          <w:bCs w:val="1"/>
          <w:i w:val="1"/>
          <w:iCs w:val="1"/>
          <w:color w:val="auto"/>
        </w:rPr>
        <w:t>Pro Forma</w:t>
      </w:r>
      <w:r>
        <w:rPr>
          <w:rFonts w:ascii="Arial" w:cs="Arial" w:eastAsia="Arial" w:hAnsi="Arial"/>
          <w:sz w:val="14"/>
          <w:szCs w:val="14"/>
          <w:b w:val="1"/>
          <w:bCs w:val="1"/>
          <w:color w:val="auto"/>
        </w:rPr>
        <w:t xml:space="preserve"> Maximum Amount</w:t>
      </w:r>
    </w:p>
    <w:p>
      <w:pPr>
        <w:jc w:val="center"/>
        <w:ind w:left="5140"/>
        <w:spacing w:after="0" w:line="226" w:lineRule="auto"/>
        <w:rPr>
          <w:sz w:val="20"/>
          <w:szCs w:val="20"/>
          <w:color w:val="auto"/>
        </w:rPr>
      </w:pPr>
      <w:r>
        <w:rPr>
          <w:rFonts w:ascii="Arial" w:cs="Arial" w:eastAsia="Arial" w:hAnsi="Arial"/>
          <w:sz w:val="14"/>
          <w:szCs w:val="14"/>
          <w:b w:val="1"/>
          <w:bCs w:val="1"/>
          <w:color w:val="auto"/>
        </w:rPr>
        <w:t>of Borrowings That Could Be Incurred by the Company Under</w:t>
      </w:r>
    </w:p>
    <w:p>
      <w:pPr>
        <w:jc w:val="center"/>
        <w:ind w:left="5100"/>
        <w:spacing w:after="0" w:line="222" w:lineRule="auto"/>
        <w:rPr>
          <w:sz w:val="20"/>
          <w:szCs w:val="20"/>
          <w:color w:val="auto"/>
        </w:rPr>
      </w:pPr>
      <w:r>
        <w:rPr>
          <w:rFonts w:ascii="Arial" w:cs="Arial" w:eastAsia="Arial" w:hAnsi="Arial"/>
          <w:sz w:val="14"/>
          <w:szCs w:val="14"/>
          <w:b w:val="1"/>
          <w:bCs w:val="1"/>
          <w:color w:val="auto"/>
        </w:rPr>
        <w:t>the Currently Applicable 200% Minimum Asset Coverage Ratio</w:t>
      </w:r>
    </w:p>
    <w:p>
      <w:pPr>
        <w:jc w:val="center"/>
        <w:ind w:left="5140"/>
        <w:spacing w:after="0" w:line="231" w:lineRule="auto"/>
        <w:rPr>
          <w:sz w:val="20"/>
          <w:szCs w:val="20"/>
          <w:color w:val="auto"/>
        </w:rPr>
      </w:pPr>
      <w:r>
        <w:rPr>
          <w:rFonts w:ascii="Arial" w:cs="Arial" w:eastAsia="Arial" w:hAnsi="Arial"/>
          <w:sz w:val="14"/>
          <w:szCs w:val="14"/>
          <w:b w:val="1"/>
          <w:bCs w:val="1"/>
          <w:color w:val="auto"/>
        </w:rPr>
        <w:t>(i.e., A 1:1 Debt-to-Equity Ratio)</w:t>
      </w:r>
    </w:p>
    <w:tbl>
      <w:tblPr>
        <w:tblLayout w:type="fixed"/>
        <w:tblInd w:w="0" w:type="dxa"/>
        <w:tblCellMar>
          <w:top w:w="0" w:type="dxa"/>
          <w:left w:w="0" w:type="dxa"/>
          <w:bottom w:w="0" w:type="dxa"/>
          <w:right w:w="0" w:type="dxa"/>
        </w:tblCellMar>
      </w:tblPr>
      <w:tr>
        <w:trPr>
          <w:trHeight w:val="195"/>
        </w:trPr>
        <w:tc>
          <w:tcPr>
            <w:tcW w:w="54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3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46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(28.3)%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(16.6)%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r>
    </w:tbl>
    <w:p>
      <w:pPr>
        <w:spacing w:after="0" w:line="121" w:lineRule="exact"/>
        <w:rPr>
          <w:sz w:val="20"/>
          <w:szCs w:val="20"/>
          <w:color w:val="auto"/>
        </w:rPr>
      </w:pPr>
    </w:p>
    <w:p>
      <w:pPr>
        <w:ind w:left="600" w:right="220" w:hanging="592"/>
        <w:spacing w:after="0" w:line="255"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Assuming that (a) the Company had incurred the maximum amount of borrowings that could be incurred as of September 30, 2018 under a 200% minimum asset coverage ratio, and (b) the additional borrowings compared to the actual amount of borrowings incurred by the Company as of September 30, 2018, which were $299.9 million, are fully invested, the Company would have (i) $1.46 billion in total assets, (ii) $804.3 million in outstanding indebtedness, which includes our SBA-guaranteed debentures and (iii) $628.9 million in net assets. The weighted average interest rate, excluding fees (such as fees on undrawn amounts and amortization of financing costs), is assumed to be 3.91%, which is the Company’s weighted average interest rate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840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73"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Based on the assumed outstanding indebtedness of $804.3 million, which includes our SBA-guaranteed debentures, as of September 30, 2018, and the assumed weighted average effective annual interest rate, excluding fees (such as fees on undrawn amounts and amortization of financing costs), of 3.91% as of that date, the Company’s investment portfolio at fair value would have had to produce an annual return of approximately 2.2% to cover annual interest payments on the outstanding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jc w:val="center"/>
        <w:ind w:left="5140"/>
        <w:spacing w:after="0"/>
        <w:rPr>
          <w:sz w:val="20"/>
          <w:szCs w:val="20"/>
          <w:color w:val="auto"/>
        </w:rPr>
      </w:pPr>
      <w:r>
        <w:rPr>
          <w:rFonts w:ascii="Arial" w:cs="Arial" w:eastAsia="Arial" w:hAnsi="Arial"/>
          <w:sz w:val="14"/>
          <w:szCs w:val="14"/>
          <w:b w:val="1"/>
          <w:bCs w:val="1"/>
          <w:color w:val="auto"/>
        </w:rPr>
        <w:t xml:space="preserve">Effects of Leverage Based on the </w:t>
      </w:r>
      <w:r>
        <w:rPr>
          <w:rFonts w:ascii="Arial" w:cs="Arial" w:eastAsia="Arial" w:hAnsi="Arial"/>
          <w:sz w:val="14"/>
          <w:szCs w:val="14"/>
          <w:b w:val="1"/>
          <w:bCs w:val="1"/>
          <w:i w:val="1"/>
          <w:iCs w:val="1"/>
          <w:color w:val="auto"/>
        </w:rPr>
        <w:t>Pro Forma</w:t>
      </w:r>
      <w:r>
        <w:rPr>
          <w:rFonts w:ascii="Arial" w:cs="Arial" w:eastAsia="Arial" w:hAnsi="Arial"/>
          <w:sz w:val="14"/>
          <w:szCs w:val="14"/>
          <w:b w:val="1"/>
          <w:bCs w:val="1"/>
          <w:color w:val="auto"/>
        </w:rPr>
        <w:t xml:space="preserve"> Maximum Amount</w:t>
      </w:r>
    </w:p>
    <w:p>
      <w:pPr>
        <w:jc w:val="center"/>
        <w:ind w:left="5160"/>
        <w:spacing w:after="0" w:line="226" w:lineRule="auto"/>
        <w:rPr>
          <w:sz w:val="20"/>
          <w:szCs w:val="20"/>
          <w:color w:val="auto"/>
        </w:rPr>
      </w:pPr>
      <w:r>
        <w:rPr>
          <w:rFonts w:ascii="Arial" w:cs="Arial" w:eastAsia="Arial" w:hAnsi="Arial"/>
          <w:sz w:val="14"/>
          <w:szCs w:val="14"/>
          <w:b w:val="1"/>
          <w:bCs w:val="1"/>
          <w:color w:val="auto"/>
        </w:rPr>
        <w:t>of Borrowings That Could Be Incurred by the Company</w:t>
      </w:r>
    </w:p>
    <w:p>
      <w:pPr>
        <w:jc w:val="center"/>
        <w:ind w:left="5140"/>
        <w:spacing w:after="0" w:line="222" w:lineRule="auto"/>
        <w:rPr>
          <w:sz w:val="20"/>
          <w:szCs w:val="20"/>
          <w:color w:val="auto"/>
        </w:rPr>
      </w:pPr>
      <w:r>
        <w:rPr>
          <w:rFonts w:ascii="Arial" w:cs="Arial" w:eastAsia="Arial" w:hAnsi="Arial"/>
          <w:sz w:val="14"/>
          <w:szCs w:val="14"/>
          <w:b w:val="1"/>
          <w:bCs w:val="1"/>
          <w:color w:val="auto"/>
        </w:rPr>
        <w:t>Under the Proposed 150% Minimum Asset Coverage Ratio</w:t>
      </w:r>
    </w:p>
    <w:p>
      <w:pPr>
        <w:jc w:val="center"/>
        <w:ind w:left="5160"/>
        <w:spacing w:after="0" w:line="231" w:lineRule="auto"/>
        <w:rPr>
          <w:sz w:val="20"/>
          <w:szCs w:val="20"/>
          <w:color w:val="auto"/>
        </w:rPr>
      </w:pPr>
      <w:r>
        <w:rPr>
          <w:rFonts w:ascii="Arial" w:cs="Arial" w:eastAsia="Arial" w:hAnsi="Arial"/>
          <w:sz w:val="14"/>
          <w:szCs w:val="14"/>
          <w:b w:val="1"/>
          <w:bCs w:val="1"/>
          <w:color w:val="auto"/>
        </w:rPr>
        <w:t>(i.e., A 2:1 Debt-to-Equity Ratio)</w:t>
      </w:r>
    </w:p>
    <w:tbl>
      <w:tblPr>
        <w:tblLayout w:type="fixed"/>
        <w:tblInd w:w="0" w:type="dxa"/>
        <w:tblCellMar>
          <w:top w:w="0" w:type="dxa"/>
          <w:left w:w="0" w:type="dxa"/>
          <w:bottom w:w="0" w:type="dxa"/>
          <w:right w:w="0" w:type="dxa"/>
        </w:tblCellMar>
      </w:tblPr>
      <w:tr>
        <w:trPr>
          <w:trHeight w:val="195"/>
        </w:trPr>
        <w:tc>
          <w:tcPr>
            <w:tcW w:w="54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3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48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(42.2)%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(25.6)%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7.7%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r>
    </w:tbl>
    <w:p>
      <w:pPr>
        <w:spacing w:after="0" w:line="121" w:lineRule="exact"/>
        <w:rPr>
          <w:sz w:val="20"/>
          <w:szCs w:val="20"/>
          <w:color w:val="auto"/>
        </w:rPr>
      </w:pPr>
    </w:p>
    <w:p>
      <w:pPr>
        <w:ind w:left="600" w:right="20" w:hanging="592"/>
        <w:spacing w:after="0" w:line="293"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Assuming that (a) the Company had incurred the maximum amount of borrowings that could be incurred by the Company as of September 30, 2018 if a 150% minimum asset coverage ratio were applied, and (b) the additional borrowings compared to the maximum amount of borrowings that could be incurred by the Company as of September 30, 2018 under a 200% minimum asset coverage ratio, which was $628.9 million, are fully invested, the Company would have (i) $2.09 billion in total assets, (ii) $1.43 billion in outstanding indebtedness, which includes our SBA-guaranteed debentures and (iii) $628.9 million in net assets. The weighted average interest rate, excluding fees (such as fees on undrawn amounts and amortization of financing costs), is assumed to be 3.91%, which is the Company’s weighted average interest rate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840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4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Based on the assumed outstanding indebtedness of $1.43 billion, which includes our SBA-guaranteed debentures as of September 30, 2018, and the assumed weighted average effective annual interest rate, excluding fees (such as fees on undrawn amounts and amortization of financing costs), of 3.91% as of that date, the Company’s investment portfolio at fair value would have had to produce an annual return of approximately 2.7% to cover annual interest payments on the outstanding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Investment Strategy and Portfolio Construction</w:t>
      </w:r>
    </w:p>
    <w:p>
      <w:pPr>
        <w:spacing w:after="0" w:line="11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Board considered the Company’s investment strategy and portfolio construction and, based on that review, believes that the Company would be well-positioned to prudently and effectively employ an increased level of leverage if it chose to do so. The Board noted that the Company has historically held a diversified portfolio of first lien secured debt, second lien secured debt, subordinated debt and equity investments. 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w:t>
      </w:r>
    </w:p>
    <w:p>
      <w:pPr>
        <w:spacing w:after="0" w:line="19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Company believes that any use of increased leverage will generally depend on market conditions at the applicable time. Although the Company’s plan with respect to increased leverage has yet to be determined, the Company anticipates that any increase in leverage is likely to be in the form of indebtedness.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Middle Market Direct Lending Landscape</w:t>
      </w:r>
    </w:p>
    <w:p>
      <w:pPr>
        <w:spacing w:after="0" w:line="117"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The Board considered the middle market direct lending landscape in which the Company operates. The Company’s primary competitors in providing financing to middle market companies include public and private funds, other BDCs, commercial and investment banks, collateralized loan obligations, commercial finance companies and, to the extent they provide an alternative form of financing, private equity and hedge funds. Many of the Company’s potential competitors are substantially larger and have considerably greater financial, technical and marketing resources than the Company. For example, some competitors may have a lower cost of funds and access to funding sources that will not be available to the Company. In addition, some competitors may have higher risk tolerances or different risk assessments than the Company, which could allow them to consider a wider variety of investments than the Company. Furthermore, many of the Company’s competitors are not subject to the regulatory restrictions to which the Company is subject under the 1940 Act. Enabling the Company to incur additional indebtedness is expected to increase the competitiveness of the Company. Moreover, if other BDCs take advantage of the ability to incur additional indebtedness and the Company does not have the flexibility to do so, its competitiveness relative to such BDCs may be reduced.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Risks Relative to Potential Benefits Associated With the Use of Increased Leverage</w:t>
      </w:r>
    </w:p>
    <w:p>
      <w:pPr>
        <w:spacing w:after="0" w:line="117"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Board considered how increased leverage could increase the risks associated with investing in the Company’s common stock. For example, if the value of the Company’s assets decreases, leverage will cause the Company’s net asset value to decline more sharply than it otherwise would have without leverage or with lower leverage. Similarly, any decrease in the Company’s revenue would cause its net income to decline more sharply than it would have if the Company had not borrowed or had borrowed less. However, since the Company already uses leverage in optimizing its investment portfolio, there are no material new risks associated with increased leverage. As a result, the Board concluded that the potential benefits of increased leverage outweigh these risks.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the Base Management and Incentive Fees</w:t>
      </w:r>
    </w:p>
    <w:p>
      <w:pPr>
        <w:spacing w:after="0" w:line="117"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The Board considered the impact of the use of higher leverage on the Company’s base management fee and incentive fee payable to the Adviser, noting that additional leverage would increase the base management fee and could increase the incentive fees. For example, base management fees are payable based on its average adjusted gross assets, including assets acquired through the use of leverage, which may give the Adviser an incentive to use a higher level of leverage to make additional investments. Similarly, the incentive fees payable by the Company to the Adviser may create an incentive for the Adviser to pursue investments that are riskier or more speculative than would be the case in the absence of such compensation arrangement. The incentive fees payable to the Adviser are calculated based on a percentage of the Company’s return on the net asset value. This may encourage the Adviser to use leverage to increase the return on the Company’s investments. In particular, a portion of the incentive fees payable to the Adviser is calculated based on the Company’s pre-incentive fee net investment income, expressed as a rate of return on the value of the Company’s net assets at the end of the immediately preceding calendar quarter, subject to a “hurdle rate” of 1.75% per quarter (7% annualized) and a “catch-up rate” of 2.1212% per quarter (8.4848% annualized). Accordingly, an increase in leverage may make it easier for the Company to meet or exceed the hurdle rate applicable to the income-based incentive fee and may result in an increase in the amount of income-based incentive fee payable to the Adviser.</w:t>
      </w:r>
    </w:p>
    <w:p>
      <w:pPr>
        <w:spacing w:after="0" w:line="173"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However, since the Company already uses leverage in optimizing its investment portfolio, there are no material new risks associated with increased leverage on the base management and incentive fees payable to the Adviser or the Company’s Adviser’s incentives. The Adviser also informed the Board that it intends to manage the Company in the same disciplined manner as it has prior to the effectiveness of the lower minimum asset coverage ratio. As a result, the Board concluded that the potential benefits of increased leverage outweigh these risks.</w:t>
      </w:r>
    </w:p>
    <w:p>
      <w:pPr>
        <w:spacing w:after="0" w:line="17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In addition, as noted above, on November 13, 2018, the Board approved the Amended Agreement pursuant to which the base management fee payable by the Company to the Adviser will be reduced from an annual rate of 1.50% to an annual rate of 1.00% for the Company’s gross assets (as defined in the Amended Agreement) that exceed 200% of the Company’s total net assets as of the end of the immediately preceding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Expenses Table</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The following table illustrates the impact of leverage on the Company’s annual expenses, including base management and incentive fees payable to the Adviser, using financial data based on the actual expenses incurred by the Company for the 12 months ended September 30, 2018. The following table is intended to assist you in understanding the costs and expenses that an investor in the Company’s common stock will bear, directly or indirectly, based on the assumptions set forth below. We caution you that some of the percentages indicated in the table below are estimates and may vary. The following table should not be considered a representation of the Company’s future expenses. Actual expenses may be materially greater or less than shown. Except where the context suggests otherwise, whenever this Proxy Statement contains a reference to fees or expenses paid by “us,” the “Company” or says that “we” will pay fees or expenses, Stockholders will indirectly bear these fees or expenses as our investors. The calculations of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estimated annual expenses in the table below are hypothetical, and the base management and incentive fees payable to the Adviser will be based on the Company’s actual performance and will not be paid unless the Company achieves certain goals.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Annualized Expenses</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Based on </w:t>
            </w:r>
            <w:r>
              <w:rPr>
                <w:rFonts w:ascii="Arial" w:cs="Arial" w:eastAsia="Arial" w:hAnsi="Arial"/>
                <w:sz w:val="14"/>
                <w:szCs w:val="14"/>
                <w:b w:val="1"/>
                <w:bCs w:val="1"/>
                <w:i w:val="1"/>
                <w:iCs w:val="1"/>
                <w:color w:val="auto"/>
                <w:w w:val="89"/>
              </w:rPr>
              <w:t>Pro Forma</w:t>
            </w:r>
            <w:r>
              <w:rPr>
                <w:rFonts w:ascii="Arial" w:cs="Arial" w:eastAsia="Arial" w:hAnsi="Arial"/>
                <w:sz w:val="14"/>
                <w:szCs w:val="14"/>
                <w:b w:val="1"/>
                <w:bCs w:val="1"/>
                <w:color w:val="auto"/>
                <w:w w:val="89"/>
              </w:rPr>
              <w:t xml:space="preserve"> Expenses</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Assuming That the Company</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Had Incurred the Maximum</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Amount of Borrowings That</w:t>
            </w:r>
          </w:p>
        </w:tc>
        <w:tc>
          <w:tcPr>
            <w:tcW w:w="0" w:type="dxa"/>
            <w:vAlign w:val="bottom"/>
          </w:tcPr>
          <w:p>
            <w:pPr>
              <w:spacing w:after="0"/>
              <w:rPr>
                <w:sz w:val="1"/>
                <w:szCs w:val="1"/>
                <w:color w:val="auto"/>
              </w:rPr>
            </w:pPr>
          </w:p>
        </w:tc>
      </w:tr>
      <w:tr>
        <w:trPr>
          <w:trHeight w:val="158"/>
        </w:trPr>
        <w:tc>
          <w:tcPr>
            <w:tcW w:w="7180" w:type="dxa"/>
            <w:vAlign w:val="bottom"/>
          </w:tcPr>
          <w:p>
            <w:pPr>
              <w:spacing w:after="0"/>
              <w:rPr>
                <w:sz w:val="13"/>
                <w:szCs w:val="13"/>
                <w:color w:val="auto"/>
              </w:rPr>
            </w:pP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Annualized</w:t>
            </w:r>
          </w:p>
        </w:tc>
        <w:tc>
          <w:tcPr>
            <w:tcW w:w="28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5"/>
              </w:rPr>
              <w:t>Could Be Incurred</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Expenses</w:t>
            </w: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0" w:type="dxa"/>
            <w:vAlign w:val="bottom"/>
          </w:tcPr>
          <w:p>
            <w:pPr>
              <w:spacing w:after="0"/>
              <w:rPr>
                <w:sz w:val="1"/>
                <w:szCs w:val="1"/>
                <w:color w:val="auto"/>
              </w:rPr>
            </w:pPr>
          </w:p>
        </w:tc>
      </w:tr>
      <w:tr>
        <w:trPr>
          <w:trHeight w:val="119"/>
        </w:trPr>
        <w:tc>
          <w:tcPr>
            <w:tcW w:w="7180" w:type="dxa"/>
            <w:vAlign w:val="bottom"/>
          </w:tcPr>
          <w:p>
            <w:pPr>
              <w:spacing w:after="0"/>
              <w:rPr>
                <w:sz w:val="10"/>
                <w:szCs w:val="10"/>
                <w:color w:val="auto"/>
              </w:rPr>
            </w:pPr>
          </w:p>
        </w:tc>
        <w:tc>
          <w:tcPr>
            <w:tcW w:w="14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2"/>
              </w:rPr>
              <w:t>Based on</w:t>
            </w:r>
          </w:p>
        </w:tc>
        <w:tc>
          <w:tcPr>
            <w:tcW w:w="14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Under the</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Actual</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Currently</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Expenses</w:t>
            </w: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Applicable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the three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200%</w:t>
            </w:r>
          </w:p>
        </w:tc>
        <w:tc>
          <w:tcPr>
            <w:tcW w:w="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Estimated Annual Expenses</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months Ended</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Minimum</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Proposed 150%</w:t>
            </w:r>
          </w:p>
        </w:tc>
        <w:tc>
          <w:tcPr>
            <w:tcW w:w="0" w:type="dxa"/>
            <w:vAlign w:val="bottom"/>
          </w:tcPr>
          <w:p>
            <w:pPr>
              <w:spacing w:after="0"/>
              <w:rPr>
                <w:sz w:val="1"/>
                <w:szCs w:val="1"/>
                <w:color w:val="auto"/>
              </w:rPr>
            </w:pPr>
          </w:p>
        </w:tc>
      </w:tr>
      <w:tr>
        <w:trPr>
          <w:trHeight w:val="149"/>
        </w:trPr>
        <w:tc>
          <w:tcPr>
            <w:tcW w:w="7180" w:type="dxa"/>
            <w:vAlign w:val="bottom"/>
            <w:vMerge w:val="continue"/>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Asset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Minimum Asset</w:t>
            </w:r>
          </w:p>
        </w:tc>
        <w:tc>
          <w:tcPr>
            <w:tcW w:w="0" w:type="dxa"/>
            <w:vAlign w:val="bottom"/>
          </w:tcPr>
          <w:p>
            <w:pPr>
              <w:spacing w:after="0"/>
              <w:rPr>
                <w:sz w:val="1"/>
                <w:szCs w:val="1"/>
                <w:color w:val="auto"/>
              </w:rPr>
            </w:pPr>
          </w:p>
        </w:tc>
      </w:tr>
      <w:tr>
        <w:trPr>
          <w:trHeight w:val="171"/>
        </w:trPr>
        <w:tc>
          <w:tcPr>
            <w:tcW w:w="7180" w:type="dxa"/>
            <w:vAlign w:val="bottom"/>
          </w:tcPr>
          <w:p>
            <w:pPr>
              <w:spacing w:after="0"/>
              <w:rPr>
                <w:sz w:val="20"/>
                <w:szCs w:val="20"/>
                <w:color w:val="auto"/>
              </w:rPr>
            </w:pPr>
            <w:r>
              <w:rPr>
                <w:rFonts w:ascii="Arial" w:cs="Arial" w:eastAsia="Arial" w:hAnsi="Arial"/>
                <w:sz w:val="14"/>
                <w:szCs w:val="14"/>
                <w:b w:val="1"/>
                <w:bCs w:val="1"/>
                <w:color w:val="auto"/>
              </w:rPr>
              <w:t>(As A Percentage of Net Assets Attributable to Common Stock):</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r>
              <w:rPr>
                <w:rFonts w:ascii="Arial" w:cs="Arial" w:eastAsia="Arial" w:hAnsi="Arial"/>
                <w:sz w:val="10"/>
                <w:szCs w:val="10"/>
                <w:b w:val="1"/>
                <w:bCs w:val="1"/>
                <w:color w:val="auto"/>
                <w:w w:val="96"/>
              </w:rPr>
              <w:t>(1)</w:t>
            </w:r>
          </w:p>
        </w:tc>
        <w:tc>
          <w:tcPr>
            <w:tcW w:w="6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(2)</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Coverage Ratio</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82"/>
        </w:trPr>
        <w:tc>
          <w:tcPr>
            <w:tcW w:w="7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Base management fee payable under the Investment</w:t>
            </w:r>
          </w:p>
        </w:tc>
        <w:tc>
          <w:tcPr>
            <w:tcW w:w="1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Advisory Agreement</w:t>
            </w:r>
            <w:r>
              <w:rPr>
                <w:rFonts w:ascii="Arial" w:cs="Arial" w:eastAsia="Arial" w:hAnsi="Arial"/>
                <w:sz w:val="26"/>
                <w:szCs w:val="26"/>
                <w:color w:val="auto"/>
                <w:vertAlign w:val="superscript"/>
              </w:rPr>
              <w:t>(4)</w:t>
            </w:r>
          </w:p>
        </w:tc>
        <w:tc>
          <w:tcPr>
            <w:tcW w:w="1380" w:type="dxa"/>
            <w:vAlign w:val="bottom"/>
            <w:shd w:val="clear" w:color="auto" w:fill="CCEEFF"/>
          </w:tcPr>
          <w:p>
            <w:pPr>
              <w:ind w:left="720"/>
              <w:spacing w:after="0" w:line="230" w:lineRule="exact"/>
              <w:rPr>
                <w:sz w:val="20"/>
                <w:szCs w:val="20"/>
                <w:color w:val="auto"/>
              </w:rPr>
            </w:pPr>
            <w:r>
              <w:rPr>
                <w:rFonts w:ascii="Arial" w:cs="Arial" w:eastAsia="Arial" w:hAnsi="Arial"/>
                <w:sz w:val="18"/>
                <w:szCs w:val="18"/>
                <w:color w:val="auto"/>
                <w:w w:val="88"/>
              </w:rPr>
              <w:t>2.60%</w:t>
            </w:r>
            <w:r>
              <w:rPr>
                <w:rFonts w:ascii="Arial" w:cs="Arial" w:eastAsia="Arial" w:hAnsi="Arial"/>
                <w:sz w:val="26"/>
                <w:szCs w:val="26"/>
                <w:color w:val="auto"/>
                <w:w w:val="88"/>
                <w:vertAlign w:val="superscript"/>
              </w:rPr>
              <w:t>(5)</w:t>
            </w:r>
          </w:p>
        </w:tc>
        <w:tc>
          <w:tcPr>
            <w:tcW w:w="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4"/>
              <w:spacing w:after="0" w:line="230" w:lineRule="exact"/>
              <w:rPr>
                <w:sz w:val="20"/>
                <w:szCs w:val="20"/>
                <w:color w:val="auto"/>
              </w:rPr>
            </w:pPr>
            <w:r>
              <w:rPr>
                <w:rFonts w:ascii="Arial" w:cs="Arial" w:eastAsia="Arial" w:hAnsi="Arial"/>
                <w:sz w:val="18"/>
                <w:szCs w:val="18"/>
                <w:color w:val="auto"/>
              </w:rPr>
              <w:t>2.95%</w:t>
            </w:r>
            <w:r>
              <w:rPr>
                <w:rFonts w:ascii="Arial" w:cs="Arial" w:eastAsia="Arial" w:hAnsi="Arial"/>
                <w:sz w:val="26"/>
                <w:szCs w:val="26"/>
                <w:color w:val="auto"/>
                <w:vertAlign w:val="superscript"/>
              </w:rPr>
              <w:t>(6)</w:t>
            </w: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78"/>
              <w:spacing w:after="0" w:line="230" w:lineRule="exact"/>
              <w:rPr>
                <w:sz w:val="20"/>
                <w:szCs w:val="20"/>
                <w:color w:val="auto"/>
              </w:rPr>
            </w:pPr>
            <w:r>
              <w:rPr>
                <w:rFonts w:ascii="Arial" w:cs="Arial" w:eastAsia="Arial" w:hAnsi="Arial"/>
                <w:sz w:val="18"/>
                <w:szCs w:val="18"/>
                <w:color w:val="auto"/>
              </w:rPr>
              <w:t>3.40%</w:t>
            </w:r>
            <w:r>
              <w:rPr>
                <w:rFonts w:ascii="Arial" w:cs="Arial" w:eastAsia="Arial" w:hAnsi="Arial"/>
                <w:sz w:val="26"/>
                <w:szCs w:val="26"/>
                <w:color w:val="auto"/>
                <w:vertAlign w:val="superscript"/>
              </w:rPr>
              <w:t>(7)</w:t>
            </w:r>
          </w:p>
        </w:tc>
        <w:tc>
          <w:tcPr>
            <w:tcW w:w="0" w:type="dxa"/>
            <w:vAlign w:val="bottom"/>
          </w:tcPr>
          <w:p>
            <w:pPr>
              <w:spacing w:after="0"/>
              <w:rPr>
                <w:sz w:val="1"/>
                <w:szCs w:val="1"/>
                <w:color w:val="auto"/>
              </w:rPr>
            </w:pPr>
          </w:p>
        </w:tc>
      </w:tr>
      <w:tr>
        <w:trPr>
          <w:trHeight w:val="202"/>
        </w:trPr>
        <w:tc>
          <w:tcPr>
            <w:tcW w:w="7180" w:type="dxa"/>
            <w:vAlign w:val="bottom"/>
          </w:tcPr>
          <w:p>
            <w:pPr>
              <w:spacing w:after="0" w:line="201" w:lineRule="exact"/>
              <w:rPr>
                <w:sz w:val="20"/>
                <w:szCs w:val="20"/>
                <w:color w:val="auto"/>
              </w:rPr>
            </w:pPr>
            <w:r>
              <w:rPr>
                <w:rFonts w:ascii="Arial" w:cs="Arial" w:eastAsia="Arial" w:hAnsi="Arial"/>
                <w:sz w:val="18"/>
                <w:szCs w:val="18"/>
                <w:color w:val="auto"/>
              </w:rPr>
              <w:t>Incentive fee payable under the Investment Advisory</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line="230" w:lineRule="exact"/>
              <w:rPr>
                <w:sz w:val="20"/>
                <w:szCs w:val="20"/>
                <w:color w:val="auto"/>
              </w:rPr>
            </w:pPr>
            <w:r>
              <w:rPr>
                <w:rFonts w:ascii="Arial" w:cs="Arial" w:eastAsia="Arial" w:hAnsi="Arial"/>
                <w:sz w:val="18"/>
                <w:szCs w:val="18"/>
                <w:color w:val="auto"/>
              </w:rPr>
              <w:t>Agreement (up to 20%)</w:t>
            </w:r>
            <w:r>
              <w:rPr>
                <w:rFonts w:ascii="Arial" w:cs="Arial" w:eastAsia="Arial" w:hAnsi="Arial"/>
                <w:sz w:val="26"/>
                <w:szCs w:val="26"/>
                <w:color w:val="auto"/>
                <w:vertAlign w:val="superscript"/>
              </w:rPr>
              <w:t>(8)</w:t>
            </w:r>
          </w:p>
        </w:tc>
        <w:tc>
          <w:tcPr>
            <w:tcW w:w="1380" w:type="dxa"/>
            <w:vAlign w:val="bottom"/>
          </w:tcPr>
          <w:p>
            <w:pPr>
              <w:ind w:left="720"/>
              <w:spacing w:after="0" w:line="230" w:lineRule="exact"/>
              <w:rPr>
                <w:sz w:val="20"/>
                <w:szCs w:val="20"/>
                <w:color w:val="auto"/>
              </w:rPr>
            </w:pPr>
            <w:r>
              <w:rPr>
                <w:rFonts w:ascii="Arial" w:cs="Arial" w:eastAsia="Arial" w:hAnsi="Arial"/>
                <w:sz w:val="18"/>
                <w:szCs w:val="18"/>
                <w:color w:val="auto"/>
                <w:w w:val="88"/>
              </w:rPr>
              <w:t>1.89%</w:t>
            </w:r>
            <w:r>
              <w:rPr>
                <w:rFonts w:ascii="Arial" w:cs="Arial" w:eastAsia="Arial" w:hAnsi="Arial"/>
                <w:sz w:val="26"/>
                <w:szCs w:val="26"/>
                <w:color w:val="auto"/>
                <w:w w:val="88"/>
                <w:vertAlign w:val="superscript"/>
              </w:rPr>
              <w:t>(9)</w:t>
            </w:r>
          </w:p>
        </w:tc>
        <w:tc>
          <w:tcPr>
            <w:tcW w:w="60" w:type="dxa"/>
            <w:vAlign w:val="bottom"/>
          </w:tcPr>
          <w:p>
            <w:pPr>
              <w:spacing w:after="0"/>
              <w:rPr>
                <w:sz w:val="20"/>
                <w:szCs w:val="20"/>
                <w:color w:val="auto"/>
              </w:rPr>
            </w:pPr>
          </w:p>
        </w:tc>
        <w:tc>
          <w:tcPr>
            <w:tcW w:w="1360" w:type="dxa"/>
            <w:vAlign w:val="bottom"/>
          </w:tcPr>
          <w:p>
            <w:pPr>
              <w:jc w:val="right"/>
              <w:spacing w:after="0" w:line="230" w:lineRule="exact"/>
              <w:rPr>
                <w:sz w:val="20"/>
                <w:szCs w:val="20"/>
                <w:color w:val="auto"/>
              </w:rPr>
            </w:pPr>
            <w:r>
              <w:rPr>
                <w:rFonts w:ascii="Arial" w:cs="Arial" w:eastAsia="Arial" w:hAnsi="Arial"/>
                <w:sz w:val="18"/>
                <w:szCs w:val="18"/>
                <w:color w:val="auto"/>
              </w:rPr>
              <w:t>2.43%</w:t>
            </w:r>
            <w:r>
              <w:rPr>
                <w:rFonts w:ascii="Arial" w:cs="Arial" w:eastAsia="Arial" w:hAnsi="Arial"/>
                <w:sz w:val="26"/>
                <w:szCs w:val="26"/>
                <w:color w:val="auto"/>
                <w:vertAlign w:val="superscript"/>
              </w:rPr>
              <w:t>(10)</w:t>
            </w:r>
          </w:p>
        </w:tc>
        <w:tc>
          <w:tcPr>
            <w:tcW w:w="40" w:type="dxa"/>
            <w:vAlign w:val="bottom"/>
          </w:tcPr>
          <w:p>
            <w:pPr>
              <w:spacing w:after="0"/>
              <w:rPr>
                <w:sz w:val="20"/>
                <w:szCs w:val="20"/>
                <w:color w:val="auto"/>
              </w:rPr>
            </w:pPr>
          </w:p>
        </w:tc>
        <w:tc>
          <w:tcPr>
            <w:tcW w:w="1400" w:type="dxa"/>
            <w:vAlign w:val="bottom"/>
          </w:tcPr>
          <w:p>
            <w:pPr>
              <w:jc w:val="right"/>
              <w:ind w:right="118"/>
              <w:spacing w:after="0" w:line="230" w:lineRule="exact"/>
              <w:rPr>
                <w:sz w:val="20"/>
                <w:szCs w:val="20"/>
                <w:color w:val="auto"/>
              </w:rPr>
            </w:pPr>
            <w:r>
              <w:rPr>
                <w:rFonts w:ascii="Arial" w:cs="Arial" w:eastAsia="Arial" w:hAnsi="Arial"/>
                <w:sz w:val="18"/>
                <w:szCs w:val="18"/>
                <w:color w:val="auto"/>
              </w:rPr>
              <w:t>3.62%</w:t>
            </w:r>
            <w:r>
              <w:rPr>
                <w:rFonts w:ascii="Arial" w:cs="Arial" w:eastAsia="Arial" w:hAnsi="Arial"/>
                <w:sz w:val="26"/>
                <w:szCs w:val="26"/>
                <w:color w:val="auto"/>
                <w:vertAlign w:val="superscript"/>
              </w:rPr>
              <w:t>(11)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payments on borrowed funds</w:t>
            </w:r>
            <w:r>
              <w:rPr>
                <w:rFonts w:ascii="Arial" w:cs="Arial" w:eastAsia="Arial" w:hAnsi="Arial"/>
                <w:sz w:val="25"/>
                <w:szCs w:val="25"/>
                <w:color w:val="auto"/>
                <w:vertAlign w:val="superscript"/>
              </w:rPr>
              <w:t>(12)</w:t>
            </w: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7180" w:type="dxa"/>
            <w:vAlign w:val="bottom"/>
          </w:tcPr>
          <w:p>
            <w:pPr>
              <w:spacing w:after="0" w:line="216" w:lineRule="exact"/>
              <w:rPr>
                <w:sz w:val="20"/>
                <w:szCs w:val="20"/>
                <w:color w:val="auto"/>
              </w:rPr>
            </w:pPr>
            <w:r>
              <w:rPr>
                <w:rFonts w:ascii="Arial" w:cs="Arial" w:eastAsia="Arial" w:hAnsi="Arial"/>
                <w:sz w:val="17"/>
                <w:szCs w:val="17"/>
                <w:color w:val="auto"/>
              </w:rPr>
              <w:t>Other expenses</w:t>
            </w:r>
            <w:r>
              <w:rPr>
                <w:rFonts w:ascii="Arial" w:cs="Arial" w:eastAsia="Arial" w:hAnsi="Arial"/>
                <w:sz w:val="25"/>
                <w:szCs w:val="25"/>
                <w:color w:val="auto"/>
                <w:vertAlign w:val="superscript"/>
              </w:rPr>
              <w:t>(13)</w:t>
            </w:r>
          </w:p>
        </w:tc>
        <w:tc>
          <w:tcPr>
            <w:tcW w:w="1380" w:type="dxa"/>
            <w:vAlign w:val="bottom"/>
          </w:tcPr>
          <w:p>
            <w:pPr>
              <w:ind w:left="720"/>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18"/>
                <w:szCs w:val="18"/>
                <w:color w:val="auto"/>
              </w:rPr>
            </w:pPr>
          </w:p>
        </w:tc>
        <w:tc>
          <w:tcPr>
            <w:tcW w:w="1360" w:type="dxa"/>
            <w:vAlign w:val="bottom"/>
          </w:tcPr>
          <w:p>
            <w:pPr>
              <w:jc w:val="right"/>
              <w:ind w:right="204"/>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18"/>
                <w:szCs w:val="18"/>
                <w:color w:val="auto"/>
              </w:rPr>
            </w:pPr>
          </w:p>
        </w:tc>
        <w:tc>
          <w:tcPr>
            <w:tcW w:w="1400" w:type="dxa"/>
            <w:vAlign w:val="bottom"/>
          </w:tcPr>
          <w:p>
            <w:pPr>
              <w:jc w:val="right"/>
              <w:ind w:right="318"/>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7180" w:type="dxa"/>
            <w:vAlign w:val="bottom"/>
            <w:shd w:val="clear" w:color="auto" w:fill="DAEEF3"/>
          </w:tcPr>
          <w:p>
            <w:pPr>
              <w:spacing w:after="0"/>
              <w:rPr>
                <w:sz w:val="20"/>
                <w:szCs w:val="20"/>
                <w:color w:val="auto"/>
              </w:rPr>
            </w:pPr>
            <w:r>
              <w:rPr>
                <w:rFonts w:ascii="Arial" w:cs="Arial" w:eastAsia="Arial" w:hAnsi="Arial"/>
                <w:sz w:val="18"/>
                <w:szCs w:val="18"/>
                <w:b w:val="1"/>
                <w:bCs w:val="1"/>
                <w:color w:val="auto"/>
              </w:rPr>
              <w:t>Total annual expenses</w:t>
            </w:r>
          </w:p>
        </w:tc>
        <w:tc>
          <w:tcPr>
            <w:tcW w:w="1380" w:type="dxa"/>
            <w:vAlign w:val="bottom"/>
            <w:shd w:val="clear" w:color="auto" w:fill="DAEEF3"/>
          </w:tcPr>
          <w:p>
            <w:pPr>
              <w:ind w:left="720"/>
              <w:spacing w:after="0"/>
              <w:rPr>
                <w:sz w:val="20"/>
                <w:szCs w:val="20"/>
                <w:color w:val="auto"/>
              </w:rPr>
            </w:pPr>
            <w:r>
              <w:rPr>
                <w:rFonts w:ascii="Arial" w:cs="Arial" w:eastAsia="Arial" w:hAnsi="Arial"/>
                <w:sz w:val="18"/>
                <w:szCs w:val="18"/>
                <w:b w:val="1"/>
                <w:bCs w:val="1"/>
                <w:color w:val="auto"/>
              </w:rPr>
              <w:t>8.68%</w:t>
            </w:r>
          </w:p>
        </w:tc>
        <w:tc>
          <w:tcPr>
            <w:tcW w:w="60" w:type="dxa"/>
            <w:vAlign w:val="bottom"/>
            <w:shd w:val="clear" w:color="auto" w:fill="DAEEF3"/>
          </w:tcPr>
          <w:p>
            <w:pPr>
              <w:spacing w:after="0"/>
              <w:rPr>
                <w:sz w:val="18"/>
                <w:szCs w:val="18"/>
                <w:color w:val="auto"/>
              </w:rPr>
            </w:pPr>
          </w:p>
        </w:tc>
        <w:tc>
          <w:tcPr>
            <w:tcW w:w="1360" w:type="dxa"/>
            <w:vAlign w:val="bottom"/>
            <w:shd w:val="clear" w:color="auto" w:fill="DAEEF3"/>
          </w:tcPr>
          <w:p>
            <w:pPr>
              <w:jc w:val="right"/>
              <w:ind w:right="164"/>
              <w:spacing w:after="0"/>
              <w:rPr>
                <w:sz w:val="20"/>
                <w:szCs w:val="20"/>
                <w:color w:val="auto"/>
              </w:rPr>
            </w:pPr>
            <w:r>
              <w:rPr>
                <w:rFonts w:ascii="Arial" w:cs="Arial" w:eastAsia="Arial" w:hAnsi="Arial"/>
                <w:sz w:val="18"/>
                <w:szCs w:val="18"/>
                <w:b w:val="1"/>
                <w:bCs w:val="1"/>
                <w:color w:val="auto"/>
              </w:rPr>
              <w:t>11.44%</w:t>
            </w:r>
          </w:p>
        </w:tc>
        <w:tc>
          <w:tcPr>
            <w:tcW w:w="40" w:type="dxa"/>
            <w:vAlign w:val="bottom"/>
            <w:shd w:val="clear" w:color="auto" w:fill="DAEEF3"/>
          </w:tcPr>
          <w:p>
            <w:pPr>
              <w:spacing w:after="0"/>
              <w:rPr>
                <w:sz w:val="18"/>
                <w:szCs w:val="18"/>
                <w:color w:val="auto"/>
              </w:rPr>
            </w:pPr>
          </w:p>
        </w:tc>
        <w:tc>
          <w:tcPr>
            <w:tcW w:w="1400" w:type="dxa"/>
            <w:vAlign w:val="bottom"/>
            <w:shd w:val="clear" w:color="auto" w:fill="DAEEF3"/>
          </w:tcPr>
          <w:p>
            <w:pPr>
              <w:jc w:val="right"/>
              <w:ind w:right="298"/>
              <w:spacing w:after="0"/>
              <w:rPr>
                <w:sz w:val="20"/>
                <w:szCs w:val="20"/>
                <w:color w:val="auto"/>
              </w:rPr>
            </w:pPr>
            <w:r>
              <w:rPr>
                <w:rFonts w:ascii="Arial" w:cs="Arial" w:eastAsia="Arial" w:hAnsi="Arial"/>
                <w:sz w:val="18"/>
                <w:szCs w:val="18"/>
                <w:b w:val="1"/>
                <w:bCs w:val="1"/>
                <w:color w:val="auto"/>
              </w:rPr>
              <w:t>16.99%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right="520" w:hanging="592"/>
        <w:spacing w:after="0" w:line="258"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by dividing the actual expenses for the three months ended September 30, 2018 by the net assets attributable to common stock as of September 30, 2018, which were $628.9 million, and annualizing over four quarterly periods.</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Calculated by dividing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expenses for the three months ended September 30, 2018, assuming that the Company had $804.3 million in outstanding indebtedness, which includes our SBA-guaranteed debentures, which is the maximum amount of borrowings that could be incurred by the Company under the currently applicable 200% minimum asset coverage ratio, by the net assets attributable to common stock as of September 30, 2018, which were $628.9 million, and annualizing over four quarterly periods.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 w:lineRule="exact"/>
        <w:rPr>
          <w:rFonts w:ascii="Arial" w:cs="Arial" w:eastAsia="Arial" w:hAnsi="Arial"/>
          <w:sz w:val="17"/>
          <w:szCs w:val="17"/>
          <w:color w:val="auto"/>
        </w:rPr>
      </w:pPr>
    </w:p>
    <w:p>
      <w:pPr>
        <w:ind w:left="600" w:right="20" w:hanging="592"/>
        <w:spacing w:after="0" w:line="265"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Calculated by dividing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expenses for the three months ended September 30, 2018, assuming that the Company had $1.43 billion in outstanding indebtedness, which includes our SBA-guaranteed debentures, which is the maximum amount of borrowings that could be incurred by the Company under the proposed 150% minimum asset coverage ratio, by the net assets attributable to common stock as of September 30, 2018, which were $628.9 million, and annualizing over four quarterly periods.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 w:lineRule="exact"/>
        <w:rPr>
          <w:rFonts w:ascii="Arial" w:cs="Arial" w:eastAsia="Arial" w:hAnsi="Arial"/>
          <w:sz w:val="17"/>
          <w:szCs w:val="17"/>
          <w:color w:val="auto"/>
        </w:rPr>
      </w:pPr>
    </w:p>
    <w:p>
      <w:pPr>
        <w:ind w:left="600" w:right="20" w:hanging="592"/>
        <w:spacing w:after="0" w:line="287"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January 1, 2018, the annual rate that the Adviser charges the Company for the base management fee changed from 2.00% to 1.50%. Our base management fee under the Advisory Agreement is based on our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and assumes the base management fee remains consistent with fees incurred during the three months ended September 30, 2018. Consequently, if the Company has borrowings outstanding, its base management fee as a percentage of net assets attributable to common stock would be higher than if the Company did not utilize leverage. Upon the earlier of Stockholder approval of Proposal 3 and November 13, 2019, the annual rate that the Adviser charges the Company for the base management fee will be changed from 1.50% to 1.00% for gross assets that exceed 200% of the Company’s total net assets as of the immediately preceding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-3186430</wp:posOffset>
            </wp:positionV>
            <wp:extent cx="840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ind w:left="592" w:right="60" w:hanging="592"/>
        <w:spacing w:after="0" w:line="258"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Company’s actual base management fees for the three months ended September 30, 2018, which were $4.1 million, by the net assets attributable to common stock as of September 30, 2018, which were $628.9 million.</w:t>
      </w:r>
    </w:p>
    <w:p>
      <w:pPr>
        <w:spacing w:after="0" w:line="1" w:lineRule="exact"/>
        <w:rPr>
          <w:rFonts w:ascii="Arial" w:cs="Arial" w:eastAsia="Arial" w:hAnsi="Arial"/>
          <w:sz w:val="18"/>
          <w:szCs w:val="18"/>
          <w:color w:val="auto"/>
        </w:rPr>
      </w:pPr>
    </w:p>
    <w:p>
      <w:pPr>
        <w:ind w:left="592" w:right="180"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$804.3 million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base management fees for the three months ended September 30, 2018, which would be $4.6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240"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$1.43 billion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base management fees for the three months ended September 30, 2018, which would be $5.3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820" w:hanging="592"/>
        <w:spacing w:after="0" w:line="250"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that annual incentive fees earned by the Adviser remain consistent with the incentive fees earned by it for the three months ended September 30, 2018.</w:t>
      </w:r>
    </w:p>
    <w:p>
      <w:pPr>
        <w:ind w:left="592" w:right="420"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Calculated by dividing the Company’s actual incentive fees for the three months ended September 30, 2018, which were $3.0 million, by the net assets attributable to common stock as of September 30, 2018, which were $628.9 million, and annualizing over four quarterly periods.</w:t>
      </w:r>
    </w:p>
    <w:p>
      <w:pPr>
        <w:spacing w:after="0" w:line="1" w:lineRule="exact"/>
        <w:rPr>
          <w:rFonts w:ascii="Arial" w:cs="Arial" w:eastAsia="Arial" w:hAnsi="Arial"/>
          <w:sz w:val="16"/>
          <w:szCs w:val="16"/>
          <w:color w:val="auto"/>
        </w:rPr>
      </w:pPr>
    </w:p>
    <w:p>
      <w:pPr>
        <w:ind w:left="592" w:right="340"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$804.3 million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incentive fees for the three months ended September 30, 2018, which would be $3.8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340" w:hanging="592"/>
        <w:spacing w:after="0" w:line="265" w:lineRule="auto"/>
        <w:tabs>
          <w:tab w:leader="none" w:pos="5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Assuming outstanding indebtedness of $1.43 billion as of September 30, 2018, which includes our SBA-guaranteed debentures, calculated by dividing the Company’s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incentive fees for the three months ended September 30, 2018, which would be $5.7 million, by the net assets attributable to common stock as of September 30, 2018, which were $628.9 million, and annualizing over four quarterly periods.</w:t>
      </w:r>
    </w:p>
    <w:p>
      <w:pPr>
        <w:ind w:left="592"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2018, we had a $445 million multi-currency Credit Facility with certain lenders and SunTrust Bank, acting as administrative agent, and JPMorgan Chase Bank, N.A., acting as syndication agent for the lenders (the “Credit Facility”).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As of September 30, 2018 and 2017, we had $364.5 million and $365.6 million of unused borrowing capacity under our Credit Facility, respectively, subject to the regulatory restrictions. The Credit Facility is secured by substantially all of our assets excluding assets held by our SBIC Funds. 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As of September 30, 2018 and 2017, our SBIC Funds had $300.0 million in debt commitments, respectively, of which $180.0 million and $199.0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2" w:lineRule="exact"/>
        <w:rPr>
          <w:rFonts w:ascii="Arial" w:cs="Arial" w:eastAsia="Arial" w:hAnsi="Arial"/>
          <w:sz w:val="16"/>
          <w:szCs w:val="16"/>
          <w:color w:val="auto"/>
        </w:rPr>
      </w:pPr>
    </w:p>
    <w:p>
      <w:pPr>
        <w:ind w:left="592" w:right="160" w:hanging="592"/>
        <w:spacing w:after="0" w:line="281" w:lineRule="auto"/>
        <w:tabs>
          <w:tab w:leader="none" w:pos="5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expenses” are based on estimated amounts for the current fiscal year, which considers the amounts incurred for the three months ended September 30, 2018 and include our overhead expenses, including payments under our Administration Agreement based on our allocable portion of overhead and other expenses incurred by the Administrator in performing its obligations under the Administration Agreement. Refer to note</w:t>
      </w:r>
    </w:p>
    <w:p>
      <w:pPr>
        <w:spacing w:after="0" w:line="2" w:lineRule="exact"/>
        <w:rPr>
          <w:rFonts w:ascii="Arial" w:cs="Arial" w:eastAsia="Arial" w:hAnsi="Arial"/>
          <w:sz w:val="16"/>
          <w:szCs w:val="16"/>
          <w:color w:val="auto"/>
        </w:rPr>
      </w:pPr>
    </w:p>
    <w:p>
      <w:pPr>
        <w:ind w:left="592"/>
        <w:spacing w:after="0"/>
        <w:rPr>
          <w:rFonts w:ascii="Arial" w:cs="Arial" w:eastAsia="Arial" w:hAnsi="Arial"/>
          <w:sz w:val="16"/>
          <w:szCs w:val="16"/>
          <w:color w:val="auto"/>
        </w:rPr>
      </w:pPr>
      <w:r>
        <w:rPr>
          <w:rFonts w:ascii="Arial" w:cs="Arial" w:eastAsia="Arial" w:hAnsi="Arial"/>
          <w:sz w:val="18"/>
          <w:szCs w:val="18"/>
          <w:color w:val="auto"/>
        </w:rPr>
        <w:t>(8) above for the calculation of pro forma expenses for the three months ended September 30, 2018.</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Example</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the Company’s common stock, assuming (1) a 291.2% asset coverage ratio, which is the Company’s actual asset coverage ratio as of September 30, 2018, and total annual expenses of 8.68% of net assets attributable to common stock as set forth in the fees and expenses table above, (2) the currently applicable 200% minimum asset coverage ratio and total annual expenses of 11.44% of net assets attributable to common stock as set forth in the fees and expenses table above, and (3) the proposed 150% minimum asset coverage ratio and total annual expenses of 16.99% of net assets attributable to common stock as set forth in the fees and expenses table above, and, in each case of (1), (2) and (3), (x) a 5% annual return resulting entirely from net realized capital gains (none of which is subject to the incentive fee) and (y) a 5% annual return resulting entirely from net realized capital gains (all of which is subject to the incentive fee based on capital gains). Transaction expenses are included in the following example.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100" w:type="dxa"/>
            <w:vAlign w:val="bottom"/>
          </w:tcPr>
          <w:p>
            <w:pPr>
              <w:spacing w:after="0"/>
              <w:rPr>
                <w:sz w:val="16"/>
                <w:szCs w:val="16"/>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203"/>
        </w:trPr>
        <w:tc>
          <w:tcPr>
            <w:tcW w:w="9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Under the Company’s Actual Asset Coverage Ratio of 224.70% as of September 30, 2018: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Under the Currently Applicable 200% Minimum Asset Coverage Ratio: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w:t>
            </w: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 the Proposed 150% Minimum Asset Coverage Ratio: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128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r>
    </w:tbl>
    <w:p>
      <w:pPr>
        <w:spacing w:after="0" w:line="242"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Assumes that the Company will not realize any capital gains computed net of all realized capital losses and unrealized capital depreciation.</w:t>
      </w:r>
    </w:p>
    <w:p>
      <w:pPr>
        <w:spacing w:after="0" w:line="34" w:lineRule="exact"/>
        <w:rPr>
          <w:rFonts w:ascii="Arial" w:cs="Arial" w:eastAsia="Arial" w:hAnsi="Arial"/>
          <w:sz w:val="17"/>
          <w:szCs w:val="17"/>
          <w:color w:val="auto"/>
        </w:rPr>
      </w:pPr>
    </w:p>
    <w:p>
      <w:pPr>
        <w:ind w:left="600" w:right="320" w:hanging="592"/>
        <w:spacing w:after="0" w:line="255"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no unrealized capital depreciation and a 5% annual return resulting entirely from net realized capital gains and therefore subject to the incentive fee based on capital gains. Because the Company’s investment strategy involves investments that generate primarily current income, the Company believes that a 5% annual return resulting entirely from net realized capital gains is unlikely.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840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the Company’s common stock will bear directly or indirectly. While the example assumes, as required by the SEC, a 5% annual return, the Company’s performance will vary and may result in a return greater or less than 5%. Because the income portion of the incentive fee under the Advisory Agreement is unlikely to be significant assuming a 5% annual return, the second example assumes that the 5% annual return will be generated entirely through net realized capital gains, and, as a result, will trigger the payment of the capital gains portion of the incentive fee under the Advisory Agreement. The income portion of the incentive fee under the Advisory Agreement, which, assuming a 5% annual return, would either not be payable or have an immaterial impact on the expense amounts shown above, is not included in the example. If the Company achieves sufficient returns on its investments, including through net realized capital gains, to trigger an incentive fee of a material amount, the Company’s expenses, and returns to its investors, would be higher. In addition, while the example assumes reinvestment of all dividends and distributions at NAV, under certain circumstances, reinvestment of dividends and other distributions under our dividend reinvestment plan may occur at a price per share that differs from NAV.</w:t>
      </w:r>
    </w:p>
    <w:p>
      <w:pPr>
        <w:spacing w:after="0" w:line="174" w:lineRule="exact"/>
        <w:rPr>
          <w:sz w:val="20"/>
          <w:szCs w:val="20"/>
          <w:color w:val="auto"/>
        </w:rPr>
      </w:pPr>
    </w:p>
    <w:p>
      <w:pPr>
        <w:ind w:right="100" w:firstLine="598"/>
        <w:spacing w:after="0" w:line="282" w:lineRule="auto"/>
        <w:rPr>
          <w:sz w:val="20"/>
          <w:szCs w:val="20"/>
          <w:color w:val="auto"/>
        </w:rPr>
      </w:pPr>
      <w:r>
        <w:rPr>
          <w:rFonts w:ascii="Arial" w:cs="Arial" w:eastAsia="Arial" w:hAnsi="Arial"/>
          <w:sz w:val="18"/>
          <w:szCs w:val="18"/>
          <w:b w:val="1"/>
          <w:bCs w:val="1"/>
          <w:color w:val="auto"/>
        </w:rPr>
        <w:t>This example above should not be considered a representation of our future expenses, and actual expenses (including the cost of debt, if any, and other expenses) may be greater or less than those shown.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Limitations of Current Credit Facility</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 has entered into the Credit Facility, which includes financial covenants that require the Company to maintain a 200% minimum asset coverage ratio. The Company plans to seek amendments to the Credit Facility to lower the minimum asset coverage ratio to 150%. The Company cannot assure you that it will be able to negotiate a change to the Credit Facility to allow it to incur additional leverage or that any such amendment will be available to it on favorable terms. An inability on the part of the Company to amend the contractual asset coverage limitation and access additional leverage could limit the Company’s ability to take advantage of the benefits described above related to its ability to incur additional leverage. Amendments to the Credit Facility to reduce the asset coverage limitation in the Credit Facility may result in the lenders demanding higher interest rates being applied to the borrowings under the Credit Facility, which, in turn, would increase the Company’s borrowing costs and limit the benefits of increased leverage.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Additional Disclosure Obligations</w:t>
      </w:r>
    </w:p>
    <w:p>
      <w:pPr>
        <w:spacing w:after="0" w:line="11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The Company must comply with the following additional disclosure requirements upon approval of the application of the 150% minimum asset coverage ratio to the Company by a majority of the Company’s independent directors or the Stockholders as set forth herein:</w:t>
      </w:r>
    </w:p>
    <w:p>
      <w:pPr>
        <w:spacing w:after="0" w:line="52" w:lineRule="exact"/>
        <w:rPr>
          <w:sz w:val="20"/>
          <w:szCs w:val="20"/>
          <w:color w:val="auto"/>
        </w:rPr>
      </w:pPr>
    </w:p>
    <w:p>
      <w:pPr>
        <w:jc w:val="both"/>
        <w:ind w:left="900" w:right="220" w:hanging="325"/>
        <w:spacing w:after="0" w:line="31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later than 5 business days after the date on which the 150% minimum asset coverage ratio is approved, the Company is required to disclose such approval, and the effective date of such approval, in (1) any filing submitted to the SEC under Section 13(a) or 15(d) of the Exchange Act (such as the Company’s Form 8-K, Form 10-Q or Form 10-K); and (2) a notice on the Company’s website (</w:t>
      </w:r>
      <w:r>
        <w:rPr>
          <w:rFonts w:ascii="Arial" w:cs="Arial" w:eastAsia="Arial" w:hAnsi="Arial"/>
          <w:sz w:val="16"/>
          <w:szCs w:val="16"/>
          <w:u w:val="single" w:color="auto"/>
          <w:color w:val="auto"/>
        </w:rPr>
        <w:t>http://pennantpark.com</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required to disclose, in each periodic filing required under Section 13(a) of the Exchange Act (i.e., the Company’s Form 10-Q or Form 10-K): (1) the aggregate principal amount or liquidation preference, as applicable, of the senior securities issued by the Company and the asset coverage ratio as of the date of the Company’s most recent financial statements included in that filing; (2) that the 150% minimum asset coverage ratio was approved; and (3) the effective date of such approval; and</w:t>
      </w:r>
    </w:p>
    <w:p>
      <w:pPr>
        <w:spacing w:after="0" w:line="92" w:lineRule="exact"/>
        <w:rPr>
          <w:rFonts w:ascii="Arial" w:cs="Arial" w:eastAsia="Arial" w:hAnsi="Arial"/>
          <w:sz w:val="18"/>
          <w:szCs w:val="18"/>
          <w:color w:val="auto"/>
        </w:rPr>
      </w:pPr>
    </w:p>
    <w:p>
      <w:pPr>
        <w:ind w:left="900" w:right="80" w:hanging="325"/>
        <w:spacing w:after="0" w:line="27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an issuer of common stock, the Company is also required to include in each periodic filing required under Section 13(a) of the Exchange Act (i.e., the Company’s Form 10-Q or Form 10-K) disclosures that are reasonably designed to ensure that the Company’s Stockholders are informed of: (1) the amount of senior securities (and the associated asset coverage ratios) of the Company, determined as of the date of the most recent financial statements of the Company included in the filing; and (2) the principal risk factors associated with the senior securities described in the preceding clause, to the extent that risk is incurred by the Company.</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Board noted that, based on discussions with the Adviser, none of these requirements are burdensome and the additional disclosure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Following consideration of the foregoing benefits and risks, the Board, including all independent directors, believes that permitting the Company to apply a minimum asset coverage ratio of 150% as of the earliest possible date is in the best interests of the Company and its Stockholders. No single factor was determinative of the Board’s decision, but rather, the Board based its determination on the total mix of information available to them.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Approval requires the receipt of “FOR” votes constituting a majority of the votes cast on the proposal at the Meeting, in person or by proxy, provided a quorum is present. Abstentions will not be included in determining the number of votes cast and, as a result, will have no effect on this proposal. Shares represented by broker non-votes also are not considered votes cast and thus have no effect on the proposal.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PROPOSAL TO AUTHORIZE THE COMPANY</w:t>
      </w:r>
    </w:p>
    <w:p>
      <w:pPr>
        <w:spacing w:after="0" w:line="27" w:lineRule="exact"/>
        <w:rPr>
          <w:sz w:val="20"/>
          <w:szCs w:val="20"/>
          <w:color w:val="auto"/>
        </w:rPr>
      </w:pPr>
    </w:p>
    <w:p>
      <w:pPr>
        <w:jc w:val="both"/>
        <w:ind w:left="40" w:right="20" w:hanging="4"/>
        <w:spacing w:after="0" w:line="250" w:lineRule="auto"/>
        <w:rPr>
          <w:sz w:val="20"/>
          <w:szCs w:val="20"/>
          <w:color w:val="auto"/>
        </w:rPr>
      </w:pPr>
      <w:r>
        <w:rPr>
          <w:rFonts w:ascii="Arial" w:cs="Arial" w:eastAsia="Arial" w:hAnsi="Arial"/>
          <w:sz w:val="18"/>
          <w:szCs w:val="18"/>
          <w:b w:val="1"/>
          <w:bCs w:val="1"/>
          <w:color w:val="auto"/>
        </w:rPr>
        <w:t>IMMEDIATELY BECOMING SUBJECT TO A MINIMUM ASSET COVERAGE RATIO OF AT LEAST 150%, PERMITTING THE COMPANY (WITHOUT GIVING EFFECT TO ANY EXEMPTIVE RELIEF WITH RESPECT TO SMALL BUSINESS ADMINISTRATION DEBENTURES)</w:t>
      </w:r>
    </w:p>
    <w:p>
      <w:pPr>
        <w:spacing w:after="0" w:line="1" w:lineRule="exact"/>
        <w:rPr>
          <w:sz w:val="20"/>
          <w:szCs w:val="20"/>
          <w:color w:val="auto"/>
        </w:rPr>
      </w:pPr>
    </w:p>
    <w:p>
      <w:pPr>
        <w:jc w:val="center"/>
        <w:ind w:left="260" w:right="260"/>
        <w:spacing w:after="0" w:line="261" w:lineRule="auto"/>
        <w:rPr>
          <w:sz w:val="20"/>
          <w:szCs w:val="20"/>
          <w:color w:val="auto"/>
        </w:rPr>
      </w:pPr>
      <w:r>
        <w:rPr>
          <w:rFonts w:ascii="Arial" w:cs="Arial" w:eastAsia="Arial" w:hAnsi="Arial"/>
          <w:sz w:val="18"/>
          <w:szCs w:val="18"/>
          <w:b w:val="1"/>
          <w:bCs w:val="1"/>
          <w:color w:val="auto"/>
        </w:rPr>
        <w:t>TO DOUBLE ITS AMOUNT OF DEBT INCURRENCE EARLIER THAN THE CURRENT EFFECTIVE DATE OF NOVEMBER 13, 2019, PURSUANT TO THE SMALL BUSINESS CREDIT AVAILABILITY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w:t>
      </w:r>
    </w:p>
    <w:p>
      <w:pPr>
        <w:spacing w:after="0" w:line="170"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expects to hold its 2020 Annual Meeting of Stockholders in February 2020, but the exact date, time and location of such meeting have yet to be determined.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Notices of intention to present proposals, including nomination of a director, at the 2020 Annual Meeting of Stockholders must be received by the Company between July 10, 2019 and August 9, 2019.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7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32" w:name="page33"/>
    <w:bookmarkEnd w:id="32"/>
    <w:p>
      <w:pPr>
        <w:ind w:firstLine="598"/>
        <w:spacing w:after="0" w:line="264"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complete, date, sign and promptly return the accompanying proxy card in the enclosed postage-paid envelope or to vote by telephone or through the Internet.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11910" cy="403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19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533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533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6997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34000" cy="6997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1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2019-12-07T07:31:00Z</dcterms:created>
  <dcterms:modified xsi:type="dcterms:W3CDTF">2019-12-07T07:31:00Z</dcterms:modified>
</cp:coreProperties>
</file>