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146050</wp:posOffset>
            </wp:positionV>
            <wp:extent cx="130746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7465" cy="209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158750</wp:posOffset>
            </wp:positionV>
            <wp:extent cx="130746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07465" cy="209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ind w:left="268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October 22,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146050</wp:posOffset>
            </wp:positionV>
            <wp:extent cx="130746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7465"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PennantPark Investment Corporation</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8" w:lineRule="exact"/>
        <w:rPr>
          <w:sz w:val="24"/>
          <w:szCs w:val="24"/>
          <w:color w:val="auto"/>
        </w:rPr>
      </w:pPr>
    </w:p>
    <w:p>
      <w:pPr>
        <w:ind w:left="1440"/>
        <w:spacing w:after="0"/>
        <w:tabs>
          <w:tab w:leader="none" w:pos="5340" w:val="left"/>
          <w:tab w:leader="none" w:pos="9100" w:val="left"/>
        </w:tabs>
        <w:rPr>
          <w:sz w:val="20"/>
          <w:szCs w:val="20"/>
          <w:color w:val="auto"/>
        </w:rPr>
      </w:pPr>
      <w:r>
        <w:rPr>
          <w:rFonts w:ascii="Arial" w:cs="Arial" w:eastAsia="Arial" w:hAnsi="Arial"/>
          <w:sz w:val="18"/>
          <w:szCs w:val="18"/>
          <w:b w:val="1"/>
          <w:bCs w:val="1"/>
          <w:color w:val="auto"/>
        </w:rPr>
        <w:t>Maryland</w:t>
      </w:r>
      <w:r>
        <w:rPr>
          <w:sz w:val="20"/>
          <w:szCs w:val="20"/>
          <w:color w:val="auto"/>
        </w:rPr>
        <w:tab/>
      </w:r>
      <w:r>
        <w:rPr>
          <w:rFonts w:ascii="Arial" w:cs="Arial" w:eastAsia="Arial" w:hAnsi="Arial"/>
          <w:sz w:val="18"/>
          <w:szCs w:val="18"/>
          <w:b w:val="1"/>
          <w:bCs w:val="1"/>
          <w:color w:val="auto"/>
        </w:rPr>
        <w:t>814-00736</w:t>
      </w:r>
      <w:r>
        <w:rPr>
          <w:sz w:val="20"/>
          <w:szCs w:val="20"/>
          <w:color w:val="auto"/>
        </w:rPr>
        <w:tab/>
      </w:r>
      <w:r>
        <w:rPr>
          <w:rFonts w:ascii="Arial" w:cs="Arial" w:eastAsia="Arial" w:hAnsi="Arial"/>
          <w:sz w:val="16"/>
          <w:szCs w:val="16"/>
          <w:b w:val="1"/>
          <w:bCs w:val="1"/>
          <w:color w:val="auto"/>
        </w:rPr>
        <w:t>20-8250744</w:t>
      </w:r>
    </w:p>
    <w:p>
      <w:pPr>
        <w:spacing w:after="0" w:line="21" w:lineRule="exact"/>
        <w:rPr>
          <w:sz w:val="24"/>
          <w:szCs w:val="24"/>
          <w:color w:val="auto"/>
        </w:rPr>
      </w:pPr>
    </w:p>
    <w:p>
      <w:pPr>
        <w:ind w:left="880"/>
        <w:spacing w:after="0"/>
        <w:tabs>
          <w:tab w:leader="none" w:pos="4760" w:val="left"/>
          <w:tab w:leader="none" w:pos="8320" w:val="left"/>
        </w:tabs>
        <w:rPr>
          <w:sz w:val="20"/>
          <w:szCs w:val="20"/>
          <w:color w:val="auto"/>
        </w:rPr>
      </w:pPr>
      <w:r>
        <w:rPr>
          <w:rFonts w:ascii="Arial" w:cs="Arial" w:eastAsia="Arial" w:hAnsi="Arial"/>
          <w:sz w:val="18"/>
          <w:szCs w:val="18"/>
          <w:color w:val="auto"/>
        </w:rPr>
        <w:t>(State or other jurisdiction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 No.)</w:t>
      </w:r>
    </w:p>
    <w:p>
      <w:pPr>
        <w:spacing w:after="0" w:line="9"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3000"/>
        <w:spacing w:after="0"/>
        <w:tabs>
          <w:tab w:leader="none" w:pos="8140" w:val="left"/>
        </w:tabs>
        <w:rPr>
          <w:sz w:val="20"/>
          <w:szCs w:val="20"/>
          <w:color w:val="auto"/>
        </w:rPr>
      </w:pPr>
      <w:r>
        <w:rPr>
          <w:rFonts w:ascii="Arial" w:cs="Arial" w:eastAsia="Arial" w:hAnsi="Arial"/>
          <w:sz w:val="18"/>
          <w:szCs w:val="18"/>
          <w:b w:val="1"/>
          <w:bCs w:val="1"/>
          <w:color w:val="auto"/>
        </w:rPr>
        <w:t>590 Madison Avenue, 15th Floor, New York, NY</w:t>
      </w:r>
      <w:r>
        <w:rPr>
          <w:sz w:val="20"/>
          <w:szCs w:val="20"/>
          <w:color w:val="auto"/>
        </w:rPr>
        <w:tab/>
      </w:r>
      <w:r>
        <w:rPr>
          <w:rFonts w:ascii="Arial" w:cs="Arial" w:eastAsia="Arial" w:hAnsi="Arial"/>
          <w:sz w:val="15"/>
          <w:szCs w:val="15"/>
          <w:b w:val="1"/>
          <w:bCs w:val="1"/>
          <w:color w:val="auto"/>
        </w:rPr>
        <w:t>10022</w:t>
      </w:r>
    </w:p>
    <w:p>
      <w:pPr>
        <w:spacing w:after="0" w:line="21" w:lineRule="exact"/>
        <w:rPr>
          <w:sz w:val="24"/>
          <w:szCs w:val="24"/>
          <w:color w:val="auto"/>
        </w:rPr>
      </w:pPr>
    </w:p>
    <w:p>
      <w:pPr>
        <w:ind w:left="3400"/>
        <w:spacing w:after="0"/>
        <w:tabs>
          <w:tab w:leader="none" w:pos="79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212-905-1000</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right="160"/>
        <w:spacing w:after="0" w:line="25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9" w:lineRule="exact"/>
        <w:rPr>
          <w:rFonts w:ascii="Arial" w:cs="Arial" w:eastAsia="Arial" w:hAnsi="Arial"/>
          <w:sz w:val="18"/>
          <w:szCs w:val="18"/>
          <w:color w:val="auto"/>
        </w:rPr>
      </w:pP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36" w:lineRule="exact"/>
        <w:rPr>
          <w:rFonts w:ascii="Arial" w:cs="Arial" w:eastAsia="Arial" w:hAnsi="Arial"/>
          <w:sz w:val="18"/>
          <w:szCs w:val="18"/>
          <w:color w:val="auto"/>
        </w:rPr>
      </w:pP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6" w:lineRule="exact"/>
        <w:rPr>
          <w:rFonts w:ascii="Arial" w:cs="Arial" w:eastAsia="Arial" w:hAnsi="Arial"/>
          <w:sz w:val="18"/>
          <w:szCs w:val="18"/>
          <w:color w:val="auto"/>
        </w:rPr>
      </w:pP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pacing w:after="0" w:line="3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25" w:lineRule="exact"/>
        <w:rPr>
          <w:sz w:val="24"/>
          <w:szCs w:val="24"/>
          <w:color w:val="auto"/>
        </w:rPr>
      </w:pPr>
    </w:p>
    <w:p>
      <w:pPr>
        <w:ind w:right="740"/>
        <w:spacing w:after="0" w:line="331" w:lineRule="auto"/>
        <w:rPr>
          <w:sz w:val="20"/>
          <w:szCs w:val="20"/>
          <w:color w:val="auto"/>
        </w:rPr>
      </w:pPr>
      <w:r>
        <w:rPr>
          <w:rFonts w:ascii="Arial" w:cs="Arial" w:eastAsia="Arial" w:hAnsi="Arial"/>
          <w:sz w:val="16"/>
          <w:szCs w:val="16"/>
          <w:color w:val="auto"/>
        </w:rPr>
        <w:t>On October 22, 2009, PennantPark Investment Corporation issued a press release announcing its scheduled earnings release for the fiscal year ended September 30, 2009. A copy of the press release is furnished as Exhibit 99.1 to this report, pursuant to Item 7.01 and Regulation FD.</w:t>
      </w:r>
    </w:p>
    <w:p>
      <w:pPr>
        <w:spacing w:after="0" w:line="12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9" w:lineRule="exact"/>
        <w:rPr>
          <w:sz w:val="24"/>
          <w:szCs w:val="24"/>
          <w:color w:val="auto"/>
        </w:rPr>
      </w:pPr>
    </w:p>
    <w:p>
      <w:pPr>
        <w:ind w:left="360" w:right="9320" w:hanging="352"/>
        <w:spacing w:after="0" w:line="275" w:lineRule="auto"/>
        <w:tabs>
          <w:tab w:leader="none" w:pos="25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spacing w:after="0" w:line="173" w:lineRule="exact"/>
        <w:rPr>
          <w:rFonts w:ascii="Arial" w:cs="Arial" w:eastAsia="Arial" w:hAnsi="Arial"/>
          <w:sz w:val="18"/>
          <w:szCs w:val="18"/>
          <w:b w:val="1"/>
          <w:bCs w:val="1"/>
          <w:color w:val="auto"/>
        </w:rPr>
      </w:pPr>
    </w:p>
    <w:p>
      <w:pPr>
        <w:ind w:left="360" w:right="8440" w:hanging="352"/>
        <w:spacing w:after="0" w:line="275" w:lineRule="auto"/>
        <w:tabs>
          <w:tab w:leader="none" w:pos="26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73" w:lineRule="exact"/>
        <w:rPr>
          <w:rFonts w:ascii="Arial" w:cs="Arial" w:eastAsia="Arial" w:hAnsi="Arial"/>
          <w:sz w:val="18"/>
          <w:szCs w:val="18"/>
          <w:b w:val="1"/>
          <w:bCs w:val="1"/>
          <w:color w:val="auto"/>
        </w:rPr>
      </w:pPr>
    </w:p>
    <w:p>
      <w:pPr>
        <w:ind w:left="360" w:right="8820" w:hanging="352"/>
        <w:spacing w:after="0" w:line="275" w:lineRule="auto"/>
        <w:tabs>
          <w:tab w:leader="none" w:pos="24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33" w:lineRule="exact"/>
        <w:rPr>
          <w:rFonts w:ascii="Arial" w:cs="Arial" w:eastAsia="Arial" w:hAnsi="Arial"/>
          <w:sz w:val="18"/>
          <w:szCs w:val="18"/>
          <w:b w:val="1"/>
          <w:bCs w:val="1"/>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99.1  Press Release of PennantPark Investment Corporation dated October 22,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SIGNATURE</w:t>
      </w:r>
    </w:p>
    <w:p>
      <w:pPr>
        <w:sectPr>
          <w:pgSz w:w="11900" w:h="16899" w:orient="portrait"/>
          <w:cols w:equalWidth="0" w:num="1">
            <w:col w:w="11180"/>
          </w:cols>
          <w:pgMar w:left="320" w:top="206" w:right="399" w:bottom="0" w:gutter="0" w:footer="0" w:header="0"/>
        </w:sectPr>
      </w:pPr>
    </w:p>
    <w:p>
      <w:pPr>
        <w:spacing w:after="0" w:line="225" w:lineRule="exact"/>
        <w:rPr>
          <w:sz w:val="24"/>
          <w:szCs w:val="24"/>
          <w:color w:val="auto"/>
        </w:rPr>
      </w:pPr>
    </w:p>
    <w:p>
      <w:pPr>
        <w:ind w:firstLine="175"/>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ectPr>
          <w:pgSz w:w="11900" w:h="16899" w:orient="portrait"/>
          <w:cols w:equalWidth="0" w:num="1">
            <w:col w:w="11180"/>
          </w:cols>
          <w:pgMar w:left="320" w:top="206" w:right="3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5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89"/>
              </w:rPr>
              <w:t>PennantPark Investment Corporation</w:t>
            </w:r>
          </w:p>
        </w:tc>
      </w:tr>
      <w:tr>
        <w:trPr>
          <w:trHeight w:val="120"/>
        </w:trPr>
        <w:tc>
          <w:tcPr>
            <w:tcW w:w="5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r>
      <w:tr>
        <w:trPr>
          <w:trHeight w:val="319"/>
        </w:trPr>
        <w:tc>
          <w:tcPr>
            <w:tcW w:w="5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89"/>
              </w:rPr>
              <w:t>(Registrant)</w:t>
            </w:r>
          </w:p>
        </w:tc>
      </w:tr>
      <w:tr>
        <w:trPr>
          <w:trHeight w:val="432"/>
        </w:trPr>
        <w:tc>
          <w:tcPr>
            <w:tcW w:w="59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October 22, 2009</w:t>
            </w: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7"/>
              </w:rPr>
              <w:t>/s/  AVIV EFRAT</w:t>
            </w:r>
          </w:p>
        </w:tc>
      </w:tr>
      <w:tr>
        <w:trPr>
          <w:trHeight w:val="120"/>
        </w:trPr>
        <w:tc>
          <w:tcPr>
            <w:tcW w:w="534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r>
      <w:tr>
        <w:trPr>
          <w:trHeight w:val="312"/>
        </w:trPr>
        <w:tc>
          <w:tcPr>
            <w:tcW w:w="590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(Date)</w:t>
            </w:r>
          </w:p>
        </w:tc>
        <w:tc>
          <w:tcPr>
            <w:tcW w:w="5340" w:type="dxa"/>
            <w:vAlign w:val="bottom"/>
          </w:tcPr>
          <w:p>
            <w:pPr>
              <w:jc w:val="center"/>
              <w:spacing w:after="0"/>
              <w:rPr>
                <w:sz w:val="20"/>
                <w:szCs w:val="20"/>
                <w:color w:val="auto"/>
              </w:rPr>
            </w:pPr>
            <w:r>
              <w:rPr>
                <w:rFonts w:ascii="Arial" w:cs="Arial" w:eastAsia="Arial" w:hAnsi="Arial"/>
                <w:sz w:val="18"/>
                <w:szCs w:val="18"/>
                <w:color w:val="auto"/>
                <w:w w:val="96"/>
              </w:rPr>
              <w:t>Aviv Efrat</w:t>
            </w:r>
          </w:p>
        </w:tc>
      </w:tr>
      <w:tr>
        <w:trPr>
          <w:trHeight w:val="222"/>
        </w:trPr>
        <w:tc>
          <w:tcPr>
            <w:tcW w:w="5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i w:val="1"/>
                <w:iCs w:val="1"/>
                <w:color w:val="auto"/>
                <w:w w:val="91"/>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-919480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-919480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-353695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-353695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-353695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1361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8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25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PennantPark Investment Corporation dated October 22, 2009</w:t>
      </w:r>
    </w:p>
    <w:p>
      <w:pPr>
        <w:sectPr>
          <w:pgSz w:w="11900" w:h="16838" w:orient="portrait"/>
          <w:cols w:equalWidth="0" w:num="1">
            <w:col w:w="11240"/>
          </w:cols>
          <w:pgMar w:left="320" w:top="125" w:right="339" w:bottom="1440" w:gutter="0" w:footer="0" w:header="0"/>
        </w:sectPr>
      </w:pPr>
    </w:p>
    <w:bookmarkStart w:id="2" w:name="page3"/>
    <w:bookmarkEnd w:id="2"/>
    <w:p>
      <w:pPr>
        <w:ind w:left="9940"/>
        <w:spacing w:after="0"/>
        <w:rPr>
          <w:sz w:val="20"/>
          <w:szCs w:val="20"/>
          <w:color w:val="auto"/>
        </w:rPr>
      </w:pPr>
      <w:r>
        <w:rPr>
          <w:rFonts w:ascii="Arial" w:cs="Arial" w:eastAsia="Arial" w:hAnsi="Arial"/>
          <w:sz w:val="21"/>
          <w:szCs w:val="21"/>
          <w:color w:val="auto"/>
        </w:rPr>
        <w:t>EXHIBIT 99.1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PennantPark Investment Corporation Schedules Earnings Release of Fiscal Year Ended 2009 Results</w:t>
      </w:r>
    </w:p>
    <w:p>
      <w:pPr>
        <w:spacing w:after="0" w:line="278"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NEW YORK, Oct. 22, 2009 (GLOBE NEWSWIRE) -- PennantPark Investment Corporation (the "Company") (Nasdaq:PNNT) announced today that it will report its fiscal year ended September 30, 2009 results on Wednesday, November 18, 2009 after the close of the financial markets.</w:t>
      </w:r>
    </w:p>
    <w:p>
      <w:pPr>
        <w:spacing w:after="0" w:line="186"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Thursday, November 19, 2009 to discuss the quarterly results. All interested parties are welcome to participate. You can access the conference call by dialing (888) 500-6955 approximately 5-10 minutes prior to the call. International callers should dial (719) 325-2171. All callers should reference PennantPark Investment Corporation. An archived replay of the call will be available through December 3, 2009 by calling (888) 203-1112. International callers please dial (719) 457-0820. For all replays, please reference conference ID #4343815.</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20"/>
        <w:spacing w:after="0" w:line="252" w:lineRule="auto"/>
        <w:rPr>
          <w:sz w:val="20"/>
          <w:szCs w:val="20"/>
          <w:color w:val="auto"/>
        </w:rPr>
      </w:pPr>
      <w:r>
        <w:rPr>
          <w:rFonts w:ascii="Arial" w:cs="Arial" w:eastAsia="Arial" w:hAnsi="Arial"/>
          <w:sz w:val="21"/>
          <w:szCs w:val="21"/>
          <w:color w:val="auto"/>
        </w:rPr>
        <w:t>PennantPark Investment Corporation is a business development company which principally invests in U.S. middle-market private companies in the form of mezzanine debt, senior secured loans and equity investments. From time to time, the Company may also invest in public companies whose securities are thinly traded or who have a market cap of less than $250 million. PennantPark Investment Corporation is managed by PennantPark Investment Advisers, LLC.</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 All forward-looking statements speak only as of the date of this press release.</w:t>
      </w:r>
    </w:p>
    <w:p>
      <w:pPr>
        <w:spacing w:after="0" w:line="16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tab/>
        <w:t>PennantPark Investment Corporation</w:t>
      </w:r>
    </w:p>
    <w:p>
      <w:pPr>
        <w:ind w:left="1060"/>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5" w:lineRule="exact"/>
        <w:rPr>
          <w:sz w:val="20"/>
          <w:szCs w:val="20"/>
          <w:color w:val="auto"/>
        </w:rPr>
      </w:pPr>
    </w:p>
    <w:p>
      <w:pPr>
        <w:ind w:left="1060" w:right="8180" w:firstLine="1"/>
        <w:spacing w:after="0" w:line="290" w:lineRule="auto"/>
        <w:tabs>
          <w:tab w:leader="none" w:pos="169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2020-05-05T15:07:37Z</dcterms:created>
  <dcterms:modified xsi:type="dcterms:W3CDTF">2020-05-05T15:07:37Z</dcterms:modified>
</cp:coreProperties>
</file>