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ind w:left="324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4204970</wp:posOffset>
            </wp:positionH>
            <wp:positionV relativeFrom="paragraph">
              <wp:posOffset>-7620</wp:posOffset>
            </wp:positionV>
            <wp:extent cx="342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41"/>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(212)-905-1000</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10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6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6160" w:type="dxa"/>
            <w:vAlign w:val="bottom"/>
          </w:tcPr>
          <w:p>
            <w:pPr>
              <w:ind w:left="2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2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7720" w:type="dxa"/>
            <w:vAlign w:val="bottom"/>
            <w:gridSpan w:val="2"/>
          </w:tcPr>
          <w:p>
            <w:pPr>
              <w:ind w:left="56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31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400" w:type="dxa"/>
            <w:vAlign w:val="bottom"/>
          </w:tcPr>
          <w:p>
            <w:pPr>
              <w:spacing w:after="0"/>
              <w:rPr>
                <w:sz w:val="24"/>
                <w:szCs w:val="24"/>
                <w:color w:val="auto"/>
              </w:rPr>
            </w:pPr>
          </w:p>
        </w:tc>
      </w:tr>
      <w:tr>
        <w:trPr>
          <w:trHeight w:val="335"/>
        </w:trPr>
        <w:tc>
          <w:tcPr>
            <w:tcW w:w="7720" w:type="dxa"/>
            <w:vAlign w:val="bottom"/>
            <w:gridSpan w:val="2"/>
          </w:tcPr>
          <w:p>
            <w:pPr>
              <w:ind w:left="560"/>
              <w:spacing w:after="0"/>
              <w:rPr>
                <w:sz w:val="20"/>
                <w:szCs w:val="20"/>
                <w:color w:val="auto"/>
              </w:rPr>
            </w:pPr>
            <w:r>
              <w:rPr>
                <w:rFonts w:ascii="Arial" w:cs="Arial" w:eastAsia="Arial" w:hAnsi="Arial"/>
                <w:sz w:val="14"/>
                <w:szCs w:val="14"/>
                <w:color w:val="auto"/>
                <w:w w:val="97"/>
              </w:rPr>
              <w:t>The number of shares of the issuer’s common stock, $0.001 par value, outstanding as of May 7, 2014 was 66,569,036.</w:t>
            </w:r>
          </w:p>
        </w:tc>
        <w:tc>
          <w:tcPr>
            <w:tcW w:w="3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3"/>
        </w:trPr>
        <w:tc>
          <w:tcPr>
            <w:tcW w:w="1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w:t>
      </w:r>
    </w:p>
    <w:p>
      <w:pPr>
        <w:jc w:val="center"/>
        <w:ind w:right="-79"/>
        <w:spacing w:after="0" w:line="221" w:lineRule="auto"/>
        <w:rPr>
          <w:sz w:val="20"/>
          <w:szCs w:val="20"/>
          <w:color w:val="auto"/>
        </w:rPr>
      </w:pPr>
      <w:r>
        <w:rPr>
          <w:rFonts w:ascii="Arial" w:cs="Arial" w:eastAsia="Arial" w:hAnsi="Arial"/>
          <w:sz w:val="14"/>
          <w:szCs w:val="14"/>
          <w:b w:val="1"/>
          <w:bCs w:val="1"/>
          <w:color w:val="auto"/>
        </w:rPr>
        <w:t>FOR THE QUARTER ENDED MARCH 31, 2014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March 31, 2014 (unaudited) and September 30, 2013</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six months ended March 31,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six months ended March 31,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4"/>
        </w:trPr>
        <w:tc>
          <w:tcPr>
            <w:tcW w:w="91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six months ended March 31, 2014 and 2013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March 31, 2014 (unaudited) and September 30, 2013</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3"/>
        </w:trPr>
        <w:tc>
          <w:tcPr>
            <w:tcW w:w="9100" w:type="dxa"/>
            <w:vAlign w:val="bottom"/>
          </w:tcPr>
          <w:p>
            <w:pPr>
              <w:ind w:left="360"/>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28">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00" w:type="dxa"/>
            <w:vAlign w:val="bottom"/>
          </w:tcPr>
          <w:p>
            <w:pPr>
              <w:ind w:left="4280"/>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0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84"/>
        </w:trPr>
        <w:tc>
          <w:tcPr>
            <w:tcW w:w="9100" w:type="dxa"/>
            <w:vAlign w:val="bottom"/>
          </w:tcPr>
          <w:p>
            <w:pPr>
              <w:spacing w:after="0"/>
              <w:rPr>
                <w:rFonts w:ascii="Arial" w:cs="Arial" w:eastAsia="Arial" w:hAnsi="Arial"/>
                <w:sz w:val="14"/>
                <w:szCs w:val="14"/>
                <w:b w:val="1"/>
                <w:bCs w:val="1"/>
                <w:u w:val="single" w:color="auto"/>
                <w:color w:val="0000EE"/>
              </w:rPr>
            </w:pPr>
            <w:hyperlink w:anchor="page39">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97"/>
        </w:trPr>
        <w:tc>
          <w:tcPr>
            <w:tcW w:w="91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March 31, 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September 30, 2013</w:t>
            </w:r>
          </w:p>
        </w:tc>
      </w:t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68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0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Non-controlled, non-affiliated investments (cost—$1,021,017,312 and $928,078,589, respectively)</w:t>
            </w:r>
          </w:p>
        </w:tc>
        <w:tc>
          <w:tcPr>
            <w:tcW w:w="12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1,091,405,997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968,471,042</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ind w:left="120"/>
              <w:spacing w:after="0" w:line="149" w:lineRule="exact"/>
              <w:rPr>
                <w:sz w:val="20"/>
                <w:szCs w:val="20"/>
                <w:color w:val="auto"/>
              </w:rPr>
            </w:pPr>
            <w:r>
              <w:rPr>
                <w:rFonts w:ascii="Arial" w:cs="Arial" w:eastAsia="Arial" w:hAnsi="Arial"/>
                <w:sz w:val="14"/>
                <w:szCs w:val="14"/>
                <w:color w:val="auto"/>
              </w:rPr>
              <w:t>Non-controlled, affiliated investments (cost—$107,758,689 and $99,021,141, respectively)</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81,022,008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76,735,800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Controlled, affiliated investments (cost—$103,035,435 and $64,418,155, respectively)</w:t>
            </w:r>
          </w:p>
        </w:tc>
        <w:tc>
          <w:tcPr>
            <w:tcW w:w="10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84,546,168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32,968,711</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120"/>
              <w:spacing w:after="0" w:line="155" w:lineRule="exact"/>
              <w:rPr>
                <w:sz w:val="20"/>
                <w:szCs w:val="20"/>
                <w:color w:val="auto"/>
              </w:rPr>
            </w:pPr>
            <w:r>
              <w:rPr>
                <w:rFonts w:ascii="Arial" w:cs="Arial" w:eastAsia="Arial" w:hAnsi="Arial"/>
                <w:sz w:val="14"/>
                <w:szCs w:val="14"/>
                <w:color w:val="auto"/>
              </w:rPr>
              <w:t>Total of investments (cost—$1,231,811,436 and $1,091,517,885, respectively)</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1,256,974,173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1,078,175,553</w:t>
            </w: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(cost—$56,300,349 and $58,440,829, respectively) (See Note 8)</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56,302,305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11,498,342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10,894,893</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10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6,649,539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5,815,817</w:t>
            </w:r>
          </w:p>
        </w:tc>
        <w:tc>
          <w:tcPr>
            <w:tcW w:w="10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1,331,424,359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18,639,330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18,619,812</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52,544,704</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22,875,000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7,241,667</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(cost—$313,809,200 and $145,500,000, respectively) (See Notes 5 and 10)</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313,686,977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145,500,000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10)</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 payable (cost—$71,250,000) (See Notes 5 and 10)</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70,566,000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68,400,000</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6,027,293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5,419,557</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5,007,264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4,274,881</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Interest payable on debt</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1,687,100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1,810,466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0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1,772,583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2,009,806</w:t>
            </w: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w:t>
            </w: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590,261,547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455,820,893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6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66,569,036 and 66,499,327 shares issued and outstanding, respectively.</w:t>
            </w: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Par value $0.001 per share and 100,000,000 shares authorized.</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66,499</w:t>
            </w: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756,809,951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756,017,096</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(3,963,461)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(4,675,217)</w:t>
            </w:r>
          </w:p>
        </w:tc>
      </w:tr>
      <w:tr>
        <w:trPr>
          <w:trHeight w:val="148"/>
        </w:trPr>
        <w:tc>
          <w:tcPr>
            <w:tcW w:w="20" w:type="dxa"/>
            <w:vAlign w:val="bottom"/>
          </w:tcPr>
          <w:p>
            <w:pPr>
              <w:spacing w:after="0"/>
              <w:rPr>
                <w:sz w:val="12"/>
                <w:szCs w:val="12"/>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(37,721,163)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(43,409,847)</w:t>
            </w:r>
          </w:p>
        </w:tc>
      </w:tr>
      <w:tr>
        <w:trPr>
          <w:trHeight w:val="148"/>
        </w:trPr>
        <w:tc>
          <w:tcPr>
            <w:tcW w:w="20" w:type="dxa"/>
            <w:vAlign w:val="bottom"/>
          </w:tcPr>
          <w:p>
            <w:pPr>
              <w:spacing w:after="0"/>
              <w:rPr>
                <w:sz w:val="12"/>
                <w:szCs w:val="12"/>
                <w:color w:val="auto"/>
              </w:rPr>
            </w:pPr>
          </w:p>
        </w:tc>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appreciation (depreciation) on investments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25,164,693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(13,342,332)</w:t>
            </w:r>
          </w:p>
        </w:tc>
      </w:tr>
      <w:tr>
        <w:trPr>
          <w:trHeight w:val="155"/>
        </w:trPr>
        <w:tc>
          <w:tcPr>
            <w:tcW w:w="20" w:type="dxa"/>
            <w:vAlign w:val="bottom"/>
          </w:tcPr>
          <w:p>
            <w:pPr>
              <w:spacing w:after="0"/>
              <w:rPr>
                <w:sz w:val="13"/>
                <w:szCs w:val="13"/>
                <w:color w:val="auto"/>
              </w:rPr>
            </w:pPr>
          </w:p>
        </w:tc>
        <w:tc>
          <w:tcPr>
            <w:tcW w:w="68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806,223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2,850,000</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84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net assets</w:t>
            </w:r>
          </w:p>
        </w:tc>
        <w:tc>
          <w:tcPr>
            <w:tcW w:w="12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741,162,812</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84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1,331,424,359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1,153,327,092</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200" w:type="dxa"/>
            <w:vAlign w:val="bottom"/>
            <w:gridSpan w:val="2"/>
            <w:shd w:val="clear" w:color="auto" w:fill="CCEEFF"/>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11.13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w w:val="92"/>
              </w:rPr>
              <w:t>Three Months Ended March 31,</w:t>
            </w:r>
          </w:p>
        </w:tc>
        <w:tc>
          <w:tcPr>
            <w:tcW w:w="220" w:type="dxa"/>
            <w:vAlign w:val="bottom"/>
          </w:tcPr>
          <w:p>
            <w:pPr>
              <w:spacing w:after="0"/>
              <w:rPr>
                <w:sz w:val="13"/>
                <w:szCs w:val="13"/>
                <w:color w:val="auto"/>
              </w:rPr>
            </w:pPr>
          </w:p>
        </w:tc>
        <w:tc>
          <w:tcPr>
            <w:tcW w:w="20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4"/>
              </w:rPr>
              <w:t>Six Months Ended March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 from:</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line="149" w:lineRule="exact"/>
              <w:rPr>
                <w:sz w:val="20"/>
                <w:szCs w:val="20"/>
                <w:color w:val="auto"/>
              </w:rPr>
            </w:pPr>
            <w:r>
              <w:rPr>
                <w:rFonts w:ascii="Arial" w:cs="Arial" w:eastAsia="Arial" w:hAnsi="Arial"/>
                <w:sz w:val="14"/>
                <w:szCs w:val="14"/>
                <w:color w:val="auto"/>
              </w:rPr>
              <w:t>Non-controlled, non-affiliated investments: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31,858,467</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28,058,570</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60,823,402</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53,827,187</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2,336,170</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876,680</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4,851,027</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5,242,954</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Non-controlled, affiliated investments:</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1,453,003</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938,261</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2,717,613</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2,330,764</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income</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227,800</w:t>
            </w:r>
          </w:p>
        </w:tc>
        <w:tc>
          <w:tcPr>
            <w:tcW w:w="0" w:type="dxa"/>
            <w:vAlign w:val="bottom"/>
          </w:tcPr>
          <w:p>
            <w:pPr>
              <w:spacing w:after="0"/>
              <w:rPr>
                <w:sz w:val="1"/>
                <w:szCs w:val="1"/>
                <w:color w:val="auto"/>
              </w:rPr>
            </w:pPr>
          </w:p>
        </w:tc>
      </w:tr>
      <w:tr>
        <w:trPr>
          <w:trHeight w:val="148"/>
        </w:trPr>
        <w:tc>
          <w:tcPr>
            <w:tcW w:w="6440" w:type="dxa"/>
            <w:vAlign w:val="bottom"/>
          </w:tcPr>
          <w:p>
            <w:pPr>
              <w:spacing w:after="0" w:line="149" w:lineRule="exact"/>
              <w:rPr>
                <w:sz w:val="20"/>
                <w:szCs w:val="20"/>
                <w:color w:val="auto"/>
              </w:rPr>
            </w:pPr>
            <w:r>
              <w:rPr>
                <w:rFonts w:ascii="Arial" w:cs="Arial" w:eastAsia="Arial" w:hAnsi="Arial"/>
                <w:sz w:val="14"/>
                <w:szCs w:val="14"/>
                <w:color w:val="auto"/>
              </w:rPr>
              <w:t>Controlled, affiliated investments: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2,231,179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1,183,750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3,624,633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2,386,457</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Other income</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300,833</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37,878,819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31,057,261</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72,317,508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64,015,162</w:t>
            </w:r>
          </w:p>
        </w:tc>
        <w:tc>
          <w:tcPr>
            <w:tcW w:w="0" w:type="dxa"/>
            <w:vAlign w:val="bottom"/>
          </w:tcPr>
          <w:p>
            <w:pPr>
              <w:spacing w:after="0"/>
              <w:rPr>
                <w:sz w:val="1"/>
                <w:szCs w:val="1"/>
                <w:color w:val="auto"/>
              </w:rPr>
            </w:pPr>
          </w:p>
        </w:tc>
      </w:tr>
      <w:tr>
        <w:trPr>
          <w:trHeight w:val="155"/>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Base management fee (See Note 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6,027,293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5,328,100</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11,774,353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10,456,711</w:t>
            </w:r>
          </w:p>
        </w:tc>
        <w:tc>
          <w:tcPr>
            <w:tcW w:w="0" w:type="dxa"/>
            <w:vAlign w:val="bottom"/>
          </w:tcPr>
          <w:p>
            <w:pPr>
              <w:spacing w:after="0"/>
              <w:rPr>
                <w:sz w:val="1"/>
                <w:szCs w:val="1"/>
                <w:color w:val="auto"/>
              </w:rPr>
            </w:pPr>
          </w:p>
        </w:tc>
      </w:tr>
      <w:tr>
        <w:trPr>
          <w:trHeight w:val="149"/>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5,007,264</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3,559,244</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9,496,043</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8,104,498</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5,099,113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3,984,909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9,672,746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7,079,774</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928,954</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1,155,537</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1,840,550</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2,327,859</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778,592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719,423</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1,541,096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1,479,955</w:t>
            </w:r>
          </w:p>
        </w:tc>
        <w:tc>
          <w:tcPr>
            <w:tcW w:w="0" w:type="dxa"/>
            <w:vAlign w:val="bottom"/>
          </w:tcPr>
          <w:p>
            <w:pPr>
              <w:spacing w:after="0"/>
              <w:rPr>
                <w:sz w:val="1"/>
                <w:szCs w:val="1"/>
                <w:color w:val="auto"/>
              </w:rPr>
            </w:pPr>
          </w:p>
        </w:tc>
      </w:tr>
      <w:tr>
        <w:trPr>
          <w:trHeight w:val="156"/>
        </w:trPr>
        <w:tc>
          <w:tcPr>
            <w:tcW w:w="64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Expenses before taxes and debt issuance costs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17,841,216</w:t>
            </w: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14,747,213</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34,324,788</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29,448,797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Tax expense (benefit)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8,548</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(190,197)</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(114,896)</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Debt issuance costs (See Note 5)</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2,437,500</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2,437,500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Total expenses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17,849,764</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16,994,516</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34,333,336</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31,771,401</w:t>
            </w:r>
          </w:p>
        </w:tc>
        <w:tc>
          <w:tcPr>
            <w:tcW w:w="0" w:type="dxa"/>
            <w:vAlign w:val="bottom"/>
          </w:tcPr>
          <w:p>
            <w:pPr>
              <w:spacing w:after="0"/>
              <w:rPr>
                <w:sz w:val="1"/>
                <w:szCs w:val="1"/>
                <w:color w:val="auto"/>
              </w:rPr>
            </w:pPr>
          </w:p>
        </w:tc>
      </w:tr>
      <w:tr>
        <w:trPr>
          <w:trHeight w:val="163"/>
        </w:trPr>
        <w:tc>
          <w:tcPr>
            <w:tcW w:w="64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20,029,055</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14,062,745</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37,984,172</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32,243,761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line="149" w:lineRule="exact"/>
              <w:rPr>
                <w:sz w:val="20"/>
                <w:szCs w:val="20"/>
                <w:color w:val="auto"/>
              </w:rPr>
            </w:pPr>
            <w:r>
              <w:rPr>
                <w:rFonts w:ascii="Arial" w:cs="Arial" w:eastAsia="Arial" w:hAnsi="Arial"/>
                <w:sz w:val="14"/>
                <w:szCs w:val="14"/>
                <w:color w:val="auto"/>
              </w:rPr>
              <w:t>Net realized gain (loss) on investments</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3,029,573</w:t>
            </w:r>
          </w:p>
        </w:tc>
        <w:tc>
          <w:tcPr>
            <w:tcW w:w="2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(1,830,764)</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5,688,684</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(959,632)</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Non-controlled, non-affiliated investments</w:t>
            </w: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15,782,680</w:t>
            </w:r>
          </w:p>
        </w:tc>
        <w:tc>
          <w:tcPr>
            <w:tcW w:w="20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26,227,226</w:t>
            </w:r>
          </w:p>
        </w:tc>
        <w:tc>
          <w:tcPr>
            <w:tcW w:w="2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29,998,188</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32,289,547</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Controlled and non-controlled, affiliated investments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7,987,620</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(11,059,378)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8,508,837</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(7,085,161)</w:t>
            </w:r>
          </w:p>
        </w:tc>
        <w:tc>
          <w:tcPr>
            <w:tcW w:w="0" w:type="dxa"/>
            <w:vAlign w:val="bottom"/>
          </w:tcPr>
          <w:p>
            <w:pPr>
              <w:spacing w:after="0"/>
              <w:rPr>
                <w:sz w:val="1"/>
                <w:szCs w:val="1"/>
                <w:color w:val="auto"/>
              </w:rPr>
            </w:pPr>
          </w:p>
        </w:tc>
      </w:tr>
      <w:tr>
        <w:trPr>
          <w:trHeight w:val="148"/>
        </w:trPr>
        <w:tc>
          <w:tcPr>
            <w:tcW w:w="6440" w:type="dxa"/>
            <w:vAlign w:val="bottom"/>
          </w:tcPr>
          <w:p>
            <w:pPr>
              <w:ind w:left="360"/>
              <w:spacing w:after="0" w:line="149" w:lineRule="exact"/>
              <w:rPr>
                <w:sz w:val="20"/>
                <w:szCs w:val="20"/>
                <w:color w:val="auto"/>
              </w:rPr>
            </w:pPr>
            <w:r>
              <w:rPr>
                <w:rFonts w:ascii="Arial" w:cs="Arial" w:eastAsia="Arial" w:hAnsi="Arial"/>
                <w:sz w:val="14"/>
                <w:szCs w:val="14"/>
                <w:color w:val="auto"/>
              </w:rPr>
              <w:t>Debt appreciation (See Notes 5 and 10)</w:t>
            </w:r>
          </w:p>
        </w:tc>
        <w:tc>
          <w:tcPr>
            <w:tcW w:w="1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(6,147,777)</w:t>
            </w:r>
          </w:p>
        </w:tc>
        <w:tc>
          <w:tcPr>
            <w:tcW w:w="2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(427,500)</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(2,043,777)</w:t>
            </w:r>
          </w:p>
        </w:tc>
        <w:tc>
          <w:tcPr>
            <w:tcW w:w="2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(975,000)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4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Net change in unrealized appreciation on investments and debt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17,622,523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14,740,348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36,463,248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24,229,386</w:t>
            </w:r>
          </w:p>
        </w:tc>
        <w:tc>
          <w:tcPr>
            <w:tcW w:w="0" w:type="dxa"/>
            <w:vAlign w:val="bottom"/>
          </w:tcPr>
          <w:p>
            <w:pPr>
              <w:spacing w:after="0"/>
              <w:rPr>
                <w:sz w:val="1"/>
                <w:szCs w:val="1"/>
                <w:color w:val="auto"/>
              </w:rPr>
            </w:pPr>
          </w:p>
        </w:tc>
      </w:tr>
      <w:tr>
        <w:trPr>
          <w:trHeight w:val="163"/>
        </w:trPr>
        <w:tc>
          <w:tcPr>
            <w:tcW w:w="644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debt</w:t>
            </w: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20,652,096</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12,909,584</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42,151,932</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23,269,754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40,681,151</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26,972,329</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80,136,104</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55,513,515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40" w:type="dxa"/>
            <w:vAlign w:val="bottom"/>
            <w:vMerge w:val="continue"/>
          </w:tcPr>
          <w:p>
            <w:pPr>
              <w:spacing w:after="0"/>
              <w:rPr>
                <w:sz w:val="13"/>
                <w:szCs w:val="13"/>
                <w:color w:val="auto"/>
              </w:rPr>
            </w:pPr>
          </w:p>
        </w:tc>
        <w:tc>
          <w:tcPr>
            <w:tcW w:w="18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0.61</w:t>
            </w:r>
          </w:p>
        </w:tc>
        <w:tc>
          <w:tcPr>
            <w:tcW w:w="280" w:type="dxa"/>
            <w:vAlign w:val="bottom"/>
          </w:tcPr>
          <w:p>
            <w:pPr>
              <w:spacing w:after="0"/>
              <w:rPr>
                <w:sz w:val="13"/>
                <w:szCs w:val="13"/>
                <w:color w:val="auto"/>
              </w:rPr>
            </w:pPr>
          </w:p>
        </w:tc>
        <w:tc>
          <w:tcPr>
            <w:tcW w:w="20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0.41</w:t>
            </w:r>
          </w:p>
        </w:tc>
        <w:tc>
          <w:tcPr>
            <w:tcW w:w="280" w:type="dxa"/>
            <w:vAlign w:val="bottom"/>
          </w:tcPr>
          <w:p>
            <w:pPr>
              <w:spacing w:after="0"/>
              <w:rPr>
                <w:sz w:val="13"/>
                <w:szCs w:val="13"/>
                <w:color w:val="auto"/>
              </w:rPr>
            </w:pPr>
          </w:p>
        </w:tc>
        <w:tc>
          <w:tcPr>
            <w:tcW w:w="22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1.20</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 per common share</w:t>
            </w:r>
          </w:p>
        </w:tc>
        <w:tc>
          <w:tcPr>
            <w:tcW w:w="1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0.30</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0.21</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0.57</w:t>
            </w:r>
          </w:p>
        </w:tc>
        <w:tc>
          <w:tcPr>
            <w:tcW w:w="2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79"/>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ind w:right="-67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9"/>
              <w:spacing w:after="0" w:line="142" w:lineRule="exact"/>
              <w:rPr>
                <w:sz w:val="20"/>
                <w:szCs w:val="20"/>
                <w:color w:val="auto"/>
              </w:rPr>
            </w:pPr>
            <w:r>
              <w:rPr>
                <w:rFonts w:ascii="Arial" w:cs="Arial" w:eastAsia="Arial" w:hAnsi="Arial"/>
                <w:sz w:val="13"/>
                <w:szCs w:val="13"/>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49"/>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Net investment income</w:t>
            </w:r>
          </w:p>
        </w:tc>
        <w:tc>
          <w:tcPr>
            <w:tcW w:w="21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37,984,172</w:t>
            </w:r>
          </w:p>
        </w:tc>
        <w:tc>
          <w:tcPr>
            <w:tcW w:w="3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32,243,761</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realized gain (loss) on investments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5,688,684</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(959,632)</w:t>
            </w:r>
          </w:p>
        </w:tc>
        <w:tc>
          <w:tcPr>
            <w:tcW w:w="0" w:type="dxa"/>
            <w:vAlign w:val="bottom"/>
          </w:tcPr>
          <w:p>
            <w:pPr>
              <w:spacing w:after="0"/>
              <w:rPr>
                <w:sz w:val="1"/>
                <w:szCs w:val="1"/>
                <w:color w:val="auto"/>
              </w:rPr>
            </w:pPr>
          </w:p>
        </w:tc>
      </w:tr>
      <w:tr>
        <w:trPr>
          <w:trHeight w:val="148"/>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Net change in unrealized appreciation on investments</w:t>
            </w: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38,507,025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25,204,386</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Net change in debt appreciation</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(2,043,777)</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(975,000)</w:t>
            </w:r>
          </w:p>
        </w:tc>
        <w:tc>
          <w:tcPr>
            <w:tcW w:w="0" w:type="dxa"/>
            <w:vAlign w:val="bottom"/>
          </w:tcPr>
          <w:p>
            <w:pPr>
              <w:spacing w:after="0"/>
              <w:rPr>
                <w:sz w:val="1"/>
                <w:szCs w:val="1"/>
                <w:color w:val="auto"/>
              </w:rPr>
            </w:pPr>
          </w:p>
        </w:tc>
      </w:tr>
      <w:tr>
        <w:trPr>
          <w:trHeight w:val="163"/>
        </w:trPr>
        <w:tc>
          <w:tcPr>
            <w:tcW w:w="594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8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80,136,104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55,513,515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Distributions</w:t>
            </w: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(37,272,416)</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(37,172,284)</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18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Public offering</w:t>
            </w: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7,574,000</w:t>
            </w: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Offering costs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(265,090)</w:t>
            </w:r>
          </w:p>
        </w:tc>
        <w:tc>
          <w:tcPr>
            <w:tcW w:w="0" w:type="dxa"/>
            <w:vAlign w:val="bottom"/>
          </w:tcPr>
          <w:p>
            <w:pPr>
              <w:spacing w:after="0"/>
              <w:rPr>
                <w:sz w:val="1"/>
                <w:szCs w:val="1"/>
                <w:color w:val="auto"/>
              </w:rPr>
            </w:pPr>
          </w:p>
        </w:tc>
      </w:tr>
      <w:tr>
        <w:trPr>
          <w:trHeight w:val="155"/>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Reinvestment of distributions</w:t>
            </w:r>
          </w:p>
        </w:tc>
        <w:tc>
          <w:tcPr>
            <w:tcW w:w="1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792,925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2,009,120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792,925</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9,318,030</w:t>
            </w:r>
          </w:p>
        </w:tc>
        <w:tc>
          <w:tcPr>
            <w:tcW w:w="0" w:type="dxa"/>
            <w:vAlign w:val="bottom"/>
          </w:tcPr>
          <w:p>
            <w:pPr>
              <w:spacing w:after="0"/>
              <w:rPr>
                <w:sz w:val="1"/>
                <w:szCs w:val="1"/>
                <w:color w:val="auto"/>
              </w:rPr>
            </w:pPr>
          </w:p>
        </w:tc>
      </w:tr>
      <w:tr>
        <w:trPr>
          <w:trHeight w:val="163"/>
        </w:trPr>
        <w:tc>
          <w:tcPr>
            <w:tcW w:w="59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18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43,656,613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27,659,261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Beginning of period</w:t>
            </w:r>
          </w:p>
        </w:tc>
        <w:tc>
          <w:tcPr>
            <w:tcW w:w="18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697,506,199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669,717,047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9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End of period</w:t>
            </w:r>
          </w:p>
        </w:tc>
        <w:tc>
          <w:tcPr>
            <w:tcW w:w="18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741,162,812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697,376,308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36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21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(3,963,461)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(2,124,126)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360"/>
              <w:spacing w:after="0" w:line="149" w:lineRule="exact"/>
              <w:rPr>
                <w:sz w:val="20"/>
                <w:szCs w:val="20"/>
                <w:color w:val="auto"/>
              </w:rPr>
            </w:pPr>
            <w:r>
              <w:rPr>
                <w:rFonts w:ascii="Arial" w:cs="Arial" w:eastAsia="Arial" w:hAnsi="Arial"/>
                <w:sz w:val="14"/>
                <w:szCs w:val="14"/>
                <w:color w:val="auto"/>
              </w:rPr>
              <w:t>Shares issued from public offering</w:t>
            </w: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40" w:type="dxa"/>
            <w:vAlign w:val="bottom"/>
            <w:shd w:val="clear" w:color="auto" w:fill="CCEEFF"/>
          </w:tcPr>
          <w:p>
            <w:pPr>
              <w:ind w:left="360"/>
              <w:spacing w:after="0" w:line="143" w:lineRule="exact"/>
              <w:rPr>
                <w:sz w:val="20"/>
                <w:szCs w:val="20"/>
                <w:color w:val="auto"/>
              </w:rPr>
            </w:pPr>
            <w:r>
              <w:rPr>
                <w:rFonts w:ascii="Arial" w:cs="Arial" w:eastAsia="Arial" w:hAnsi="Arial"/>
                <w:sz w:val="14"/>
                <w:szCs w:val="14"/>
                <w:color w:val="auto"/>
              </w:rPr>
              <w:t>Shares issued from reinvestment of distributions</w:t>
            </w:r>
          </w:p>
        </w:tc>
        <w:tc>
          <w:tcPr>
            <w:tcW w:w="1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69,709</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186,745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6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560"/>
          </w:cols>
          <w:pgMar w:left="320" w:top="459" w:right="10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7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Six Months Ended March 31,</w:t>
            </w: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9"/>
              <w:spacing w:after="0" w:line="142" w:lineRule="exact"/>
              <w:rPr>
                <w:sz w:val="20"/>
                <w:szCs w:val="20"/>
                <w:color w:val="auto"/>
              </w:rPr>
            </w:pPr>
            <w:r>
              <w:rPr>
                <w:rFonts w:ascii="Arial" w:cs="Arial" w:eastAsia="Arial" w:hAnsi="Arial"/>
                <w:sz w:val="13"/>
                <w:szCs w:val="13"/>
                <w:b w:val="1"/>
                <w:bCs w:val="1"/>
                <w:color w:val="auto"/>
              </w:rPr>
              <w:t>2014</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3"/>
                <w:szCs w:val="13"/>
                <w:b w:val="1"/>
                <w:bCs w:val="1"/>
                <w:color w:val="auto"/>
                <w:w w:val="89"/>
              </w:rPr>
              <w:t>2013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4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3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80,136,104</w:t>
            </w:r>
          </w:p>
        </w:tc>
        <w:tc>
          <w:tcPr>
            <w:tcW w:w="340" w:type="dxa"/>
            <w:vAlign w:val="bottom"/>
          </w:tcPr>
          <w:p>
            <w:pPr>
              <w:spacing w:after="0"/>
              <w:rPr>
                <w:sz w:val="12"/>
                <w:szCs w:val="12"/>
                <w:color w:val="auto"/>
              </w:rPr>
            </w:pPr>
          </w:p>
        </w:tc>
        <w:tc>
          <w:tcPr>
            <w:tcW w:w="760" w:type="dxa"/>
            <w:vAlign w:val="bottom"/>
            <w:gridSpan w:val="2"/>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55,513,515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40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9"/>
              </w:rPr>
              <w:t>Adjustments to reconcile net increase in net assets resulting from operations to net cash used for</w:t>
            </w: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activities:</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appreciation on investments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(38,507,025)</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(25,204,386)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appreciation on debt</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2,043,777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Net realized (gain) loss on investments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(5,688,684)</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959,632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(5,037,388)</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(3,451,454)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(370,006,367)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(243,825,185)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(4,696,824)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(6,379,825)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260,770,085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153,370,119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decrease in interest receivable</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(603,449)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307,380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deferred financing costs and other assets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(83,722)</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554,567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payable for investments purchased</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(52,544,704)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2,935,322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(123,366)</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954,327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in management fee payable</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607,736</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536,187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performance-based incentive fee payable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732,383</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(647,744)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(237,222)</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312,377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40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for operating activities</w:t>
            </w:r>
          </w:p>
        </w:tc>
        <w:tc>
          <w:tcPr>
            <w:tcW w:w="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(133,238,666)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(63,090,168)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Public offerings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7,574,000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Offering costs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(265,090)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Deferred financing costs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(750,000)</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(36,459,973)</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(32,394,877)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Proceeds from 2025 Notes issuance (See Note 10)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71,250,000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614,109,200</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543,500,000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(445,800,000)</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(516,800,000)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 w:type="dxa"/>
            <w:vAlign w:val="bottom"/>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131,099,227</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72,864,033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increase in cash equivalents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(2,139,439)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9,773,865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7,559,453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56,302,305</w:t>
            </w:r>
          </w:p>
        </w:tc>
        <w:tc>
          <w:tcPr>
            <w:tcW w:w="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17,333,318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w:t>
            </w:r>
          </w:p>
        </w:tc>
        <w:tc>
          <w:tcPr>
            <w:tcW w:w="3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9,534,384</w:t>
            </w:r>
          </w:p>
        </w:tc>
        <w:tc>
          <w:tcPr>
            <w:tcW w:w="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5,907,177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200"/>
              <w:spacing w:after="0"/>
              <w:rPr>
                <w:sz w:val="20"/>
                <w:szCs w:val="20"/>
                <w:color w:val="auto"/>
              </w:rPr>
            </w:pPr>
            <w:r>
              <w:rPr>
                <w:rFonts w:ascii="Arial" w:cs="Arial" w:eastAsia="Arial" w:hAnsi="Arial"/>
                <w:sz w:val="14"/>
                <w:szCs w:val="14"/>
                <w:color w:val="auto"/>
              </w:rPr>
              <w:t>Taxes paid</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8,251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92,388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Distributions reinvested</w:t>
            </w:r>
          </w:p>
        </w:tc>
        <w:tc>
          <w:tcPr>
            <w:tcW w:w="300" w:type="dxa"/>
            <w:vAlign w:val="bottom"/>
            <w:gridSpan w:val="2"/>
            <w:shd w:val="clear" w:color="auto" w:fill="CCEEFF"/>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792,925</w:t>
            </w:r>
          </w:p>
        </w:tc>
        <w:tc>
          <w:tcPr>
            <w:tcW w:w="3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8"/>
              <w:spacing w:after="0" w:line="143"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2,009,120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200"/>
              <w:spacing w:after="0"/>
              <w:rPr>
                <w:sz w:val="20"/>
                <w:szCs w:val="20"/>
                <w:color w:val="auto"/>
              </w:rPr>
            </w:pPr>
            <w:r>
              <w:rPr>
                <w:rFonts w:ascii="Arial" w:cs="Arial" w:eastAsia="Arial" w:hAnsi="Arial"/>
                <w:sz w:val="14"/>
                <w:szCs w:val="14"/>
                <w:color w:val="auto"/>
              </w:rPr>
              <w:t>Conversions and non-cash exchanges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51,577,498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jc w:val="right"/>
              <w:ind w:right="32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58,615,748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20"/>
          </w:cols>
          <w:pgMar w:left="320" w:top="45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9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Maturity /</w:t>
            </w:r>
          </w:p>
        </w:tc>
        <w:tc>
          <w:tcPr>
            <w:tcW w:w="2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1160" w:type="dxa"/>
            <w:vAlign w:val="bottom"/>
          </w:tcPr>
          <w:p>
            <w:pPr>
              <w:jc w:val="right"/>
              <w:ind w:right="422"/>
              <w:spacing w:after="0" w:line="122" w:lineRule="exact"/>
              <w:rPr>
                <w:sz w:val="20"/>
                <w:szCs w:val="20"/>
                <w:color w:val="auto"/>
              </w:rPr>
            </w:pPr>
            <w:r>
              <w:rPr>
                <w:rFonts w:ascii="Arial" w:cs="Arial" w:eastAsia="Arial" w:hAnsi="Arial"/>
                <w:sz w:val="12"/>
                <w:szCs w:val="12"/>
                <w:b w:val="1"/>
                <w:bCs w:val="1"/>
                <w:color w:val="auto"/>
              </w:rPr>
              <w:t>Current</w:t>
            </w:r>
          </w:p>
        </w:tc>
        <w:tc>
          <w:tcPr>
            <w:tcW w:w="8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0"/>
                <w:szCs w:val="10"/>
                <w:color w:val="auto"/>
              </w:rPr>
            </w:pPr>
          </w:p>
        </w:tc>
        <w:tc>
          <w:tcPr>
            <w:tcW w:w="940" w:type="dxa"/>
            <w:vAlign w:val="bottom"/>
          </w:tcPr>
          <w:p>
            <w:pPr>
              <w:jc w:val="right"/>
              <w:ind w:right="402"/>
              <w:spacing w:after="0" w:line="122"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Expiration</w:t>
            </w:r>
          </w:p>
        </w:tc>
        <w:tc>
          <w:tcPr>
            <w:tcW w:w="2080" w:type="dxa"/>
            <w:vAlign w:val="bottom"/>
          </w:tcPr>
          <w:p>
            <w:pPr>
              <w:jc w:val="center"/>
              <w:ind w:right="22"/>
              <w:spacing w:after="0"/>
              <w:rPr>
                <w:sz w:val="20"/>
                <w:szCs w:val="20"/>
                <w:color w:val="auto"/>
              </w:rPr>
            </w:pPr>
            <w:r>
              <w:rPr>
                <w:rFonts w:ascii="Arial" w:cs="Arial" w:eastAsia="Arial" w:hAnsi="Arial"/>
                <w:sz w:val="12"/>
                <w:szCs w:val="12"/>
                <w:b w:val="1"/>
                <w:bCs w:val="1"/>
                <w:color w:val="auto"/>
                <w:w w:val="92"/>
              </w:rPr>
              <w:t>Industry</w:t>
            </w:r>
          </w:p>
        </w:tc>
        <w:tc>
          <w:tcPr>
            <w:tcW w:w="1160" w:type="dxa"/>
            <w:vAlign w:val="bottom"/>
          </w:tcPr>
          <w:p>
            <w:pPr>
              <w:jc w:val="right"/>
              <w:ind w:right="422"/>
              <w:spacing w:after="0"/>
              <w:rPr>
                <w:sz w:val="20"/>
                <w:szCs w:val="20"/>
                <w:color w:val="auto"/>
              </w:rPr>
            </w:pPr>
            <w:r>
              <w:rPr>
                <w:rFonts w:ascii="Arial" w:cs="Arial" w:eastAsia="Arial" w:hAnsi="Arial"/>
                <w:sz w:val="12"/>
                <w:szCs w:val="12"/>
                <w:b w:val="1"/>
                <w:bCs w:val="1"/>
                <w:color w:val="auto"/>
              </w:rPr>
              <w:t>Coupon</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320" w:type="dxa"/>
            <w:vAlign w:val="bottom"/>
          </w:tcPr>
          <w:p>
            <w:pPr>
              <w:spacing w:after="0"/>
              <w:rPr>
                <w:sz w:val="13"/>
                <w:szCs w:val="13"/>
                <w:color w:val="auto"/>
              </w:rPr>
            </w:pPr>
          </w:p>
        </w:tc>
        <w:tc>
          <w:tcPr>
            <w:tcW w:w="94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0"/>
        </w:trPr>
        <w:tc>
          <w:tcPr>
            <w:tcW w:w="5740" w:type="dxa"/>
            <w:vAlign w:val="bottom"/>
            <w:tcBorders>
              <w:top w:val="single" w:sz="8" w:color="auto"/>
            </w:tcBorders>
            <w:gridSpan w:val="3"/>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 — 147.3% </w:t>
            </w:r>
            <w:r>
              <w:rPr>
                <w:rFonts w:ascii="Arial" w:cs="Arial" w:eastAsia="Arial" w:hAnsi="Arial"/>
                <w:sz w:val="9"/>
                <w:szCs w:val="9"/>
                <w:b w:val="1"/>
                <w:bCs w:val="1"/>
                <w:color w:val="auto"/>
              </w:rPr>
              <w:t>(1), (2)</w:t>
            </w:r>
          </w:p>
        </w:tc>
        <w:tc>
          <w:tcPr>
            <w:tcW w:w="1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Debt—37.2%</w:t>
            </w: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900" w:type="dxa"/>
            <w:vAlign w:val="bottom"/>
          </w:tcPr>
          <w:p>
            <w:pPr>
              <w:ind w:left="180"/>
              <w:spacing w:after="0"/>
              <w:rPr>
                <w:sz w:val="20"/>
                <w:szCs w:val="20"/>
                <w:color w:val="auto"/>
              </w:rPr>
            </w:pPr>
            <w:r>
              <w:rPr>
                <w:rFonts w:ascii="Arial" w:cs="Arial" w:eastAsia="Arial" w:hAnsi="Arial"/>
                <w:sz w:val="12"/>
                <w:szCs w:val="12"/>
                <w:color w:val="auto"/>
              </w:rPr>
              <w:t>06/21/2017</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9"/>
              </w:rPr>
              <w:t>Communications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11.25%</w:t>
            </w:r>
          </w:p>
        </w:tc>
        <w:tc>
          <w:tcPr>
            <w:tcW w:w="860" w:type="dxa"/>
            <w:vAlign w:val="bottom"/>
          </w:tcPr>
          <w:p>
            <w:pPr>
              <w:jc w:val="right"/>
              <w:spacing w:after="0"/>
              <w:rPr>
                <w:sz w:val="20"/>
                <w:szCs w:val="20"/>
                <w:color w:val="auto"/>
              </w:rPr>
            </w:pPr>
            <w:r>
              <w:rPr>
                <w:rFonts w:ascii="Arial" w:cs="Arial" w:eastAsia="Arial" w:hAnsi="Arial"/>
                <w:sz w:val="12"/>
                <w:szCs w:val="12"/>
                <w:color w:val="auto"/>
              </w:rPr>
              <w:t>L+975</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23,607,038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22,822,913</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25,495,598</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AKA Diversified Holdings, Inc.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04/02/2018</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1"/>
              </w:rPr>
              <w:t>Retail</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11.90%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L+1,175</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81"/>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29,035,075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28,353,844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28,353,345</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 xml:space="preserve">AKA Diversified Holdings, Inc. </w:t>
            </w:r>
            <w:r>
              <w:rPr>
                <w:rFonts w:ascii="Arial" w:cs="Arial" w:eastAsia="Arial" w:hAnsi="Arial"/>
                <w:sz w:val="9"/>
                <w:szCs w:val="9"/>
                <w:color w:val="auto"/>
              </w:rPr>
              <w:t>(9)</w:t>
            </w:r>
          </w:p>
        </w:tc>
        <w:tc>
          <w:tcPr>
            <w:tcW w:w="900" w:type="dxa"/>
            <w:vAlign w:val="bottom"/>
          </w:tcPr>
          <w:p>
            <w:pPr>
              <w:ind w:left="180"/>
              <w:spacing w:after="0"/>
              <w:rPr>
                <w:sz w:val="20"/>
                <w:szCs w:val="20"/>
                <w:color w:val="auto"/>
              </w:rPr>
            </w:pPr>
            <w:r>
              <w:rPr>
                <w:rFonts w:ascii="Arial" w:cs="Arial" w:eastAsia="Arial" w:hAnsi="Arial"/>
                <w:sz w:val="12"/>
                <w:szCs w:val="12"/>
                <w:color w:val="auto"/>
              </w:rPr>
              <w:t>04/02/2018</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91"/>
              </w:rPr>
              <w:t>Retail</w:t>
            </w:r>
          </w:p>
        </w:tc>
        <w:tc>
          <w:tcPr>
            <w:tcW w:w="116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7,500,000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7,500,000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AP Gaming I, LLC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12/21/2020</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9"/>
              </w:rPr>
              <w:t>Hotels, Motels, Inns and Gaming</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9.25%</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L+825</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5,236,875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5,084,406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5,197,598</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900" w:type="dxa"/>
            <w:vAlign w:val="bottom"/>
          </w:tcPr>
          <w:p>
            <w:pPr>
              <w:ind w:left="180"/>
              <w:spacing w:after="0"/>
              <w:rPr>
                <w:sz w:val="20"/>
                <w:szCs w:val="20"/>
                <w:color w:val="auto"/>
              </w:rPr>
            </w:pPr>
            <w:r>
              <w:rPr>
                <w:rFonts w:ascii="Arial" w:cs="Arial" w:eastAsia="Arial" w:hAnsi="Arial"/>
                <w:sz w:val="12"/>
                <w:szCs w:val="12"/>
                <w:color w:val="auto"/>
              </w:rPr>
              <w:t>11/20/2014</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9"/>
              </w:rPr>
              <w:t>Communications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10,000,000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10,637,500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Cydcor LLC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06/12/2017</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5"/>
              </w:rPr>
              <w:t>Business Services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9.75%</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L+725</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7,028,902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7,028,902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7,028,902</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900" w:type="dxa"/>
            <w:vAlign w:val="bottom"/>
          </w:tcPr>
          <w:p>
            <w:pPr>
              <w:ind w:left="180"/>
              <w:spacing w:after="0"/>
              <w:rPr>
                <w:sz w:val="20"/>
                <w:szCs w:val="20"/>
                <w:color w:val="auto"/>
              </w:rPr>
            </w:pPr>
            <w:r>
              <w:rPr>
                <w:rFonts w:ascii="Arial" w:cs="Arial" w:eastAsia="Arial" w:hAnsi="Arial"/>
                <w:sz w:val="12"/>
                <w:szCs w:val="12"/>
                <w:color w:val="auto"/>
              </w:rPr>
              <w:t>03/30/2017</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9"/>
              </w:rPr>
              <w:t>Auto Sector</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11,500,000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11,349,268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12,506,250</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InfuSystem Holdings, Inc.</w:t>
            </w:r>
          </w:p>
        </w:tc>
        <w:tc>
          <w:tcPr>
            <w:tcW w:w="900" w:type="dxa"/>
            <w:vAlign w:val="bottom"/>
            <w:shd w:val="clear" w:color="auto" w:fill="CCEEFF"/>
          </w:tcPr>
          <w:p>
            <w:pPr>
              <w:ind w:left="180"/>
              <w:spacing w:after="0" w:line="129" w:lineRule="exact"/>
              <w:rPr>
                <w:sz w:val="20"/>
                <w:szCs w:val="20"/>
                <w:color w:val="auto"/>
              </w:rPr>
            </w:pPr>
            <w:r>
              <w:rPr>
                <w:rFonts w:ascii="Arial" w:cs="Arial" w:eastAsia="Arial" w:hAnsi="Arial"/>
                <w:sz w:val="12"/>
                <w:szCs w:val="12"/>
                <w:color w:val="auto"/>
              </w:rPr>
              <w:t>11/30/2016</w:t>
            </w:r>
          </w:p>
        </w:tc>
        <w:tc>
          <w:tcPr>
            <w:tcW w:w="20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7"/>
              </w:rPr>
              <w:t>Healthcare, Education and</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11.57%</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P+832</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11,600,000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11,600,000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11,803,772</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Childcare</w:t>
            </w: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2"/>
                <w:szCs w:val="12"/>
                <w:color w:val="auto"/>
              </w:rPr>
              <w:t>Jackson Hewitt Tax Service Inc.</w:t>
            </w:r>
          </w:p>
        </w:tc>
        <w:tc>
          <w:tcPr>
            <w:tcW w:w="900" w:type="dxa"/>
            <w:vAlign w:val="bottom"/>
          </w:tcPr>
          <w:p>
            <w:pPr>
              <w:ind w:left="180"/>
              <w:spacing w:after="0" w:line="129" w:lineRule="exact"/>
              <w:rPr>
                <w:sz w:val="20"/>
                <w:szCs w:val="20"/>
                <w:color w:val="auto"/>
              </w:rPr>
            </w:pPr>
            <w:r>
              <w:rPr>
                <w:rFonts w:ascii="Arial" w:cs="Arial" w:eastAsia="Arial" w:hAnsi="Arial"/>
                <w:sz w:val="12"/>
                <w:szCs w:val="12"/>
                <w:color w:val="auto"/>
              </w:rPr>
              <w:t>10/16/2017</w:t>
            </w:r>
          </w:p>
        </w:tc>
        <w:tc>
          <w:tcPr>
            <w:tcW w:w="20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10.00%</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L+850</w:t>
            </w:r>
          </w:p>
        </w:tc>
        <w:tc>
          <w:tcPr>
            <w:tcW w:w="320" w:type="dxa"/>
            <w:vAlign w:val="bottom"/>
          </w:tcPr>
          <w:p>
            <w:pPr>
              <w:spacing w:after="0"/>
              <w:rPr>
                <w:sz w:val="11"/>
                <w:szCs w:val="11"/>
                <w:color w:val="auto"/>
              </w:rPr>
            </w:pP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7,777,902</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7,776,185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7,719,568</w:t>
            </w: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6"/>
              </w:rPr>
              <w:t>Services</w:t>
            </w: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08/19/2019</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Chemicals, Plastics and Rubber</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L+900</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22,342,352</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21,931,365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22,365,830</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Old Guard Risk Services, Inc.</w:t>
            </w:r>
          </w:p>
        </w:tc>
        <w:tc>
          <w:tcPr>
            <w:tcW w:w="900" w:type="dxa"/>
            <w:vAlign w:val="bottom"/>
          </w:tcPr>
          <w:p>
            <w:pPr>
              <w:ind w:left="180"/>
              <w:spacing w:after="0"/>
              <w:rPr>
                <w:sz w:val="20"/>
                <w:szCs w:val="20"/>
                <w:color w:val="auto"/>
              </w:rPr>
            </w:pPr>
            <w:r>
              <w:rPr>
                <w:rFonts w:ascii="Arial" w:cs="Arial" w:eastAsia="Arial" w:hAnsi="Arial"/>
                <w:sz w:val="12"/>
                <w:szCs w:val="12"/>
                <w:color w:val="auto"/>
              </w:rPr>
              <w:t>11/27/2018</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3"/>
              </w:rPr>
              <w:t>Insurance</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860" w:type="dxa"/>
            <w:vAlign w:val="bottom"/>
          </w:tcPr>
          <w:p>
            <w:pPr>
              <w:jc w:val="right"/>
              <w:spacing w:after="0"/>
              <w:rPr>
                <w:sz w:val="20"/>
                <w:szCs w:val="20"/>
                <w:color w:val="auto"/>
              </w:rPr>
            </w:pPr>
            <w:r>
              <w:rPr>
                <w:rFonts w:ascii="Arial" w:cs="Arial" w:eastAsia="Arial" w:hAnsi="Arial"/>
                <w:sz w:val="12"/>
                <w:szCs w:val="12"/>
                <w:color w:val="auto"/>
              </w:rPr>
              <w:t>L+1,150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29,925,000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28,836,187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30,224,250</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shd w:val="clear" w:color="auto" w:fill="CCEEFF"/>
          </w:tcPr>
          <w:p>
            <w:pPr>
              <w:ind w:left="180"/>
              <w:spacing w:after="0" w:line="129" w:lineRule="exact"/>
              <w:rPr>
                <w:sz w:val="20"/>
                <w:szCs w:val="20"/>
                <w:color w:val="auto"/>
              </w:rPr>
            </w:pPr>
            <w:r>
              <w:rPr>
                <w:rFonts w:ascii="Arial" w:cs="Arial" w:eastAsia="Arial" w:hAnsi="Arial"/>
                <w:sz w:val="12"/>
                <w:szCs w:val="12"/>
                <w:color w:val="auto"/>
              </w:rPr>
              <w:t>12/16/2019</w:t>
            </w:r>
          </w:p>
        </w:tc>
        <w:tc>
          <w:tcPr>
            <w:tcW w:w="20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90"/>
              </w:rPr>
              <w:t>Mining, Steel, Iron and Non-</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14,250,000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14,108,113</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15,995,625</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Precious Metals</w:t>
            </w: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TRAK Acquisition Corp.</w:t>
            </w:r>
          </w:p>
        </w:tc>
        <w:tc>
          <w:tcPr>
            <w:tcW w:w="900" w:type="dxa"/>
            <w:vAlign w:val="bottom"/>
          </w:tcPr>
          <w:p>
            <w:pPr>
              <w:ind w:left="180"/>
              <w:spacing w:after="0"/>
              <w:rPr>
                <w:sz w:val="20"/>
                <w:szCs w:val="20"/>
                <w:color w:val="auto"/>
              </w:rPr>
            </w:pPr>
            <w:r>
              <w:rPr>
                <w:rFonts w:ascii="Arial" w:cs="Arial" w:eastAsia="Arial" w:hAnsi="Arial"/>
                <w:sz w:val="12"/>
                <w:szCs w:val="12"/>
                <w:color w:val="auto"/>
              </w:rPr>
              <w:t>04/30/2018</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5"/>
              </w:rPr>
              <w:t>Business Services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12.00%</w:t>
            </w:r>
          </w:p>
        </w:tc>
        <w:tc>
          <w:tcPr>
            <w:tcW w:w="860" w:type="dxa"/>
            <w:vAlign w:val="bottom"/>
          </w:tcPr>
          <w:p>
            <w:pPr>
              <w:jc w:val="right"/>
              <w:spacing w:after="0"/>
              <w:rPr>
                <w:sz w:val="20"/>
                <w:szCs w:val="20"/>
                <w:color w:val="auto"/>
              </w:rPr>
            </w:pPr>
            <w:r>
              <w:rPr>
                <w:rFonts w:ascii="Arial" w:cs="Arial" w:eastAsia="Arial" w:hAnsi="Arial"/>
                <w:sz w:val="12"/>
                <w:szCs w:val="12"/>
                <w:color w:val="auto"/>
              </w:rPr>
              <w:t>L+1,050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33,395,800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32,960,709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33,395,800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(10), (12)</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02/12/2020</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Buildings and Real Estate</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11.02%</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L+1,100</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81"/>
              </w:rPr>
              <w:t>(8)</w:t>
            </w: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28,704,715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45,129,540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44,983,465</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900" w:type="dxa"/>
            <w:vAlign w:val="bottom"/>
          </w:tcPr>
          <w:p>
            <w:pPr>
              <w:ind w:left="180"/>
              <w:spacing w:after="0"/>
              <w:rPr>
                <w:sz w:val="20"/>
                <w:szCs w:val="20"/>
                <w:color w:val="auto"/>
              </w:rPr>
            </w:pPr>
            <w:r>
              <w:rPr>
                <w:rFonts w:ascii="Arial" w:cs="Arial" w:eastAsia="Arial" w:hAnsi="Arial"/>
                <w:sz w:val="12"/>
                <w:szCs w:val="12"/>
                <w:color w:val="auto"/>
              </w:rPr>
              <w:t>07/06/2017</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3"/>
              </w:rPr>
              <w:t>Insurance</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860" w:type="dxa"/>
            <w:vAlign w:val="bottom"/>
          </w:tcPr>
          <w:p>
            <w:pPr>
              <w:jc w:val="right"/>
              <w:spacing w:after="0"/>
              <w:rPr>
                <w:sz w:val="20"/>
                <w:szCs w:val="20"/>
                <w:color w:val="auto"/>
              </w:rPr>
            </w:pPr>
            <w:r>
              <w:rPr>
                <w:rFonts w:ascii="Arial" w:cs="Arial" w:eastAsia="Arial" w:hAnsi="Arial"/>
                <w:sz w:val="12"/>
                <w:szCs w:val="12"/>
                <w:color w:val="auto"/>
              </w:rPr>
              <w:t>L+1,100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11,856,315</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11,856,315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12,093,442</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266,337,747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275,300,945</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20"/>
                <w:szCs w:val="20"/>
                <w:color w:val="auto"/>
              </w:rPr>
            </w:pPr>
            <w:r>
              <w:rPr>
                <w:rFonts w:ascii="Arial" w:cs="Arial" w:eastAsia="Arial" w:hAnsi="Arial"/>
                <w:sz w:val="12"/>
                <w:szCs w:val="12"/>
                <w:b w:val="1"/>
                <w:bCs w:val="1"/>
                <w:color w:val="auto"/>
              </w:rPr>
              <w:t>Second Lien Secured Debt—51.3%</w:t>
            </w: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900" w:type="dxa"/>
            <w:vAlign w:val="bottom"/>
            <w:shd w:val="clear" w:color="auto" w:fill="CCEEFF"/>
          </w:tcPr>
          <w:p>
            <w:pPr>
              <w:ind w:left="180"/>
              <w:spacing w:after="0" w:line="132" w:lineRule="exact"/>
              <w:rPr>
                <w:sz w:val="20"/>
                <w:szCs w:val="20"/>
                <w:color w:val="auto"/>
              </w:rPr>
            </w:pPr>
            <w:r>
              <w:rPr>
                <w:rFonts w:ascii="Arial" w:cs="Arial" w:eastAsia="Arial" w:hAnsi="Arial"/>
                <w:sz w:val="12"/>
                <w:szCs w:val="12"/>
                <w:color w:val="auto"/>
              </w:rPr>
              <w:t>09/01/2017</w:t>
            </w:r>
          </w:p>
        </w:tc>
        <w:tc>
          <w:tcPr>
            <w:tcW w:w="208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8"/>
              </w:rPr>
              <w:t>Diversified Natural Resources,</w:t>
            </w:r>
          </w:p>
        </w:tc>
        <w:tc>
          <w:tcPr>
            <w:tcW w:w="116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11.50%</w:t>
            </w:r>
          </w:p>
        </w:tc>
        <w:tc>
          <w:tcPr>
            <w:tcW w:w="8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25,400,000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25,400,000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26,416,000</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Precious Metals and Minerals</w:t>
            </w: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900" w:type="dxa"/>
            <w:vAlign w:val="bottom"/>
          </w:tcPr>
          <w:p>
            <w:pPr>
              <w:ind w:left="180"/>
              <w:spacing w:after="0"/>
              <w:rPr>
                <w:sz w:val="20"/>
                <w:szCs w:val="20"/>
                <w:color w:val="auto"/>
              </w:rPr>
            </w:pPr>
            <w:r>
              <w:rPr>
                <w:rFonts w:ascii="Arial" w:cs="Arial" w:eastAsia="Arial" w:hAnsi="Arial"/>
                <w:sz w:val="12"/>
                <w:szCs w:val="12"/>
                <w:color w:val="auto"/>
              </w:rPr>
              <w:t>10/01/2020</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5"/>
              </w:rPr>
              <w:t>Business Services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11.75%</w:t>
            </w:r>
          </w:p>
        </w:tc>
        <w:tc>
          <w:tcPr>
            <w:tcW w:w="860" w:type="dxa"/>
            <w:vAlign w:val="bottom"/>
          </w:tcPr>
          <w:p>
            <w:pPr>
              <w:jc w:val="right"/>
              <w:spacing w:after="0"/>
              <w:rPr>
                <w:sz w:val="20"/>
                <w:szCs w:val="20"/>
                <w:color w:val="auto"/>
              </w:rPr>
            </w:pPr>
            <w:r>
              <w:rPr>
                <w:rFonts w:ascii="Arial" w:cs="Arial" w:eastAsia="Arial" w:hAnsi="Arial"/>
                <w:sz w:val="12"/>
                <w:szCs w:val="12"/>
                <w:color w:val="auto"/>
              </w:rPr>
              <w:t>L+1,050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20,625,000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20,322,938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20,831,250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Ascensus, Inc.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12/02/2020</w:t>
            </w:r>
          </w:p>
        </w:tc>
        <w:tc>
          <w:tcPr>
            <w:tcW w:w="208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Financial Services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L+800</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15,500,000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15,274,299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15,887,500</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Bennu Oil &amp; Gas, LLC</w:t>
            </w:r>
          </w:p>
        </w:tc>
        <w:tc>
          <w:tcPr>
            <w:tcW w:w="900" w:type="dxa"/>
            <w:vAlign w:val="bottom"/>
          </w:tcPr>
          <w:p>
            <w:pPr>
              <w:ind w:left="180"/>
              <w:spacing w:after="0"/>
              <w:rPr>
                <w:sz w:val="20"/>
                <w:szCs w:val="20"/>
                <w:color w:val="auto"/>
              </w:rPr>
            </w:pPr>
            <w:r>
              <w:rPr>
                <w:rFonts w:ascii="Arial" w:cs="Arial" w:eastAsia="Arial" w:hAnsi="Arial"/>
                <w:sz w:val="12"/>
                <w:szCs w:val="12"/>
                <w:color w:val="auto"/>
              </w:rPr>
              <w:t>11/01/2018</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8"/>
              </w:rPr>
              <w:t>Oil and Gas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10.25%</w:t>
            </w:r>
          </w:p>
        </w:tc>
        <w:tc>
          <w:tcPr>
            <w:tcW w:w="860" w:type="dxa"/>
            <w:vAlign w:val="bottom"/>
          </w:tcPr>
          <w:p>
            <w:pPr>
              <w:jc w:val="right"/>
              <w:spacing w:after="0"/>
              <w:rPr>
                <w:sz w:val="20"/>
                <w:szCs w:val="20"/>
                <w:color w:val="auto"/>
              </w:rPr>
            </w:pPr>
            <w:r>
              <w:rPr>
                <w:rFonts w:ascii="Arial" w:cs="Arial" w:eastAsia="Arial" w:hAnsi="Arial"/>
                <w:sz w:val="12"/>
                <w:szCs w:val="12"/>
                <w:color w:val="auto"/>
              </w:rPr>
              <w:t>L+900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13,603,502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13,507,455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13,762,255</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Carolina Beverage Group, LLC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08/01/2018</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5"/>
              </w:rPr>
              <w:t>Beverage, Food and Tobacco</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10.63%</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13,125,000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13,125,000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14,175,000</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CT Technologies Intermediate Holdings, Inc.</w:t>
            </w:r>
          </w:p>
        </w:tc>
        <w:tc>
          <w:tcPr>
            <w:tcW w:w="900" w:type="dxa"/>
            <w:vAlign w:val="bottom"/>
          </w:tcPr>
          <w:p>
            <w:pPr>
              <w:ind w:left="180"/>
              <w:spacing w:after="0"/>
              <w:rPr>
                <w:sz w:val="20"/>
                <w:szCs w:val="20"/>
                <w:color w:val="auto"/>
              </w:rPr>
            </w:pPr>
            <w:r>
              <w:rPr>
                <w:rFonts w:ascii="Arial" w:cs="Arial" w:eastAsia="Arial" w:hAnsi="Arial"/>
                <w:sz w:val="12"/>
                <w:szCs w:val="12"/>
                <w:color w:val="auto"/>
              </w:rPr>
              <w:t>10/05/2020</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5"/>
              </w:rPr>
              <w:t>Business Services</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9.25%</w:t>
            </w:r>
          </w:p>
        </w:tc>
        <w:tc>
          <w:tcPr>
            <w:tcW w:w="860" w:type="dxa"/>
            <w:vAlign w:val="bottom"/>
          </w:tcPr>
          <w:p>
            <w:pPr>
              <w:jc w:val="right"/>
              <w:spacing w:after="0"/>
              <w:rPr>
                <w:sz w:val="20"/>
                <w:szCs w:val="20"/>
                <w:color w:val="auto"/>
              </w:rPr>
            </w:pPr>
            <w:r>
              <w:rPr>
                <w:rFonts w:ascii="Arial" w:cs="Arial" w:eastAsia="Arial" w:hAnsi="Arial"/>
                <w:sz w:val="12"/>
                <w:szCs w:val="12"/>
                <w:color w:val="auto"/>
              </w:rPr>
              <w:t>L+800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14,000,000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13,807,792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14,140,000</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900" w:type="dxa"/>
            <w:vAlign w:val="bottom"/>
            <w:shd w:val="clear" w:color="auto" w:fill="CCEEFF"/>
          </w:tcPr>
          <w:p>
            <w:pPr>
              <w:ind w:left="180"/>
              <w:spacing w:after="0" w:line="129" w:lineRule="exact"/>
              <w:rPr>
                <w:sz w:val="20"/>
                <w:szCs w:val="20"/>
                <w:color w:val="auto"/>
              </w:rPr>
            </w:pPr>
            <w:r>
              <w:rPr>
                <w:rFonts w:ascii="Arial" w:cs="Arial" w:eastAsia="Arial" w:hAnsi="Arial"/>
                <w:sz w:val="12"/>
                <w:szCs w:val="12"/>
                <w:color w:val="auto"/>
              </w:rPr>
              <w:t>11/04/2021</w:t>
            </w:r>
          </w:p>
        </w:tc>
        <w:tc>
          <w:tcPr>
            <w:tcW w:w="20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7"/>
              </w:rPr>
              <w:t>Healthcare, Education and</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L+875</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19,000,000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18,630,054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19,095,000</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Childcare</w:t>
            </w: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2"/>
                <w:szCs w:val="12"/>
                <w:color w:val="auto"/>
              </w:rPr>
              <w:t>Foundation Building Materials, LLC</w:t>
            </w:r>
          </w:p>
        </w:tc>
        <w:tc>
          <w:tcPr>
            <w:tcW w:w="900" w:type="dxa"/>
            <w:vAlign w:val="bottom"/>
          </w:tcPr>
          <w:p>
            <w:pPr>
              <w:ind w:left="180"/>
              <w:spacing w:after="0" w:line="129" w:lineRule="exact"/>
              <w:rPr>
                <w:sz w:val="20"/>
                <w:szCs w:val="20"/>
                <w:color w:val="auto"/>
              </w:rPr>
            </w:pPr>
            <w:r>
              <w:rPr>
                <w:rFonts w:ascii="Arial" w:cs="Arial" w:eastAsia="Arial" w:hAnsi="Arial"/>
                <w:sz w:val="12"/>
                <w:szCs w:val="12"/>
                <w:color w:val="auto"/>
              </w:rPr>
              <w:t>04/30/2019</w:t>
            </w:r>
          </w:p>
        </w:tc>
        <w:tc>
          <w:tcPr>
            <w:tcW w:w="20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92"/>
              </w:rPr>
              <w:t>Building Materials</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13.00%</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L+1,200</w:t>
            </w:r>
          </w:p>
        </w:tc>
        <w:tc>
          <w:tcPr>
            <w:tcW w:w="320" w:type="dxa"/>
            <w:vAlign w:val="bottom"/>
          </w:tcPr>
          <w:p>
            <w:pPr>
              <w:spacing w:after="0"/>
              <w:rPr>
                <w:sz w:val="11"/>
                <w:szCs w:val="11"/>
                <w:color w:val="auto"/>
              </w:rPr>
            </w:pP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32,610,233</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31,979,848</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32,373,530</w:t>
            </w: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102"/>
              <w:spacing w:after="0"/>
              <w:rPr>
                <w:sz w:val="20"/>
                <w:szCs w:val="20"/>
                <w:color w:val="auto"/>
              </w:rPr>
            </w:pPr>
            <w:r>
              <w:rPr>
                <w:rFonts w:ascii="Arial" w:cs="Arial" w:eastAsia="Arial" w:hAnsi="Arial"/>
                <w:sz w:val="12"/>
                <w:szCs w:val="12"/>
                <w:color w:val="auto"/>
              </w:rPr>
              <w:t>(PIK 1.00%)</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06/14/2019</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Electronics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L+1,000</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7,219,315</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7,350,000</w:t>
            </w:r>
          </w:p>
        </w:tc>
        <w:tc>
          <w:tcPr>
            <w:tcW w:w="0" w:type="dxa"/>
            <w:vAlign w:val="bottom"/>
          </w:tcPr>
          <w:p>
            <w:pPr>
              <w:spacing w:after="0"/>
              <w:rPr>
                <w:sz w:val="1"/>
                <w:szCs w:val="1"/>
                <w:color w:val="auto"/>
              </w:rPr>
            </w:pP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tcPr>
          <w:p>
            <w:pPr>
              <w:ind w:left="180"/>
              <w:spacing w:after="0" w:line="129" w:lineRule="exact"/>
              <w:rPr>
                <w:sz w:val="20"/>
                <w:szCs w:val="20"/>
                <w:color w:val="auto"/>
              </w:rPr>
            </w:pPr>
            <w:r>
              <w:rPr>
                <w:rFonts w:ascii="Arial" w:cs="Arial" w:eastAsia="Arial" w:hAnsi="Arial"/>
                <w:sz w:val="12"/>
                <w:szCs w:val="12"/>
                <w:color w:val="auto"/>
              </w:rPr>
              <w:t>03/01/2017</w:t>
            </w:r>
          </w:p>
        </w:tc>
        <w:tc>
          <w:tcPr>
            <w:tcW w:w="20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Cargo Transport</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11.00%</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L+700</w:t>
            </w:r>
          </w:p>
        </w:tc>
        <w:tc>
          <w:tcPr>
            <w:tcW w:w="320" w:type="dxa"/>
            <w:vAlign w:val="bottom"/>
          </w:tcPr>
          <w:p>
            <w:pPr>
              <w:spacing w:after="0"/>
              <w:rPr>
                <w:sz w:val="11"/>
                <w:szCs w:val="11"/>
                <w:color w:val="auto"/>
              </w:rPr>
            </w:pP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3,739,795</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3,739,797</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3,160,127</w:t>
            </w: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102"/>
              <w:spacing w:after="0"/>
              <w:rPr>
                <w:sz w:val="20"/>
                <w:szCs w:val="20"/>
                <w:color w:val="auto"/>
              </w:rPr>
            </w:pPr>
            <w:r>
              <w:rPr>
                <w:rFonts w:ascii="Arial" w:cs="Arial" w:eastAsia="Arial" w:hAnsi="Arial"/>
                <w:sz w:val="12"/>
                <w:szCs w:val="12"/>
                <w:color w:val="auto"/>
              </w:rPr>
              <w:t>(PIK 11.00%)</w:t>
            </w: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J.A. Cosmetics Holdings, Inc.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07/31/2019</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Consumer Products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L+1,000</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34,000,000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33,344,117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33,761,702</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Jacobs Entertainment, Inc.</w:t>
            </w:r>
          </w:p>
        </w:tc>
        <w:tc>
          <w:tcPr>
            <w:tcW w:w="900" w:type="dxa"/>
            <w:vAlign w:val="bottom"/>
          </w:tcPr>
          <w:p>
            <w:pPr>
              <w:ind w:left="180"/>
              <w:spacing w:after="0"/>
              <w:rPr>
                <w:sz w:val="20"/>
                <w:szCs w:val="20"/>
                <w:color w:val="auto"/>
              </w:rPr>
            </w:pPr>
            <w:r>
              <w:rPr>
                <w:rFonts w:ascii="Arial" w:cs="Arial" w:eastAsia="Arial" w:hAnsi="Arial"/>
                <w:sz w:val="12"/>
                <w:szCs w:val="12"/>
                <w:color w:val="auto"/>
              </w:rPr>
              <w:t>10/29/2019</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9"/>
              </w:rPr>
              <w:t>Hotels, Motels, Inns and Gaming</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13.00%</w:t>
            </w:r>
          </w:p>
        </w:tc>
        <w:tc>
          <w:tcPr>
            <w:tcW w:w="860" w:type="dxa"/>
            <w:vAlign w:val="bottom"/>
          </w:tcPr>
          <w:p>
            <w:pPr>
              <w:jc w:val="right"/>
              <w:spacing w:after="0"/>
              <w:rPr>
                <w:sz w:val="20"/>
                <w:szCs w:val="20"/>
                <w:color w:val="auto"/>
              </w:rPr>
            </w:pPr>
            <w:r>
              <w:rPr>
                <w:rFonts w:ascii="Arial" w:cs="Arial" w:eastAsia="Arial" w:hAnsi="Arial"/>
                <w:sz w:val="12"/>
                <w:szCs w:val="12"/>
                <w:color w:val="auto"/>
              </w:rPr>
              <w:t>L+1,175</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38,950,000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38,328,426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39,339,500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rPr>
              <w:t>KIK Custom Products Inc.</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10/29/2019</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Consumer Products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9.50%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L+825</w:t>
            </w: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9,500,000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9,360,003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9,559,375</w:t>
            </w:r>
          </w:p>
        </w:tc>
        <w:tc>
          <w:tcPr>
            <w:tcW w:w="0" w:type="dxa"/>
            <w:vAlign w:val="bottom"/>
          </w:tcPr>
          <w:p>
            <w:pPr>
              <w:spacing w:after="0"/>
              <w:rPr>
                <w:sz w:val="1"/>
                <w:szCs w:val="1"/>
                <w:color w:val="auto"/>
              </w:rPr>
            </w:pPr>
          </w:p>
        </w:tc>
      </w:tr>
      <w:tr>
        <w:trPr>
          <w:trHeight w:val="129"/>
        </w:trPr>
        <w:tc>
          <w:tcPr>
            <w:tcW w:w="276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900" w:type="dxa"/>
            <w:vAlign w:val="bottom"/>
          </w:tcPr>
          <w:p>
            <w:pPr>
              <w:ind w:left="180"/>
              <w:spacing w:after="0" w:line="129" w:lineRule="exact"/>
              <w:rPr>
                <w:sz w:val="20"/>
                <w:szCs w:val="20"/>
                <w:color w:val="auto"/>
              </w:rPr>
            </w:pPr>
            <w:r>
              <w:rPr>
                <w:rFonts w:ascii="Arial" w:cs="Arial" w:eastAsia="Arial" w:hAnsi="Arial"/>
                <w:sz w:val="12"/>
                <w:szCs w:val="12"/>
                <w:color w:val="auto"/>
              </w:rPr>
              <w:t>12/20/2016</w:t>
            </w:r>
          </w:p>
        </w:tc>
        <w:tc>
          <w:tcPr>
            <w:tcW w:w="20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6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10.50%</w:t>
            </w: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L+875</w:t>
            </w:r>
          </w:p>
        </w:tc>
        <w:tc>
          <w:tcPr>
            <w:tcW w:w="320" w:type="dxa"/>
            <w:vAlign w:val="bottom"/>
          </w:tcPr>
          <w:p>
            <w:pPr>
              <w:spacing w:after="0"/>
              <w:rPr>
                <w:sz w:val="11"/>
                <w:szCs w:val="11"/>
                <w:color w:val="auto"/>
              </w:rPr>
            </w:pPr>
          </w:p>
        </w:tc>
        <w:tc>
          <w:tcPr>
            <w:tcW w:w="94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33,750,000</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33,313,860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33,349,388</w:t>
            </w:r>
          </w:p>
        </w:tc>
        <w:tc>
          <w:tcPr>
            <w:tcW w:w="0" w:type="dxa"/>
            <w:vAlign w:val="bottom"/>
          </w:tcPr>
          <w:p>
            <w:pPr>
              <w:spacing w:after="0"/>
              <w:rPr>
                <w:sz w:val="1"/>
                <w:szCs w:val="1"/>
                <w:color w:val="auto"/>
              </w:rPr>
            </w:pPr>
          </w:p>
        </w:tc>
      </w:tr>
      <w:tr>
        <w:trPr>
          <w:trHeight w:val="151"/>
        </w:trPr>
        <w:tc>
          <w:tcPr>
            <w:tcW w:w="2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86"/>
              </w:rPr>
              <w:t>Services</w:t>
            </w: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60" w:type="dxa"/>
            <w:vAlign w:val="bottom"/>
            <w:shd w:val="clear" w:color="auto" w:fill="CCEEFF"/>
          </w:tcPr>
          <w:p>
            <w:pPr>
              <w:spacing w:after="0"/>
              <w:rPr>
                <w:sz w:val="20"/>
                <w:szCs w:val="20"/>
                <w:color w:val="auto"/>
              </w:rPr>
            </w:pPr>
            <w:r>
              <w:rPr>
                <w:rFonts w:ascii="Arial" w:cs="Arial" w:eastAsia="Arial" w:hAnsi="Arial"/>
                <w:sz w:val="12"/>
                <w:szCs w:val="12"/>
                <w:color w:val="auto"/>
                <w:w w:val="96"/>
              </w:rPr>
              <w:t xml:space="preserve">Linc USA GP and Linc Energy Finance (USA), Inc. </w:t>
            </w:r>
            <w:r>
              <w:rPr>
                <w:rFonts w:ascii="Arial" w:cs="Arial" w:eastAsia="Arial" w:hAnsi="Arial"/>
                <w:sz w:val="9"/>
                <w:szCs w:val="9"/>
                <w:color w:val="auto"/>
                <w:w w:val="96"/>
              </w:rPr>
              <w:t>(5)</w:t>
            </w:r>
          </w:p>
        </w:tc>
        <w:tc>
          <w:tcPr>
            <w:tcW w:w="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10/31/2017</w:t>
            </w: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Oil and Gas</w:t>
            </w:r>
          </w:p>
        </w:tc>
        <w:tc>
          <w:tcPr>
            <w:tcW w:w="11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12.50%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11,875,000</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11,553,002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13,062,500</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Penton Media, Inc.</w:t>
            </w:r>
          </w:p>
        </w:tc>
        <w:tc>
          <w:tcPr>
            <w:tcW w:w="900" w:type="dxa"/>
            <w:vAlign w:val="bottom"/>
          </w:tcPr>
          <w:p>
            <w:pPr>
              <w:ind w:left="180"/>
              <w:spacing w:after="0"/>
              <w:rPr>
                <w:sz w:val="20"/>
                <w:szCs w:val="20"/>
                <w:color w:val="auto"/>
              </w:rPr>
            </w:pPr>
            <w:r>
              <w:rPr>
                <w:rFonts w:ascii="Arial" w:cs="Arial" w:eastAsia="Arial" w:hAnsi="Arial"/>
                <w:sz w:val="12"/>
                <w:szCs w:val="12"/>
                <w:color w:val="auto"/>
              </w:rPr>
              <w:t>10/02/2020</w:t>
            </w:r>
          </w:p>
        </w:tc>
        <w:tc>
          <w:tcPr>
            <w:tcW w:w="2080" w:type="dxa"/>
            <w:vAlign w:val="bottom"/>
          </w:tcPr>
          <w:p>
            <w:pPr>
              <w:jc w:val="center"/>
              <w:ind w:right="42"/>
              <w:spacing w:after="0"/>
              <w:rPr>
                <w:sz w:val="20"/>
                <w:szCs w:val="20"/>
                <w:color w:val="auto"/>
              </w:rPr>
            </w:pPr>
            <w:r>
              <w:rPr>
                <w:rFonts w:ascii="Arial" w:cs="Arial" w:eastAsia="Arial" w:hAnsi="Arial"/>
                <w:sz w:val="12"/>
                <w:szCs w:val="12"/>
                <w:color w:val="auto"/>
                <w:w w:val="91"/>
              </w:rPr>
              <w:t>Media</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9.00%</w:t>
            </w:r>
          </w:p>
        </w:tc>
        <w:tc>
          <w:tcPr>
            <w:tcW w:w="860" w:type="dxa"/>
            <w:vAlign w:val="bottom"/>
          </w:tcPr>
          <w:p>
            <w:pPr>
              <w:jc w:val="right"/>
              <w:spacing w:after="0"/>
              <w:rPr>
                <w:sz w:val="20"/>
                <w:szCs w:val="20"/>
                <w:color w:val="auto"/>
              </w:rPr>
            </w:pPr>
            <w:r>
              <w:rPr>
                <w:rFonts w:ascii="Arial" w:cs="Arial" w:eastAsia="Arial" w:hAnsi="Arial"/>
                <w:sz w:val="12"/>
                <w:szCs w:val="12"/>
                <w:color w:val="auto"/>
              </w:rPr>
              <w:t>L+775</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21,000,000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20,714,264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21,174,930</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EFF"/>
          </w:tcPr>
          <w:p>
            <w:pPr>
              <w:ind w:left="180"/>
              <w:spacing w:after="0" w:line="129" w:lineRule="exact"/>
              <w:rPr>
                <w:sz w:val="20"/>
                <w:szCs w:val="20"/>
                <w:color w:val="auto"/>
              </w:rPr>
            </w:pPr>
            <w:r>
              <w:rPr>
                <w:rFonts w:ascii="Arial" w:cs="Arial" w:eastAsia="Arial" w:hAnsi="Arial"/>
                <w:sz w:val="12"/>
                <w:szCs w:val="12"/>
                <w:color w:val="auto"/>
              </w:rPr>
              <w:t>07/01/2020</w:t>
            </w:r>
          </w:p>
        </w:tc>
        <w:tc>
          <w:tcPr>
            <w:tcW w:w="20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L+850</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56,750,000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55,986,933</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57,601,250</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6"/>
              </w:rPr>
              <w:t>Services</w:t>
            </w:r>
          </w:p>
        </w:tc>
        <w:tc>
          <w:tcPr>
            <w:tcW w:w="1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20"/>
                <w:szCs w:val="20"/>
                <w:color w:val="auto"/>
              </w:rPr>
            </w:pPr>
            <w:r>
              <w:rPr>
                <w:rFonts w:ascii="Arial" w:cs="Arial" w:eastAsia="Arial" w:hAnsi="Arial"/>
                <w:sz w:val="12"/>
                <w:szCs w:val="12"/>
                <w:color w:val="auto"/>
              </w:rPr>
              <w:t>Questex Media Group LLC, Term Loan A</w:t>
            </w:r>
          </w:p>
        </w:tc>
        <w:tc>
          <w:tcPr>
            <w:tcW w:w="900" w:type="dxa"/>
            <w:vAlign w:val="bottom"/>
          </w:tcPr>
          <w:p>
            <w:pPr>
              <w:ind w:left="180"/>
              <w:spacing w:after="0"/>
              <w:rPr>
                <w:sz w:val="20"/>
                <w:szCs w:val="20"/>
                <w:color w:val="auto"/>
              </w:rPr>
            </w:pPr>
            <w:r>
              <w:rPr>
                <w:rFonts w:ascii="Arial" w:cs="Arial" w:eastAsia="Arial" w:hAnsi="Arial"/>
                <w:sz w:val="12"/>
                <w:szCs w:val="12"/>
                <w:color w:val="auto"/>
              </w:rPr>
              <w:t>12/15/2014</w:t>
            </w:r>
          </w:p>
        </w:tc>
        <w:tc>
          <w:tcPr>
            <w:tcW w:w="2080" w:type="dxa"/>
            <w:vAlign w:val="bottom"/>
          </w:tcPr>
          <w:p>
            <w:pPr>
              <w:jc w:val="center"/>
              <w:ind w:right="22"/>
              <w:spacing w:after="0"/>
              <w:rPr>
                <w:sz w:val="20"/>
                <w:szCs w:val="20"/>
                <w:color w:val="auto"/>
              </w:rPr>
            </w:pPr>
            <w:r>
              <w:rPr>
                <w:rFonts w:ascii="Arial" w:cs="Arial" w:eastAsia="Arial" w:hAnsi="Arial"/>
                <w:sz w:val="12"/>
                <w:szCs w:val="12"/>
                <w:color w:val="auto"/>
                <w:w w:val="90"/>
              </w:rPr>
              <w:t>Other Media</w:t>
            </w:r>
          </w:p>
        </w:tc>
        <w:tc>
          <w:tcPr>
            <w:tcW w:w="1160" w:type="dxa"/>
            <w:vAlign w:val="bottom"/>
          </w:tcPr>
          <w:p>
            <w:pPr>
              <w:jc w:val="right"/>
              <w:ind w:right="142"/>
              <w:spacing w:after="0"/>
              <w:rPr>
                <w:sz w:val="20"/>
                <w:szCs w:val="20"/>
                <w:color w:val="auto"/>
              </w:rPr>
            </w:pPr>
            <w:r>
              <w:rPr>
                <w:rFonts w:ascii="Arial" w:cs="Arial" w:eastAsia="Arial" w:hAnsi="Arial"/>
                <w:sz w:val="12"/>
                <w:szCs w:val="12"/>
                <w:color w:val="auto"/>
              </w:rPr>
              <w:t>9.50%</w:t>
            </w:r>
          </w:p>
        </w:tc>
        <w:tc>
          <w:tcPr>
            <w:tcW w:w="860" w:type="dxa"/>
            <w:vAlign w:val="bottom"/>
          </w:tcPr>
          <w:p>
            <w:pPr>
              <w:jc w:val="right"/>
              <w:spacing w:after="0"/>
              <w:rPr>
                <w:sz w:val="20"/>
                <w:szCs w:val="20"/>
                <w:color w:val="auto"/>
              </w:rPr>
            </w:pPr>
            <w:r>
              <w:rPr>
                <w:rFonts w:ascii="Arial" w:cs="Arial" w:eastAsia="Arial" w:hAnsi="Arial"/>
                <w:sz w:val="12"/>
                <w:szCs w:val="12"/>
                <w:color w:val="auto"/>
              </w:rPr>
              <w:t>P+550</w:t>
            </w:r>
          </w:p>
        </w:tc>
        <w:tc>
          <w:tcPr>
            <w:tcW w:w="320" w:type="dxa"/>
            <w:vAlign w:val="bottom"/>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2,379,160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2,379,160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2,355,368</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900" w:type="dxa"/>
            <w:vAlign w:val="bottom"/>
            <w:shd w:val="clear" w:color="auto" w:fill="CCEEFF"/>
          </w:tcPr>
          <w:p>
            <w:pPr>
              <w:ind w:left="180"/>
              <w:spacing w:after="0" w:line="129" w:lineRule="exact"/>
              <w:rPr>
                <w:sz w:val="20"/>
                <w:szCs w:val="20"/>
                <w:color w:val="auto"/>
              </w:rPr>
            </w:pPr>
            <w:r>
              <w:rPr>
                <w:rFonts w:ascii="Arial" w:cs="Arial" w:eastAsia="Arial" w:hAnsi="Arial"/>
                <w:sz w:val="12"/>
                <w:szCs w:val="12"/>
                <w:color w:val="auto"/>
              </w:rPr>
              <w:t>12/15/2015</w:t>
            </w:r>
          </w:p>
        </w:tc>
        <w:tc>
          <w:tcPr>
            <w:tcW w:w="208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90"/>
              </w:rPr>
              <w:t>Other Media</w:t>
            </w:r>
          </w:p>
        </w:tc>
        <w:tc>
          <w:tcPr>
            <w:tcW w:w="116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P+750</w:t>
            </w: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2,649,294</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2,649,294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2,596,308</w:t>
            </w:r>
          </w:p>
        </w:tc>
        <w:tc>
          <w:tcPr>
            <w:tcW w:w="0" w:type="dxa"/>
            <w:vAlign w:val="bottom"/>
          </w:tcPr>
          <w:p>
            <w:pPr>
              <w:spacing w:after="0"/>
              <w:rPr>
                <w:sz w:val="1"/>
                <w:szCs w:val="1"/>
                <w:color w:val="auto"/>
              </w:rPr>
            </w:pPr>
          </w:p>
        </w:tc>
      </w:tr>
      <w:tr>
        <w:trPr>
          <w:trHeight w:val="155"/>
        </w:trPr>
        <w:tc>
          <w:tcPr>
            <w:tcW w:w="2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(PIK 11.50%)</w:t>
            </w: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370,635,557</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379,990,983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right="202"/>
              <w:spacing w:after="0"/>
              <w:rPr>
                <w:sz w:val="20"/>
                <w:szCs w:val="20"/>
                <w:color w:val="auto"/>
              </w:rPr>
            </w:pPr>
            <w:r>
              <w:rPr>
                <w:rFonts w:ascii="Arial" w:cs="Arial" w:eastAsia="Arial" w:hAnsi="Arial"/>
                <w:sz w:val="12"/>
                <w:szCs w:val="12"/>
                <w:b w:val="1"/>
                <w:bCs w:val="1"/>
                <w:color w:val="auto"/>
                <w:w w:val="85"/>
              </w:rPr>
              <w:t>Basis 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jc w:val="center"/>
              <w:ind w:right="202"/>
              <w:spacing w:after="0" w:line="135" w:lineRule="exact"/>
              <w:rPr>
                <w:sz w:val="20"/>
                <w:szCs w:val="20"/>
                <w:color w:val="auto"/>
              </w:rPr>
            </w:pPr>
            <w:r>
              <w:rPr>
                <w:rFonts w:ascii="Arial" w:cs="Arial" w:eastAsia="Arial" w:hAnsi="Arial"/>
                <w:sz w:val="12"/>
                <w:szCs w:val="12"/>
                <w:b w:val="1"/>
                <w:bCs w:val="1"/>
                <w:color w:val="auto"/>
                <w:w w:val="88"/>
              </w:rPr>
              <w:t>Spread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1240" w:type="dxa"/>
            <w:vAlign w:val="bottom"/>
          </w:tcPr>
          <w:p>
            <w:pPr>
              <w:jc w:val="right"/>
              <w:ind w:right="482"/>
              <w:spacing w:after="0" w:line="122" w:lineRule="exact"/>
              <w:rPr>
                <w:sz w:val="20"/>
                <w:szCs w:val="20"/>
                <w:color w:val="auto"/>
              </w:rPr>
            </w:pPr>
            <w:r>
              <w:rPr>
                <w:rFonts w:ascii="Arial" w:cs="Arial" w:eastAsia="Arial" w:hAnsi="Arial"/>
                <w:sz w:val="12"/>
                <w:szCs w:val="12"/>
                <w:b w:val="1"/>
                <w:bCs w:val="1"/>
                <w:color w:val="auto"/>
              </w:rPr>
              <w:t>Current</w:t>
            </w:r>
          </w:p>
        </w:tc>
        <w:tc>
          <w:tcPr>
            <w:tcW w:w="1140" w:type="dxa"/>
            <w:vAlign w:val="bottom"/>
          </w:tcPr>
          <w:p>
            <w:pPr>
              <w:jc w:val="center"/>
              <w:ind w:right="202"/>
              <w:spacing w:after="0" w:line="122"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282"/>
              <w:spacing w:after="0" w:line="122"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7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00" w:type="dxa"/>
            <w:vAlign w:val="bottom"/>
          </w:tcPr>
          <w:p>
            <w:pPr>
              <w:ind w:left="24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1240" w:type="dxa"/>
            <w:vAlign w:val="bottom"/>
          </w:tcPr>
          <w:p>
            <w:pPr>
              <w:jc w:val="right"/>
              <w:ind w:right="502"/>
              <w:spacing w:after="0"/>
              <w:rPr>
                <w:sz w:val="20"/>
                <w:szCs w:val="20"/>
                <w:color w:val="auto"/>
              </w:rPr>
            </w:pPr>
            <w:r>
              <w:rPr>
                <w:rFonts w:ascii="Arial" w:cs="Arial" w:eastAsia="Arial" w:hAnsi="Arial"/>
                <w:sz w:val="12"/>
                <w:szCs w:val="12"/>
                <w:b w:val="1"/>
                <w:bCs w:val="1"/>
                <w:color w:val="auto"/>
              </w:rPr>
              <w:t>Coupon</w:t>
            </w:r>
          </w:p>
        </w:tc>
        <w:tc>
          <w:tcPr>
            <w:tcW w:w="1140" w:type="dxa"/>
            <w:vAlign w:val="bottom"/>
          </w:tcPr>
          <w:p>
            <w:pPr>
              <w:jc w:val="center"/>
              <w:ind w:right="1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8"/>
        </w:trPr>
        <w:tc>
          <w:tcPr>
            <w:tcW w:w="27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Notes—45.4%</w:t>
            </w:r>
          </w:p>
        </w:tc>
        <w:tc>
          <w:tcPr>
            <w:tcW w:w="1000" w:type="dxa"/>
            <w:vAlign w:val="bottom"/>
            <w:tcBorders>
              <w:top w:val="single" w:sz="8" w:color="auto"/>
            </w:tcBorders>
            <w:shd w:val="clear" w:color="auto" w:fill="CCEEFF"/>
          </w:tcPr>
          <w:p>
            <w:pPr>
              <w:spacing w:after="0"/>
              <w:rPr>
                <w:sz w:val="11"/>
                <w:szCs w:val="11"/>
                <w:color w:val="auto"/>
              </w:rPr>
            </w:pPr>
          </w:p>
        </w:tc>
        <w:tc>
          <w:tcPr>
            <w:tcW w:w="19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Acentia, LLC</w:t>
            </w:r>
          </w:p>
        </w:tc>
        <w:tc>
          <w:tcPr>
            <w:tcW w:w="1000" w:type="dxa"/>
            <w:vAlign w:val="bottom"/>
          </w:tcPr>
          <w:p>
            <w:pPr>
              <w:jc w:val="center"/>
              <w:spacing w:after="0"/>
              <w:rPr>
                <w:sz w:val="20"/>
                <w:szCs w:val="20"/>
                <w:color w:val="auto"/>
              </w:rPr>
            </w:pPr>
            <w:r>
              <w:rPr>
                <w:rFonts w:ascii="Arial" w:cs="Arial" w:eastAsia="Arial" w:hAnsi="Arial"/>
                <w:sz w:val="12"/>
                <w:szCs w:val="12"/>
                <w:color w:val="auto"/>
                <w:w w:val="86"/>
              </w:rPr>
              <w:t>10/02/2017</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8"/>
              </w:rPr>
              <w:t>Electronics</w:t>
            </w:r>
          </w:p>
        </w:tc>
        <w:tc>
          <w:tcPr>
            <w:tcW w:w="1240" w:type="dxa"/>
            <w:vAlign w:val="bottom"/>
          </w:tcPr>
          <w:p>
            <w:pPr>
              <w:jc w:val="right"/>
              <w:ind w:right="222"/>
              <w:spacing w:after="0"/>
              <w:rPr>
                <w:sz w:val="20"/>
                <w:szCs w:val="20"/>
                <w:color w:val="auto"/>
              </w:rPr>
            </w:pPr>
            <w:r>
              <w:rPr>
                <w:rFonts w:ascii="Arial" w:cs="Arial" w:eastAsia="Arial" w:hAnsi="Arial"/>
                <w:sz w:val="12"/>
                <w:szCs w:val="12"/>
                <w:color w:val="auto"/>
              </w:rPr>
              <w:t>13.75%</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19,000,000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18,658,455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18,754,188</w:t>
            </w:r>
          </w:p>
        </w:tc>
        <w:tc>
          <w:tcPr>
            <w:tcW w:w="0" w:type="dxa"/>
            <w:vAlign w:val="bottom"/>
          </w:tcPr>
          <w:p>
            <w:pPr>
              <w:spacing w:after="0"/>
              <w:rPr>
                <w:sz w:val="1"/>
                <w:szCs w:val="1"/>
                <w:color w:val="auto"/>
              </w:rPr>
            </w:pPr>
          </w:p>
        </w:tc>
      </w:tr>
      <w:tr>
        <w:trPr>
          <w:trHeight w:val="129"/>
        </w:trPr>
        <w:tc>
          <w:tcPr>
            <w:tcW w:w="2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09/14/2018</w:t>
            </w:r>
          </w:p>
        </w:tc>
        <w:tc>
          <w:tcPr>
            <w:tcW w:w="198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12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14.50%</w:t>
            </w:r>
          </w:p>
        </w:tc>
        <w:tc>
          <w:tcPr>
            <w:tcW w:w="114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40,949,500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34,308,965</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35,626,065</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14.50%)</w:t>
            </w: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000" w:type="dxa"/>
            <w:vAlign w:val="bottom"/>
          </w:tcPr>
          <w:p>
            <w:pPr>
              <w:jc w:val="center"/>
              <w:spacing w:after="0"/>
              <w:rPr>
                <w:sz w:val="20"/>
                <w:szCs w:val="20"/>
                <w:color w:val="auto"/>
              </w:rPr>
            </w:pPr>
            <w:r>
              <w:rPr>
                <w:rFonts w:ascii="Arial" w:cs="Arial" w:eastAsia="Arial" w:hAnsi="Arial"/>
                <w:sz w:val="12"/>
                <w:szCs w:val="12"/>
                <w:color w:val="auto"/>
                <w:w w:val="86"/>
              </w:rPr>
              <w:t>08/15/2018</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1240" w:type="dxa"/>
            <w:vAlign w:val="bottom"/>
          </w:tcPr>
          <w:p>
            <w:pPr>
              <w:jc w:val="right"/>
              <w:ind w:right="222"/>
              <w:spacing w:after="0"/>
              <w:rPr>
                <w:sz w:val="20"/>
                <w:szCs w:val="20"/>
                <w:color w:val="auto"/>
              </w:rPr>
            </w:pPr>
            <w:r>
              <w:rPr>
                <w:rFonts w:ascii="Arial" w:cs="Arial" w:eastAsia="Arial" w:hAnsi="Arial"/>
                <w:sz w:val="12"/>
                <w:szCs w:val="12"/>
                <w:color w:val="auto"/>
              </w:rPr>
              <w:t>13.50%</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15,096,000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15,195,600</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15,322,440</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Alegeus Technologies, LLC</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02/15/2019</w:t>
            </w:r>
          </w:p>
        </w:tc>
        <w:tc>
          <w:tcPr>
            <w:tcW w:w="19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8"/>
              </w:rPr>
              <w:t>Financial Services</w:t>
            </w:r>
          </w:p>
        </w:tc>
        <w:tc>
          <w:tcPr>
            <w:tcW w:w="12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12.00%</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8,930,000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8,779,780</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8,986,799</w:t>
            </w: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86"/>
              </w:rPr>
              <w:t>03/26/2018</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12.00%</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23,633,523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23,275,175</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23,988,026</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(PIK 1.00%)</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Credit Infonet, Inc.</w:t>
            </w:r>
          </w:p>
        </w:tc>
        <w:tc>
          <w:tcPr>
            <w:tcW w:w="10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10/26/2018</w:t>
            </w:r>
          </w:p>
        </w:tc>
        <w:tc>
          <w:tcPr>
            <w:tcW w:w="198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85"/>
              </w:rPr>
              <w:t>Personal, Food and</w:t>
            </w:r>
          </w:p>
        </w:tc>
        <w:tc>
          <w:tcPr>
            <w:tcW w:w="124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12.25%</w:t>
            </w:r>
          </w:p>
        </w:tc>
        <w:tc>
          <w:tcPr>
            <w:tcW w:w="114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10,600,000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10,413,752</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10,467,187</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98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Miscellaneous Services</w:t>
            </w:r>
          </w:p>
        </w:tc>
        <w:tc>
          <w:tcPr>
            <w:tcW w:w="1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 xml:space="preserve">George Bond Limited </w:t>
            </w:r>
            <w:r>
              <w:rPr>
                <w:rFonts w:ascii="Arial" w:cs="Arial" w:eastAsia="Arial" w:hAnsi="Arial"/>
                <w:sz w:val="9"/>
                <w:szCs w:val="9"/>
                <w:color w:val="auto"/>
              </w:rPr>
              <w:t>(10), (12)</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86"/>
              </w:rPr>
              <w:t>06/29/2018</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13.53%</w:t>
            </w:r>
          </w:p>
        </w:tc>
        <w:tc>
          <w:tcPr>
            <w:tcW w:w="114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L+1,300</w:t>
            </w:r>
            <w:r>
              <w:rPr>
                <w:rFonts w:ascii="Arial" w:cs="Arial" w:eastAsia="Arial" w:hAnsi="Arial"/>
                <w:sz w:val="9"/>
                <w:szCs w:val="9"/>
                <w:color w:val="auto"/>
              </w:rPr>
              <w:t>(8)</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5,166,787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8,896,510</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8,613,753</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(PIK 13.00%)</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George Mezz Limited </w:t>
            </w:r>
            <w:r>
              <w:rPr>
                <w:rFonts w:ascii="Arial" w:cs="Arial" w:eastAsia="Arial" w:hAnsi="Arial"/>
                <w:sz w:val="9"/>
                <w:szCs w:val="9"/>
                <w:color w:val="auto"/>
              </w:rPr>
              <w:t>(10), (12)</w:t>
            </w:r>
          </w:p>
        </w:tc>
        <w:tc>
          <w:tcPr>
            <w:tcW w:w="10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06/30/2017</w:t>
            </w:r>
          </w:p>
        </w:tc>
        <w:tc>
          <w:tcPr>
            <w:tcW w:w="198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8"/>
              </w:rPr>
              <w:t>Electronics</w:t>
            </w:r>
          </w:p>
        </w:tc>
        <w:tc>
          <w:tcPr>
            <w:tcW w:w="124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11.53%</w:t>
            </w:r>
          </w:p>
        </w:tc>
        <w:tc>
          <w:tcPr>
            <w:tcW w:w="114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8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10,166,438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17,347,934</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16,915,403</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6.75%)</w:t>
            </w: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86"/>
              </w:rPr>
              <w:t>06/30/2017</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3"/>
              </w:rPr>
              <w:t>Distribution</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17,692,998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17,373,730</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17,692,998</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(PIK 2.00%)</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0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05/08/2020</w:t>
            </w:r>
          </w:p>
        </w:tc>
        <w:tc>
          <w:tcPr>
            <w:tcW w:w="198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9"/>
              </w:rPr>
              <w:t>Education</w:t>
            </w:r>
          </w:p>
        </w:tc>
        <w:tc>
          <w:tcPr>
            <w:tcW w:w="124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15.00%</w:t>
            </w:r>
          </w:p>
        </w:tc>
        <w:tc>
          <w:tcPr>
            <w:tcW w:w="114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7,757,188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7,346,910</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7,757,188</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15.00%)</w:t>
            </w: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000" w:type="dxa"/>
            <w:vAlign w:val="bottom"/>
          </w:tcPr>
          <w:p>
            <w:pPr>
              <w:jc w:val="center"/>
              <w:spacing w:after="0"/>
              <w:rPr>
                <w:sz w:val="20"/>
                <w:szCs w:val="20"/>
                <w:color w:val="auto"/>
              </w:rPr>
            </w:pPr>
            <w:r>
              <w:rPr>
                <w:rFonts w:ascii="Arial" w:cs="Arial" w:eastAsia="Arial" w:hAnsi="Arial"/>
                <w:sz w:val="12"/>
                <w:szCs w:val="12"/>
                <w:color w:val="auto"/>
                <w:w w:val="86"/>
              </w:rPr>
              <w:t>01/19/2019</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7"/>
              </w:rPr>
              <w:t>Chemicals, Plastics and Rubber</w:t>
            </w:r>
          </w:p>
        </w:tc>
        <w:tc>
          <w:tcPr>
            <w:tcW w:w="1240" w:type="dxa"/>
            <w:vAlign w:val="bottom"/>
          </w:tcPr>
          <w:p>
            <w:pPr>
              <w:jc w:val="right"/>
              <w:ind w:right="222"/>
              <w:spacing w:after="0"/>
              <w:rPr>
                <w:sz w:val="20"/>
                <w:szCs w:val="20"/>
                <w:color w:val="auto"/>
              </w:rPr>
            </w:pPr>
            <w:r>
              <w:rPr>
                <w:rFonts w:ascii="Arial" w:cs="Arial" w:eastAsia="Arial" w:hAnsi="Arial"/>
                <w:sz w:val="12"/>
                <w:szCs w:val="12"/>
                <w:color w:val="auto"/>
              </w:rPr>
              <w:t>12.50%</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30,000,000</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30,600,000</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MSPark, Inc.</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06/15/2017</w:t>
            </w: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14,729,435</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14,850,000</w:t>
            </w: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Power Products, LLC</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86"/>
              </w:rPr>
              <w:t>12/11/2020</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12.75%</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15,000,000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14,759,440</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15,011,709</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(PIK 2.00%)</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Randall-Reilly Publishing Company, LLC</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04/15/2019</w:t>
            </w: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Other Media</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30,400,000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29,823,037</w:t>
            </w:r>
          </w:p>
        </w:tc>
        <w:tc>
          <w:tcPr>
            <w:tcW w:w="2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30,484,788</w:t>
            </w: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w w:val="96"/>
              </w:rPr>
              <w:t>Varel International Energy Mezzanine Funding Corp.</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86"/>
              </w:rPr>
              <w:t>01/15/2018</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Oil and Gas</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37,824,077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37,228,952</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40,850,003</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40" w:type="dxa"/>
            <w:vAlign w:val="bottom"/>
          </w:tcPr>
          <w:p>
            <w:pPr>
              <w:jc w:val="right"/>
              <w:ind w:right="182"/>
              <w:spacing w:after="0"/>
              <w:rPr>
                <w:sz w:val="20"/>
                <w:szCs w:val="20"/>
                <w:color w:val="auto"/>
              </w:rPr>
            </w:pPr>
            <w:r>
              <w:rPr>
                <w:rFonts w:ascii="Arial" w:cs="Arial" w:eastAsia="Arial" w:hAnsi="Arial"/>
                <w:sz w:val="12"/>
                <w:szCs w:val="12"/>
                <w:color w:val="auto"/>
              </w:rPr>
              <w:t>(PIK 4.00%)</w:t>
            </w: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Vestcom International, Inc.</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06/27/2019</w:t>
            </w: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2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12.00%</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39,892,933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39,201,283</w:t>
            </w:r>
          </w:p>
        </w:tc>
        <w:tc>
          <w:tcPr>
            <w:tcW w:w="2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40,491,327</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w w:val="92"/>
              </w:rPr>
              <w:t>327,338,958</w:t>
            </w:r>
          </w:p>
        </w:tc>
        <w:tc>
          <w:tcPr>
            <w:tcW w:w="22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336,411,874</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9"/>
              </w:rPr>
              <w:t xml:space="preserve">Preferred Equity/Partnership Interests—1.7% </w:t>
            </w:r>
            <w:r>
              <w:rPr>
                <w:rFonts w:ascii="Arial" w:cs="Arial" w:eastAsia="Arial" w:hAnsi="Arial"/>
                <w:sz w:val="9"/>
                <w:szCs w:val="9"/>
                <w:b w:val="1"/>
                <w:bCs w:val="1"/>
                <w:color w:val="auto"/>
                <w:w w:val="99"/>
              </w:rPr>
              <w:t>(6)</w:t>
            </w:r>
          </w:p>
        </w:tc>
        <w:tc>
          <w:tcPr>
            <w:tcW w:w="10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AH Holdings, Inc.</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24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6.00%</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719,058</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6"/>
              </w:rPr>
              <w:t>Childcare</w:t>
            </w: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AHC Mezzanine, LLC</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Other Media</w:t>
            </w:r>
          </w:p>
        </w:tc>
        <w:tc>
          <w:tcPr>
            <w:tcW w:w="124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7,505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318,896</w:t>
            </w:r>
          </w:p>
        </w:tc>
        <w:tc>
          <w:tcPr>
            <w:tcW w:w="22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8"/>
              </w:rPr>
              <w:t>Financial Services</w:t>
            </w:r>
          </w:p>
        </w:tc>
        <w:tc>
          <w:tcPr>
            <w:tcW w:w="124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949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949,050</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790,891</w:t>
            </w:r>
          </w:p>
        </w:tc>
        <w:tc>
          <w:tcPr>
            <w:tcW w:w="0" w:type="dxa"/>
            <w:vAlign w:val="bottom"/>
          </w:tcPr>
          <w:p>
            <w:pPr>
              <w:spacing w:after="0"/>
              <w:rPr>
                <w:sz w:val="1"/>
                <w:szCs w:val="1"/>
                <w:color w:val="auto"/>
              </w:rPr>
            </w:pPr>
          </w:p>
        </w:tc>
      </w:tr>
      <w:tr>
        <w:trPr>
          <w:trHeight w:val="141"/>
        </w:trPr>
        <w:tc>
          <w:tcPr>
            <w:tcW w:w="2720" w:type="dxa"/>
            <w:vAlign w:val="bottom"/>
          </w:tcPr>
          <w:p>
            <w:pPr>
              <w:ind w:left="120"/>
              <w:spacing w:after="0"/>
              <w:rPr>
                <w:sz w:val="20"/>
                <w:szCs w:val="20"/>
                <w:color w:val="auto"/>
              </w:rPr>
            </w:pPr>
            <w:r>
              <w:rPr>
                <w:rFonts w:ascii="Arial" w:cs="Arial" w:eastAsia="Arial" w:hAnsi="Arial"/>
                <w:sz w:val="12"/>
                <w:szCs w:val="12"/>
                <w:color w:val="auto"/>
              </w:rPr>
              <w:t>Series A (Alegeus Technologies, LLC)</w:t>
            </w: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2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14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76,357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765,307</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1,590,975</w:t>
            </w:r>
          </w:p>
        </w:tc>
        <w:tc>
          <w:tcPr>
            <w:tcW w:w="0" w:type="dxa"/>
            <w:vAlign w:val="bottom"/>
          </w:tcPr>
          <w:p>
            <w:pPr>
              <w:spacing w:after="0"/>
              <w:rPr>
                <w:sz w:val="1"/>
                <w:szCs w:val="1"/>
                <w:color w:val="auto"/>
              </w:rPr>
            </w:pPr>
          </w:p>
        </w:tc>
      </w:tr>
      <w:tr>
        <w:trPr>
          <w:trHeight w:val="155"/>
        </w:trPr>
        <w:tc>
          <w:tcPr>
            <w:tcW w:w="2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Childcare</w:t>
            </w:r>
          </w:p>
        </w:tc>
        <w:tc>
          <w:tcPr>
            <w:tcW w:w="1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24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38,179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382,654</w:t>
            </w: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795,488</w:t>
            </w:r>
          </w:p>
        </w:tc>
        <w:tc>
          <w:tcPr>
            <w:tcW w:w="0" w:type="dxa"/>
            <w:vAlign w:val="bottom"/>
          </w:tcPr>
          <w:p>
            <w:pPr>
              <w:spacing w:after="0"/>
              <w:rPr>
                <w:sz w:val="1"/>
                <w:szCs w:val="1"/>
                <w:color w:val="auto"/>
              </w:rPr>
            </w:pPr>
          </w:p>
        </w:tc>
      </w:tr>
      <w:tr>
        <w:trPr>
          <w:trHeight w:val="151"/>
        </w:trPr>
        <w:tc>
          <w:tcPr>
            <w:tcW w:w="2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6"/>
              </w:rPr>
              <w:t>Childcare</w:t>
            </w:r>
          </w:p>
        </w:tc>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10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9"/>
              </w:rPr>
              <w:t>—</w:t>
            </w:r>
          </w:p>
        </w:tc>
        <w:tc>
          <w:tcPr>
            <w:tcW w:w="198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8"/>
              </w:rPr>
              <w:t>Electronics</w:t>
            </w:r>
          </w:p>
        </w:tc>
        <w:tc>
          <w:tcPr>
            <w:tcW w:w="124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8.00%</w:t>
            </w:r>
          </w:p>
        </w:tc>
        <w:tc>
          <w:tcPr>
            <w:tcW w:w="1140" w:type="dxa"/>
            <w:vAlign w:val="bottom"/>
            <w:shd w:val="clear" w:color="auto" w:fill="CCEEFF"/>
          </w:tcPr>
          <w:p>
            <w:pPr>
              <w:jc w:val="right"/>
              <w:ind w:right="242"/>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2,375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2,375,000</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2,684,904</w:t>
            </w:r>
          </w:p>
        </w:tc>
        <w:tc>
          <w:tcPr>
            <w:tcW w:w="0" w:type="dxa"/>
            <w:vAlign w:val="bottom"/>
          </w:tcPr>
          <w:p>
            <w:pPr>
              <w:spacing w:after="0"/>
              <w:rPr>
                <w:sz w:val="1"/>
                <w:szCs w:val="1"/>
                <w:color w:val="auto"/>
              </w:rPr>
            </w:pPr>
          </w:p>
        </w:tc>
      </w:tr>
      <w:tr>
        <w:trPr>
          <w:trHeight w:val="141"/>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10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Hanley-Wood Holdings, LLC</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90"/>
              </w:rPr>
              <w:t>Other Media</w:t>
            </w:r>
          </w:p>
        </w:tc>
        <w:tc>
          <w:tcPr>
            <w:tcW w:w="1240" w:type="dxa"/>
            <w:vAlign w:val="bottom"/>
          </w:tcPr>
          <w:p>
            <w:pPr>
              <w:jc w:val="right"/>
              <w:ind w:right="222"/>
              <w:spacing w:after="0"/>
              <w:rPr>
                <w:sz w:val="20"/>
                <w:szCs w:val="20"/>
                <w:color w:val="auto"/>
              </w:rPr>
            </w:pPr>
            <w:r>
              <w:rPr>
                <w:rFonts w:ascii="Arial" w:cs="Arial" w:eastAsia="Arial" w:hAnsi="Arial"/>
                <w:sz w:val="12"/>
                <w:szCs w:val="12"/>
                <w:color w:val="auto"/>
              </w:rPr>
              <w:t>8.00%</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3,591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22,216</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33,590</w:t>
            </w:r>
          </w:p>
        </w:tc>
        <w:tc>
          <w:tcPr>
            <w:tcW w:w="0" w:type="dxa"/>
            <w:vAlign w:val="bottom"/>
          </w:tcPr>
          <w:p>
            <w:pPr>
              <w:spacing w:after="0"/>
              <w:rPr>
                <w:sz w:val="1"/>
                <w:szCs w:val="1"/>
                <w:color w:val="auto"/>
              </w:rPr>
            </w:pPr>
          </w:p>
        </w:tc>
      </w:tr>
      <w:tr>
        <w:trPr>
          <w:trHeight w:val="129"/>
        </w:trPr>
        <w:tc>
          <w:tcPr>
            <w:tcW w:w="27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 Cosmetics US, Inc.</w:t>
            </w:r>
          </w:p>
        </w:tc>
        <w:tc>
          <w:tcPr>
            <w:tcW w:w="10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198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124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140" w:type="dxa"/>
            <w:vAlign w:val="bottom"/>
            <w:shd w:val="clear" w:color="auto" w:fill="CCEEFF"/>
          </w:tcPr>
          <w:p>
            <w:pPr>
              <w:jc w:val="right"/>
              <w:ind w:right="242"/>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3,397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3,397,484</w:t>
            </w: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3,397,484</w:t>
            </w:r>
          </w:p>
        </w:tc>
        <w:tc>
          <w:tcPr>
            <w:tcW w:w="0" w:type="dxa"/>
            <w:vAlign w:val="bottom"/>
          </w:tcPr>
          <w:p>
            <w:pPr>
              <w:spacing w:after="0"/>
              <w:rPr>
                <w:sz w:val="1"/>
                <w:szCs w:val="1"/>
                <w:color w:val="auto"/>
              </w:rPr>
            </w:pPr>
          </w:p>
        </w:tc>
      </w:tr>
      <w:tr>
        <w:trPr>
          <w:trHeight w:val="141"/>
        </w:trPr>
        <w:tc>
          <w:tcPr>
            <w:tcW w:w="2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(J.A. Cosmetics Holdings, Inc.)</w:t>
            </w:r>
          </w:p>
        </w:tc>
        <w:tc>
          <w:tcPr>
            <w:tcW w:w="10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TZ Holdings, L.P., Series A</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3"/>
              </w:rPr>
              <w:t>Insurance</w:t>
            </w:r>
          </w:p>
        </w:tc>
        <w:tc>
          <w:tcPr>
            <w:tcW w:w="124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686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685,820</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B</w:t>
            </w:r>
          </w:p>
        </w:tc>
        <w:tc>
          <w:tcPr>
            <w:tcW w:w="1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9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3"/>
              </w:rPr>
              <w:t>Insurance</w:t>
            </w:r>
          </w:p>
        </w:tc>
        <w:tc>
          <w:tcPr>
            <w:tcW w:w="124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6.50%</w:t>
            </w:r>
          </w:p>
        </w:tc>
        <w:tc>
          <w:tcPr>
            <w:tcW w:w="1140" w:type="dxa"/>
            <w:vAlign w:val="bottom"/>
            <w:shd w:val="clear" w:color="auto" w:fill="CCEEFF"/>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1,312,006</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1,699,110</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20"/>
                <w:szCs w:val="20"/>
                <w:color w:val="auto"/>
              </w:rPr>
            </w:pPr>
            <w:r>
              <w:rPr>
                <w:rFonts w:ascii="Arial" w:cs="Arial" w:eastAsia="Arial" w:hAnsi="Arial"/>
                <w:sz w:val="12"/>
                <w:szCs w:val="12"/>
                <w:color w:val="auto"/>
              </w:rPr>
              <w:t>VRide Holdings, Inc.</w:t>
            </w:r>
          </w:p>
        </w:tc>
        <w:tc>
          <w:tcPr>
            <w:tcW w:w="10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1980" w:type="dxa"/>
            <w:vAlign w:val="bottom"/>
          </w:tcPr>
          <w:p>
            <w:pPr>
              <w:jc w:val="center"/>
              <w:ind w:right="2"/>
              <w:spacing w:after="0"/>
              <w:rPr>
                <w:sz w:val="20"/>
                <w:szCs w:val="20"/>
                <w:color w:val="auto"/>
              </w:rPr>
            </w:pPr>
            <w:r>
              <w:rPr>
                <w:rFonts w:ascii="Arial" w:cs="Arial" w:eastAsia="Arial" w:hAnsi="Arial"/>
                <w:sz w:val="12"/>
                <w:szCs w:val="12"/>
                <w:color w:val="auto"/>
                <w:w w:val="87"/>
              </w:rPr>
              <w:t>Personal Transportation</w:t>
            </w:r>
          </w:p>
        </w:tc>
        <w:tc>
          <w:tcPr>
            <w:tcW w:w="1240" w:type="dxa"/>
            <w:vAlign w:val="bottom"/>
          </w:tcPr>
          <w:p>
            <w:pPr>
              <w:jc w:val="right"/>
              <w:ind w:right="222"/>
              <w:spacing w:after="0"/>
              <w:rPr>
                <w:sz w:val="20"/>
                <w:szCs w:val="20"/>
                <w:color w:val="auto"/>
              </w:rPr>
            </w:pPr>
            <w:r>
              <w:rPr>
                <w:rFonts w:ascii="Arial" w:cs="Arial" w:eastAsia="Arial" w:hAnsi="Arial"/>
                <w:sz w:val="12"/>
                <w:szCs w:val="12"/>
                <w:color w:val="auto"/>
              </w:rPr>
              <w:t>8.00%</w:t>
            </w:r>
          </w:p>
        </w:tc>
        <w:tc>
          <w:tcPr>
            <w:tcW w:w="11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rPr>
                <w:sz w:val="20"/>
                <w:szCs w:val="20"/>
                <w:color w:val="auto"/>
              </w:rPr>
            </w:pPr>
            <w:r>
              <w:rPr>
                <w:rFonts w:ascii="Arial" w:cs="Arial" w:eastAsia="Arial" w:hAnsi="Arial"/>
                <w:sz w:val="12"/>
                <w:szCs w:val="12"/>
                <w:color w:val="auto"/>
              </w:rPr>
              <w:t>1,824,167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1,824,167</w:t>
            </w: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224,861</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0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12,532,600</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12,622,181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jc w:val="center"/>
              <w:ind w:left="442"/>
              <w:spacing w:after="0"/>
              <w:rPr>
                <w:sz w:val="20"/>
                <w:szCs w:val="20"/>
                <w:color w:val="auto"/>
              </w:rPr>
            </w:pPr>
            <w:r>
              <w:rPr>
                <w:rFonts w:ascii="Arial" w:cs="Arial" w:eastAsia="Arial" w:hAnsi="Arial"/>
                <w:sz w:val="12"/>
                <w:szCs w:val="12"/>
                <w:b w:val="1"/>
                <w:bCs w:val="1"/>
                <w:color w:val="auto"/>
                <w:w w:val="82"/>
              </w:rPr>
              <w:t>Basis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9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Maturity /</w:t>
            </w:r>
          </w:p>
        </w:tc>
        <w:tc>
          <w:tcPr>
            <w:tcW w:w="2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center"/>
              <w:ind w:left="442"/>
              <w:spacing w:after="0" w:line="135" w:lineRule="exact"/>
              <w:rPr>
                <w:sz w:val="20"/>
                <w:szCs w:val="20"/>
                <w:color w:val="auto"/>
              </w:rPr>
            </w:pPr>
            <w:r>
              <w:rPr>
                <w:rFonts w:ascii="Arial" w:cs="Arial" w:eastAsia="Arial" w:hAnsi="Arial"/>
                <w:sz w:val="12"/>
                <w:szCs w:val="12"/>
                <w:b w:val="1"/>
                <w:bCs w:val="1"/>
                <w:color w:val="auto"/>
                <w:w w:val="83"/>
              </w:rPr>
              <w:t>Spread</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700" w:type="dxa"/>
            <w:vAlign w:val="bottom"/>
          </w:tcPr>
          <w:p>
            <w:pPr>
              <w:ind w:left="260"/>
              <w:spacing w:after="0" w:line="122" w:lineRule="exact"/>
              <w:rPr>
                <w:sz w:val="20"/>
                <w:szCs w:val="20"/>
                <w:color w:val="auto"/>
              </w:rPr>
            </w:pPr>
            <w:r>
              <w:rPr>
                <w:rFonts w:ascii="Arial" w:cs="Arial" w:eastAsia="Arial" w:hAnsi="Arial"/>
                <w:sz w:val="12"/>
                <w:szCs w:val="12"/>
                <w:b w:val="1"/>
                <w:bCs w:val="1"/>
                <w:color w:val="auto"/>
                <w:w w:val="96"/>
              </w:rPr>
              <w:t>Current</w:t>
            </w:r>
          </w:p>
        </w:tc>
        <w:tc>
          <w:tcPr>
            <w:tcW w:w="1040" w:type="dxa"/>
            <w:vAlign w:val="bottom"/>
          </w:tcPr>
          <w:p>
            <w:pPr>
              <w:jc w:val="center"/>
              <w:ind w:left="422"/>
              <w:spacing w:after="0" w:line="122" w:lineRule="exact"/>
              <w:rPr>
                <w:sz w:val="20"/>
                <w:szCs w:val="20"/>
                <w:color w:val="auto"/>
              </w:rPr>
            </w:pPr>
            <w:r>
              <w:rPr>
                <w:rFonts w:ascii="Arial" w:cs="Arial" w:eastAsia="Arial" w:hAnsi="Arial"/>
                <w:sz w:val="12"/>
                <w:szCs w:val="12"/>
                <w:b w:val="1"/>
                <w:bCs w:val="1"/>
                <w:color w:val="auto"/>
                <w:w w:val="87"/>
              </w:rPr>
              <w:t>Above</w:t>
            </w:r>
          </w:p>
        </w:tc>
        <w:tc>
          <w:tcPr>
            <w:tcW w:w="340" w:type="dxa"/>
            <w:vAlign w:val="bottom"/>
          </w:tcPr>
          <w:p>
            <w:pPr>
              <w:spacing w:after="0"/>
              <w:rPr>
                <w:sz w:val="10"/>
                <w:szCs w:val="10"/>
                <w:color w:val="auto"/>
              </w:rPr>
            </w:pPr>
          </w:p>
        </w:tc>
        <w:tc>
          <w:tcPr>
            <w:tcW w:w="960" w:type="dxa"/>
            <w:vAlign w:val="bottom"/>
          </w:tcPr>
          <w:p>
            <w:pPr>
              <w:jc w:val="right"/>
              <w:ind w:right="402"/>
              <w:spacing w:after="0" w:line="122"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Expiration</w:t>
            </w:r>
          </w:p>
        </w:tc>
        <w:tc>
          <w:tcPr>
            <w:tcW w:w="2020" w:type="dxa"/>
            <w:vAlign w:val="bottom"/>
          </w:tcPr>
          <w:p>
            <w:pPr>
              <w:jc w:val="center"/>
              <w:ind w:right="22"/>
              <w:spacing w:after="0"/>
              <w:rPr>
                <w:sz w:val="20"/>
                <w:szCs w:val="20"/>
                <w:color w:val="auto"/>
              </w:rPr>
            </w:pPr>
            <w:r>
              <w:rPr>
                <w:rFonts w:ascii="Arial" w:cs="Arial" w:eastAsia="Arial" w:hAnsi="Arial"/>
                <w:sz w:val="12"/>
                <w:szCs w:val="12"/>
                <w:b w:val="1"/>
                <w:bCs w:val="1"/>
                <w:color w:val="auto"/>
                <w:w w:val="88"/>
              </w:rPr>
              <w:t>Industry</w:t>
            </w:r>
          </w:p>
        </w:tc>
        <w:tc>
          <w:tcPr>
            <w:tcW w:w="700" w:type="dxa"/>
            <w:vAlign w:val="bottom"/>
          </w:tcPr>
          <w:p>
            <w:pPr>
              <w:ind w:left="260"/>
              <w:spacing w:after="0"/>
              <w:rPr>
                <w:sz w:val="20"/>
                <w:szCs w:val="20"/>
                <w:color w:val="auto"/>
              </w:rPr>
            </w:pPr>
            <w:r>
              <w:rPr>
                <w:rFonts w:ascii="Arial" w:cs="Arial" w:eastAsia="Arial" w:hAnsi="Arial"/>
                <w:sz w:val="12"/>
                <w:szCs w:val="12"/>
                <w:b w:val="1"/>
                <w:bCs w:val="1"/>
                <w:color w:val="auto"/>
                <w:w w:val="92"/>
              </w:rPr>
              <w:t>Coupon</w:t>
            </w:r>
          </w:p>
        </w:tc>
        <w:tc>
          <w:tcPr>
            <w:tcW w:w="1040" w:type="dxa"/>
            <w:vAlign w:val="bottom"/>
          </w:tcPr>
          <w:p>
            <w:pPr>
              <w:jc w:val="center"/>
              <w:ind w:left="4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340" w:type="dxa"/>
            <w:vAlign w:val="bottom"/>
          </w:tcPr>
          <w:p>
            <w:pPr>
              <w:spacing w:after="0"/>
              <w:rPr>
                <w:sz w:val="13"/>
                <w:szCs w:val="13"/>
                <w:color w:val="auto"/>
              </w:rPr>
            </w:pPr>
          </w:p>
        </w:tc>
        <w:tc>
          <w:tcPr>
            <w:tcW w:w="96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6"/>
              </w:rPr>
              <w:t xml:space="preserve">Fair Value </w:t>
            </w:r>
            <w:r>
              <w:rPr>
                <w:rFonts w:ascii="Arial" w:cs="Arial" w:eastAsia="Arial" w:hAnsi="Arial"/>
                <w:sz w:val="9"/>
                <w:szCs w:val="9"/>
                <w:b w:val="1"/>
                <w:bCs w:val="1"/>
                <w:color w:val="auto"/>
                <w:w w:val="86"/>
              </w:rPr>
              <w:t>(3)</w:t>
            </w:r>
          </w:p>
        </w:tc>
        <w:tc>
          <w:tcPr>
            <w:tcW w:w="0" w:type="dxa"/>
            <w:vAlign w:val="bottom"/>
          </w:tcPr>
          <w:p>
            <w:pPr>
              <w:spacing w:after="0"/>
              <w:rPr>
                <w:sz w:val="1"/>
                <w:szCs w:val="1"/>
                <w:color w:val="auto"/>
              </w:rPr>
            </w:pPr>
          </w:p>
        </w:tc>
      </w:tr>
      <w:tr>
        <w:trPr>
          <w:trHeight w:val="128"/>
        </w:trPr>
        <w:tc>
          <w:tcPr>
            <w:tcW w:w="3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Common Equity/Partnership Interests/Warrants—11.7% </w:t>
            </w:r>
            <w:r>
              <w:rPr>
                <w:rFonts w:ascii="Arial" w:cs="Arial" w:eastAsia="Arial" w:hAnsi="Arial"/>
                <w:sz w:val="9"/>
                <w:szCs w:val="9"/>
                <w:b w:val="1"/>
                <w:bCs w:val="1"/>
                <w:color w:val="auto"/>
                <w:w w:val="96"/>
              </w:rPr>
              <w:t>(6)</w:t>
            </w:r>
          </w:p>
        </w:tc>
        <w:tc>
          <w:tcPr>
            <w:tcW w:w="90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91"/>
              </w:rPr>
              <w:t>Electronics</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1,998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2,000,000</w:t>
            </w:r>
          </w:p>
        </w:tc>
        <w:tc>
          <w:tcPr>
            <w:tcW w:w="1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1,156,434</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 Series A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12/12/2023</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1,888,055</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2,380,193</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5,758,566</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Affinion Group Holdings, Inc., Series B (Warrants)</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12/12/2023</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9,822,196</w:t>
            </w: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294,666</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AH Holdings, Inc. (Warrants)</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03/23/2021</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753</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2,139,351</w:t>
            </w: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8"/>
              </w:rPr>
              <w:t>Financial Services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950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Broadcasting and Entertainment</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1,333,330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2"/>
              </w:rPr>
              <w:t>Building Materials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207,242</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2,250,000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2,316,786</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(Foundation Building Materials, LLC)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2"/>
              </w:rPr>
              <w:t>Building Materials</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103,621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1,125,000</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1,158,393</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(Foundation Building Materials,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96"/>
              </w:rPr>
              <w:t>Distribution</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1,505,000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1,505,000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1,726,908</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23,416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234,693</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487,921</w:t>
            </w: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11,708</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117,346</w:t>
            </w: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243,961</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91"/>
              </w:rPr>
              <w:t>Electronics</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2,375</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567,243</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5"/>
              </w:rPr>
              <w:t>Business Services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5,556</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545,887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5,105,762</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(CT Technologies Intermediate Holdings, Inc.)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Hanley-Wood Holdings, LLC</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Other Media</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386,770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2,697,834</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3,117,959</w:t>
            </w: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252</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2,516</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153,315</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(J.A. Cosmetics Holdings, Inc.)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Kadmon Holdings, LLC, Class A</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1,079,920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1,236,832</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10,116,070</w:t>
            </w:r>
          </w:p>
        </w:tc>
        <w:tc>
          <w:tcPr>
            <w:tcW w:w="0" w:type="dxa"/>
            <w:vAlign w:val="bottom"/>
          </w:tcPr>
          <w:p>
            <w:pPr>
              <w:spacing w:after="0"/>
              <w:rPr>
                <w:sz w:val="1"/>
                <w:szCs w:val="1"/>
                <w:color w:val="auto"/>
              </w:rPr>
            </w:pPr>
          </w:p>
        </w:tc>
      </w:tr>
      <w:tr>
        <w:trPr>
          <w:trHeight w:val="155"/>
        </w:trPr>
        <w:tc>
          <w:tcPr>
            <w:tcW w:w="3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Kadmon Holdings, LLC, Class D</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1,079,920</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1,028,807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Lariat ecoserv Co-Invest Holdings, LLC</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Environmental Services</w:t>
            </w: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1,000,000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Learning Care Group (US) Inc. (Warrants)</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04/27/2020</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86"/>
              </w:rPr>
              <w:t>Education</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6,649</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779,920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6,932,765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Magnum Hunter Resources Corporation</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5"/>
              </w:rPr>
              <w:t>Oil and Gas</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1,221,932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3,057,500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10,386,422</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Magnum Hunter Resources Corporation (Warrants)</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04/16/2016</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85"/>
              </w:rPr>
              <w:t>Oil and Gas</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122,193</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182,499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320,144</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MidOcean JF Holdings Corp.</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96"/>
              </w:rPr>
              <w:t>Distribution</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1,850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1,850,294</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1,593,272</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(JF Acquisitions,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MidOcean PPL Holdings, Corp.</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7"/>
              </w:rPr>
              <w:t>Personal, Food and Miscellaneous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3,000</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3,000,000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6,307,133</w:t>
            </w:r>
          </w:p>
        </w:tc>
        <w:tc>
          <w:tcPr>
            <w:tcW w:w="0" w:type="dxa"/>
            <w:vAlign w:val="bottom"/>
          </w:tcPr>
          <w:p>
            <w:pPr>
              <w:spacing w:after="0"/>
              <w:rPr>
                <w:sz w:val="1"/>
                <w:szCs w:val="1"/>
                <w:color w:val="auto"/>
              </w:rPr>
            </w:pPr>
          </w:p>
        </w:tc>
      </w:tr>
      <w:tr>
        <w:trPr>
          <w:trHeight w:val="151"/>
        </w:trPr>
        <w:tc>
          <w:tcPr>
            <w:tcW w:w="3200" w:type="dxa"/>
            <w:vAlign w:val="bottom"/>
          </w:tcPr>
          <w:p>
            <w:pPr>
              <w:ind w:left="120"/>
              <w:spacing w:after="0"/>
              <w:rPr>
                <w:sz w:val="20"/>
                <w:szCs w:val="20"/>
                <w:color w:val="auto"/>
              </w:rPr>
            </w:pPr>
            <w:r>
              <w:rPr>
                <w:rFonts w:ascii="Arial" w:cs="Arial" w:eastAsia="Arial" w:hAnsi="Arial"/>
                <w:sz w:val="12"/>
                <w:szCs w:val="12"/>
                <w:color w:val="auto"/>
              </w:rPr>
              <w:t>(Pre-Paid Legal Services, Inc.)</w:t>
            </w:r>
          </w:p>
        </w:tc>
        <w:tc>
          <w:tcPr>
            <w:tcW w:w="900" w:type="dxa"/>
            <w:vAlign w:val="bottom"/>
          </w:tcPr>
          <w:p>
            <w:pPr>
              <w:spacing w:after="0"/>
              <w:rPr>
                <w:sz w:val="13"/>
                <w:szCs w:val="13"/>
                <w:color w:val="auto"/>
              </w:rPr>
            </w:pP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82"/>
              </w:rPr>
              <w:t>Services</w:t>
            </w: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Old Guard Risk Services, Inc. (Warrants)</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11/27/2023</w:t>
            </w:r>
          </w:p>
        </w:tc>
        <w:tc>
          <w:tcPr>
            <w:tcW w:w="20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87"/>
              </w:rPr>
              <w:t>Insurance</w:t>
            </w:r>
          </w:p>
        </w:tc>
        <w:tc>
          <w:tcPr>
            <w:tcW w:w="700" w:type="dxa"/>
            <w:vAlign w:val="bottom"/>
            <w:shd w:val="clear" w:color="auto" w:fill="CCEEFF"/>
          </w:tcPr>
          <w:p>
            <w:pPr>
              <w:spacing w:after="0"/>
              <w:rPr>
                <w:sz w:val="13"/>
                <w:szCs w:val="13"/>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35,490</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495,086</w:t>
            </w:r>
          </w:p>
        </w:tc>
        <w:tc>
          <w:tcPr>
            <w:tcW w:w="1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780,914</w:t>
            </w: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Paradigm Acquisition Corp.</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6"/>
              </w:rPr>
              <w:t>Healthcare, Education and</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20,000</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1,171,851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2,851,564</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90"/>
              </w:rPr>
              <w:t>Childcare</w:t>
            </w: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90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32" w:lineRule="exact"/>
              <w:rPr>
                <w:sz w:val="20"/>
                <w:szCs w:val="20"/>
                <w:color w:val="auto"/>
              </w:rPr>
            </w:pPr>
            <w:r>
              <w:rPr>
                <w:rFonts w:ascii="Arial" w:cs="Arial" w:eastAsia="Arial" w:hAnsi="Arial"/>
                <w:sz w:val="12"/>
                <w:szCs w:val="12"/>
                <w:color w:val="auto"/>
                <w:w w:val="91"/>
              </w:rPr>
              <w:t>Electronics</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1,350,000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1,350,000</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1,350,000</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(Power Products,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91"/>
              </w:rPr>
              <w:t>Electronics</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150,000</w:t>
            </w: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150,000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150,000</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(Power Products, LLC)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QMG HoldCo, LLC, Class A</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7"/>
              </w:rPr>
              <w:t>Other Media</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4,325</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1,306,167</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2,288,502</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(Questex Media Group,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90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line="129" w:lineRule="exact"/>
              <w:rPr>
                <w:sz w:val="20"/>
                <w:szCs w:val="20"/>
                <w:color w:val="auto"/>
              </w:rPr>
            </w:pPr>
            <w:r>
              <w:rPr>
                <w:rFonts w:ascii="Arial" w:cs="Arial" w:eastAsia="Arial" w:hAnsi="Arial"/>
                <w:sz w:val="12"/>
                <w:szCs w:val="12"/>
                <w:color w:val="auto"/>
                <w:w w:val="87"/>
              </w:rPr>
              <w:t>Other Media</w:t>
            </w:r>
          </w:p>
        </w:tc>
        <w:tc>
          <w:tcPr>
            <w:tcW w:w="70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531</w:t>
            </w: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280,970</w:t>
            </w:r>
          </w:p>
        </w:tc>
        <w:tc>
          <w:tcPr>
            <w:tcW w:w="0" w:type="dxa"/>
            <w:vAlign w:val="bottom"/>
          </w:tcPr>
          <w:p>
            <w:pPr>
              <w:spacing w:after="0"/>
              <w:rPr>
                <w:sz w:val="1"/>
                <w:szCs w:val="1"/>
                <w:color w:val="auto"/>
              </w:rPr>
            </w:pPr>
          </w:p>
        </w:tc>
      </w:tr>
      <w:tr>
        <w:trPr>
          <w:trHeight w:val="141"/>
        </w:trPr>
        <w:tc>
          <w:tcPr>
            <w:tcW w:w="3200" w:type="dxa"/>
            <w:vAlign w:val="bottom"/>
          </w:tcPr>
          <w:p>
            <w:pPr>
              <w:ind w:left="120"/>
              <w:spacing w:after="0"/>
              <w:rPr>
                <w:sz w:val="20"/>
                <w:szCs w:val="20"/>
                <w:color w:val="auto"/>
              </w:rPr>
            </w:pPr>
            <w:r>
              <w:rPr>
                <w:rFonts w:ascii="Arial" w:cs="Arial" w:eastAsia="Arial" w:hAnsi="Arial"/>
                <w:sz w:val="12"/>
                <w:szCs w:val="12"/>
                <w:color w:val="auto"/>
              </w:rPr>
              <w:t>(Questex Media Group, LLC)</w:t>
            </w:r>
          </w:p>
        </w:tc>
        <w:tc>
          <w:tcPr>
            <w:tcW w:w="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SPG Boyd Holdings Corp.</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7"/>
              </w:rPr>
              <w:t>Chemical, Plastic and Rubber</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3,000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3,000,000</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7,765,028</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(LTI Flexible Products, Inc.)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12/29/2019</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3,500</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29,400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493,231</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(11)</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Cargo Transport</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137,923</w:t>
            </w: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2,111,588</w:t>
            </w: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(Intermediate Transportation 100, L.L.C.)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TZ Holdings, L.P.</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87"/>
              </w:rPr>
              <w:t>Insurance</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9,567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9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2"/>
              <w:spacing w:after="0" w:line="129" w:lineRule="exact"/>
              <w:rPr>
                <w:sz w:val="20"/>
                <w:szCs w:val="20"/>
                <w:color w:val="auto"/>
              </w:rPr>
            </w:pPr>
            <w:r>
              <w:rPr>
                <w:rFonts w:ascii="Arial" w:cs="Arial" w:eastAsia="Arial" w:hAnsi="Arial"/>
                <w:sz w:val="12"/>
                <w:szCs w:val="12"/>
                <w:color w:val="auto"/>
                <w:w w:val="89"/>
              </w:rPr>
              <w:t>Printing and Publishing</w:t>
            </w:r>
          </w:p>
        </w:tc>
        <w:tc>
          <w:tcPr>
            <w:tcW w:w="700" w:type="dxa"/>
            <w:vAlign w:val="bottom"/>
            <w:shd w:val="clear" w:color="auto" w:fill="CCEEFF"/>
          </w:tcPr>
          <w:p>
            <w:pPr>
              <w:spacing w:after="0"/>
              <w:rPr>
                <w:sz w:val="11"/>
                <w:szCs w:val="11"/>
                <w:color w:val="auto"/>
              </w:rPr>
            </w:pPr>
          </w:p>
        </w:tc>
        <w:tc>
          <w:tcPr>
            <w:tcW w:w="10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211,797</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2,325,555</w:t>
            </w: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4,091,429</w:t>
            </w:r>
          </w:p>
        </w:tc>
        <w:tc>
          <w:tcPr>
            <w:tcW w:w="0" w:type="dxa"/>
            <w:vAlign w:val="bottom"/>
          </w:tcPr>
          <w:p>
            <w:pPr>
              <w:spacing w:after="0"/>
              <w:rPr>
                <w:sz w:val="1"/>
                <w:szCs w:val="1"/>
                <w:color w:val="auto"/>
              </w:rPr>
            </w:pPr>
          </w:p>
        </w:tc>
      </w:tr>
      <w:tr>
        <w:trPr>
          <w:trHeight w:val="141"/>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(Vestcom International, Inc.)</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VRide Holdings Inc.</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2"/>
              <w:spacing w:after="0"/>
              <w:rPr>
                <w:sz w:val="20"/>
                <w:szCs w:val="20"/>
                <w:color w:val="auto"/>
              </w:rPr>
            </w:pPr>
            <w:r>
              <w:rPr>
                <w:rFonts w:ascii="Arial" w:cs="Arial" w:eastAsia="Arial" w:hAnsi="Arial"/>
                <w:sz w:val="12"/>
                <w:szCs w:val="12"/>
                <w:color w:val="auto"/>
                <w:w w:val="85"/>
              </w:rPr>
              <w:t>Personal Transportation</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9,166</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35,526</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4,946,907</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20"/>
                <w:szCs w:val="20"/>
                <w:color w:val="auto"/>
              </w:rPr>
            </w:pPr>
            <w:r>
              <w:rPr>
                <w:rFonts w:ascii="Arial" w:cs="Arial" w:eastAsia="Arial" w:hAnsi="Arial"/>
                <w:sz w:val="12"/>
                <w:szCs w:val="12"/>
                <w:color w:val="auto"/>
              </w:rPr>
              <w:t>Z Wireless Holdings, Inc. (Warrants)</w:t>
            </w:r>
          </w:p>
        </w:tc>
        <w:tc>
          <w:tcPr>
            <w:tcW w:w="900" w:type="dxa"/>
            <w:vAlign w:val="bottom"/>
          </w:tcPr>
          <w:p>
            <w:pPr>
              <w:jc w:val="center"/>
              <w:spacing w:after="0"/>
              <w:rPr>
                <w:sz w:val="20"/>
                <w:szCs w:val="20"/>
                <w:color w:val="auto"/>
              </w:rPr>
            </w:pPr>
            <w:r>
              <w:rPr>
                <w:rFonts w:ascii="Arial" w:cs="Arial" w:eastAsia="Arial" w:hAnsi="Arial"/>
                <w:sz w:val="12"/>
                <w:szCs w:val="12"/>
                <w:color w:val="auto"/>
                <w:w w:val="89"/>
              </w:rPr>
              <w:t>10/21/2021</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91"/>
              </w:rPr>
              <w:t>Retail</w:t>
            </w:r>
          </w:p>
        </w:tc>
        <w:tc>
          <w:tcPr>
            <w:tcW w:w="700" w:type="dxa"/>
            <w:vAlign w:val="bottom"/>
          </w:tcPr>
          <w:p>
            <w:pPr>
              <w:spacing w:after="0"/>
              <w:rPr>
                <w:sz w:val="12"/>
                <w:szCs w:val="12"/>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82"/>
              <w:spacing w:after="0"/>
              <w:rPr>
                <w:sz w:val="20"/>
                <w:szCs w:val="20"/>
                <w:color w:val="auto"/>
              </w:rPr>
            </w:pPr>
            <w:r>
              <w:rPr>
                <w:rFonts w:ascii="Arial" w:cs="Arial" w:eastAsia="Arial" w:hAnsi="Arial"/>
                <w:sz w:val="12"/>
                <w:szCs w:val="12"/>
                <w:color w:val="auto"/>
              </w:rPr>
              <w:t>1,736</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168,799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168,799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9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44,172,450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87,080,014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10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85"/>
              </w:rPr>
              <w:t>1,021,017,312</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w w:val="85"/>
              </w:rPr>
              <w:t>1,091,405,997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Maturity /</w:t>
            </w:r>
          </w:p>
        </w:tc>
        <w:tc>
          <w:tcPr>
            <w:tcW w:w="1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940" w:type="dxa"/>
            <w:vAlign w:val="bottom"/>
          </w:tcPr>
          <w:p>
            <w:pPr>
              <w:spacing w:after="0"/>
              <w:rPr>
                <w:sz w:val="10"/>
                <w:szCs w:val="10"/>
                <w:color w:val="auto"/>
              </w:rPr>
            </w:pPr>
          </w:p>
        </w:tc>
        <w:tc>
          <w:tcPr>
            <w:tcW w:w="1220" w:type="dxa"/>
            <w:vAlign w:val="bottom"/>
          </w:tcPr>
          <w:p>
            <w:pPr>
              <w:jc w:val="right"/>
              <w:ind w:right="482"/>
              <w:spacing w:after="0" w:line="122" w:lineRule="exact"/>
              <w:rPr>
                <w:sz w:val="20"/>
                <w:szCs w:val="20"/>
                <w:color w:val="auto"/>
              </w:rPr>
            </w:pPr>
            <w:r>
              <w:rPr>
                <w:rFonts w:ascii="Arial" w:cs="Arial" w:eastAsia="Arial" w:hAnsi="Arial"/>
                <w:sz w:val="12"/>
                <w:szCs w:val="12"/>
                <w:b w:val="1"/>
                <w:bCs w:val="1"/>
                <w:color w:val="auto"/>
              </w:rPr>
              <w:t>Current</w:t>
            </w:r>
          </w:p>
        </w:tc>
        <w:tc>
          <w:tcPr>
            <w:tcW w:w="1040" w:type="dxa"/>
            <w:vAlign w:val="bottom"/>
          </w:tcPr>
          <w:p>
            <w:pPr>
              <w:jc w:val="center"/>
              <w:ind w:right="102"/>
              <w:spacing w:after="0" w:line="122" w:lineRule="exact"/>
              <w:rPr>
                <w:sz w:val="20"/>
                <w:szCs w:val="20"/>
                <w:color w:val="auto"/>
              </w:rPr>
            </w:pPr>
            <w:r>
              <w:rPr>
                <w:rFonts w:ascii="Arial" w:cs="Arial" w:eastAsia="Arial" w:hAnsi="Arial"/>
                <w:sz w:val="12"/>
                <w:szCs w:val="12"/>
                <w:b w:val="1"/>
                <w:bCs w:val="1"/>
                <w:color w:val="auto"/>
                <w:w w:val="87"/>
              </w:rPr>
              <w:t>Above</w:t>
            </w:r>
          </w:p>
        </w:tc>
        <w:tc>
          <w:tcPr>
            <w:tcW w:w="980" w:type="dxa"/>
            <w:vAlign w:val="bottom"/>
          </w:tcPr>
          <w:p>
            <w:pPr>
              <w:jc w:val="right"/>
              <w:ind w:right="422"/>
              <w:spacing w:after="0" w:line="122"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Expiration</w:t>
            </w:r>
          </w:p>
        </w:tc>
        <w:tc>
          <w:tcPr>
            <w:tcW w:w="1940" w:type="dxa"/>
            <w:vAlign w:val="bottom"/>
          </w:tcPr>
          <w:p>
            <w:pPr>
              <w:jc w:val="center"/>
              <w:ind w:right="122"/>
              <w:spacing w:after="0"/>
              <w:rPr>
                <w:sz w:val="20"/>
                <w:szCs w:val="20"/>
                <w:color w:val="auto"/>
              </w:rPr>
            </w:pPr>
            <w:r>
              <w:rPr>
                <w:rFonts w:ascii="Arial" w:cs="Arial" w:eastAsia="Arial" w:hAnsi="Arial"/>
                <w:sz w:val="12"/>
                <w:szCs w:val="12"/>
                <w:b w:val="1"/>
                <w:bCs w:val="1"/>
                <w:color w:val="auto"/>
                <w:w w:val="92"/>
              </w:rPr>
              <w:t>Industry</w:t>
            </w:r>
          </w:p>
        </w:tc>
        <w:tc>
          <w:tcPr>
            <w:tcW w:w="1220" w:type="dxa"/>
            <w:vAlign w:val="bottom"/>
          </w:tcPr>
          <w:p>
            <w:pPr>
              <w:jc w:val="right"/>
              <w:ind w:right="502"/>
              <w:spacing w:after="0"/>
              <w:rPr>
                <w:sz w:val="20"/>
                <w:szCs w:val="20"/>
                <w:color w:val="auto"/>
              </w:rPr>
            </w:pPr>
            <w:r>
              <w:rPr>
                <w:rFonts w:ascii="Arial" w:cs="Arial" w:eastAsia="Arial" w:hAnsi="Arial"/>
                <w:sz w:val="12"/>
                <w:szCs w:val="12"/>
                <w:b w:val="1"/>
                <w:bCs w:val="1"/>
                <w:color w:val="auto"/>
              </w:rPr>
              <w:t>Coupon</w:t>
            </w: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980" w:type="dxa"/>
            <w:vAlign w:val="bottom"/>
          </w:tcPr>
          <w:p>
            <w:pPr>
              <w:jc w:val="right"/>
              <w:ind w:right="362"/>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9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8"/>
        </w:trPr>
        <w:tc>
          <w:tcPr>
            <w:tcW w:w="39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1"/>
              </w:rPr>
              <w:t xml:space="preserve">Investments in Non-Controlled, Affiliated Portfolio Companies—10.9% </w:t>
            </w:r>
            <w:r>
              <w:rPr>
                <w:rFonts w:ascii="Arial" w:cs="Arial" w:eastAsia="Arial" w:hAnsi="Arial"/>
                <w:sz w:val="9"/>
                <w:szCs w:val="9"/>
                <w:b w:val="1"/>
                <w:bCs w:val="1"/>
                <w:color w:val="auto"/>
                <w:w w:val="91"/>
              </w:rPr>
              <w:t>(1), (2)</w:t>
            </w:r>
          </w:p>
        </w:tc>
        <w:tc>
          <w:tcPr>
            <w:tcW w:w="194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Second Lien Secured Debt—1.2%</w:t>
            </w: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Real Property Holdings, Inc.</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9"/>
              </w:rPr>
              <w:t>12/26/2017</w:t>
            </w:r>
          </w:p>
        </w:tc>
        <w:tc>
          <w:tcPr>
            <w:tcW w:w="194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8"/>
              </w:rPr>
              <w:t>Environmental Services</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9.00%</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L+800</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9,409,740</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9,143,302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9,127,448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Notes—5.3%</w:t>
            </w: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DirectBuy Holdings, Inc.</w:t>
            </w:r>
          </w:p>
        </w:tc>
        <w:tc>
          <w:tcPr>
            <w:tcW w:w="920" w:type="dxa"/>
            <w:vAlign w:val="bottom"/>
            <w:shd w:val="clear" w:color="auto" w:fill="CCEEFF"/>
          </w:tcPr>
          <w:p>
            <w:pPr>
              <w:jc w:val="center"/>
              <w:ind w:right="122"/>
              <w:spacing w:after="0" w:line="132" w:lineRule="exact"/>
              <w:rPr>
                <w:sz w:val="20"/>
                <w:szCs w:val="20"/>
                <w:color w:val="auto"/>
              </w:rPr>
            </w:pPr>
            <w:r>
              <w:rPr>
                <w:rFonts w:ascii="Arial" w:cs="Arial" w:eastAsia="Arial" w:hAnsi="Arial"/>
                <w:sz w:val="12"/>
                <w:szCs w:val="12"/>
                <w:color w:val="auto"/>
                <w:w w:val="89"/>
              </w:rPr>
              <w:t>11/05/2019</w:t>
            </w:r>
          </w:p>
        </w:tc>
        <w:tc>
          <w:tcPr>
            <w:tcW w:w="1940" w:type="dxa"/>
            <w:vAlign w:val="bottom"/>
            <w:shd w:val="clear" w:color="auto" w:fill="CCEEFF"/>
          </w:tcPr>
          <w:p>
            <w:pPr>
              <w:jc w:val="center"/>
              <w:ind w:right="122"/>
              <w:spacing w:after="0" w:line="132" w:lineRule="exact"/>
              <w:rPr>
                <w:sz w:val="20"/>
                <w:szCs w:val="20"/>
                <w:color w:val="auto"/>
              </w:rPr>
            </w:pPr>
            <w:r>
              <w:rPr>
                <w:rFonts w:ascii="Arial" w:cs="Arial" w:eastAsia="Arial" w:hAnsi="Arial"/>
                <w:sz w:val="12"/>
                <w:szCs w:val="12"/>
                <w:color w:val="auto"/>
                <w:w w:val="86"/>
              </w:rPr>
              <w:t>Consumer Products</w:t>
            </w:r>
          </w:p>
        </w:tc>
        <w:tc>
          <w:tcPr>
            <w:tcW w:w="122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12.00%</w:t>
            </w:r>
          </w:p>
        </w:tc>
        <w:tc>
          <w:tcPr>
            <w:tcW w:w="10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10,964,404</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10,964,404</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10,964,404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12.00%)</w:t>
            </w: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Service Champ,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10/02/2017</w:t>
            </w:r>
          </w:p>
        </w:tc>
        <w:tc>
          <w:tcPr>
            <w:tcW w:w="1940" w:type="dxa"/>
            <w:vAlign w:val="bottom"/>
          </w:tcPr>
          <w:p>
            <w:pPr>
              <w:jc w:val="center"/>
              <w:ind w:right="122"/>
              <w:spacing w:after="0"/>
              <w:rPr>
                <w:sz w:val="20"/>
                <w:szCs w:val="20"/>
                <w:color w:val="auto"/>
              </w:rPr>
            </w:pPr>
            <w:r>
              <w:rPr>
                <w:rFonts w:ascii="Arial" w:cs="Arial" w:eastAsia="Arial" w:hAnsi="Arial"/>
                <w:sz w:val="12"/>
                <w:szCs w:val="12"/>
                <w:color w:val="auto"/>
                <w:w w:val="89"/>
              </w:rPr>
              <w:t>Auto Sector</w:t>
            </w:r>
          </w:p>
        </w:tc>
        <w:tc>
          <w:tcPr>
            <w:tcW w:w="1220" w:type="dxa"/>
            <w:vAlign w:val="bottom"/>
          </w:tcPr>
          <w:p>
            <w:pPr>
              <w:jc w:val="right"/>
              <w:ind w:right="222"/>
              <w:spacing w:after="0"/>
              <w:rPr>
                <w:sz w:val="20"/>
                <w:szCs w:val="20"/>
                <w:color w:val="auto"/>
              </w:rPr>
            </w:pPr>
            <w:r>
              <w:rPr>
                <w:rFonts w:ascii="Arial" w:cs="Arial" w:eastAsia="Arial" w:hAnsi="Arial"/>
                <w:sz w:val="12"/>
                <w:szCs w:val="12"/>
                <w:color w:val="auto"/>
              </w:rPr>
              <w:t>12.50%</w:t>
            </w:r>
          </w:p>
        </w:tc>
        <w:tc>
          <w:tcPr>
            <w:tcW w:w="10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28,000,000</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27,532,780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38,497,184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39,244,404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–0.1% </w:t>
            </w:r>
            <w:r>
              <w:rPr>
                <w:rFonts w:ascii="Arial" w:cs="Arial" w:eastAsia="Arial" w:hAnsi="Arial"/>
                <w:sz w:val="9"/>
                <w:szCs w:val="9"/>
                <w:b w:val="1"/>
                <w:bCs w:val="1"/>
                <w:color w:val="auto"/>
              </w:rPr>
              <w:t>(6)</w:t>
            </w: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920" w:type="dxa"/>
            <w:vAlign w:val="bottom"/>
            <w:shd w:val="clear" w:color="auto" w:fill="CCEEFF"/>
          </w:tcPr>
          <w:p>
            <w:pPr>
              <w:jc w:val="center"/>
              <w:ind w:right="122"/>
              <w:spacing w:after="0" w:line="132" w:lineRule="exact"/>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42"/>
              <w:spacing w:after="0" w:line="132" w:lineRule="exact"/>
              <w:rPr>
                <w:sz w:val="20"/>
                <w:szCs w:val="20"/>
                <w:color w:val="auto"/>
              </w:rPr>
            </w:pPr>
            <w:r>
              <w:rPr>
                <w:rFonts w:ascii="Arial" w:cs="Arial" w:eastAsia="Arial" w:hAnsi="Arial"/>
                <w:sz w:val="12"/>
                <w:szCs w:val="12"/>
                <w:color w:val="auto"/>
                <w:w w:val="86"/>
              </w:rPr>
              <w:t>Aerospace and</w:t>
            </w:r>
          </w:p>
        </w:tc>
        <w:tc>
          <w:tcPr>
            <w:tcW w:w="1220" w:type="dxa"/>
            <w:vAlign w:val="bottom"/>
            <w:shd w:val="clear" w:color="auto" w:fill="CCEEFF"/>
          </w:tcPr>
          <w:p>
            <w:pPr>
              <w:jc w:val="right"/>
              <w:ind w:right="322"/>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53,071</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20,059,340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836,968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94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84"/>
              </w:rPr>
              <w:t>Defense</w:t>
            </w:r>
          </w:p>
        </w:tc>
        <w:tc>
          <w:tcPr>
            <w:tcW w:w="1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2"/>
                <w:szCs w:val="12"/>
                <w:b w:val="1"/>
                <w:bCs w:val="1"/>
                <w:color w:val="auto"/>
                <w:w w:val="95"/>
              </w:rPr>
              <w:t xml:space="preserve">Common Equity/Partnership Interest/Warrants—4.3% </w:t>
            </w:r>
            <w:r>
              <w:rPr>
                <w:rFonts w:ascii="Arial" w:cs="Arial" w:eastAsia="Arial" w:hAnsi="Arial"/>
                <w:sz w:val="9"/>
                <w:szCs w:val="9"/>
                <w:b w:val="1"/>
                <w:bCs w:val="1"/>
                <w:color w:val="auto"/>
                <w:w w:val="95"/>
              </w:rPr>
              <w:t>(6)</w:t>
            </w: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6"/>
              </w:rPr>
              <w:t>Consumer Products</w:t>
            </w:r>
          </w:p>
        </w:tc>
        <w:tc>
          <w:tcPr>
            <w:tcW w:w="122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104,719</w:t>
            </w: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21,492,822</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3,044,059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11/05/2022</w:t>
            </w:r>
          </w:p>
        </w:tc>
        <w:tc>
          <w:tcPr>
            <w:tcW w:w="1940" w:type="dxa"/>
            <w:vAlign w:val="bottom"/>
          </w:tcPr>
          <w:p>
            <w:pPr>
              <w:jc w:val="center"/>
              <w:ind w:right="122"/>
              <w:spacing w:after="0"/>
              <w:rPr>
                <w:sz w:val="20"/>
                <w:szCs w:val="20"/>
                <w:color w:val="auto"/>
              </w:rPr>
            </w:pPr>
            <w:r>
              <w:rPr>
                <w:rFonts w:ascii="Arial" w:cs="Arial" w:eastAsia="Arial" w:hAnsi="Arial"/>
                <w:sz w:val="12"/>
                <w:szCs w:val="12"/>
                <w:color w:val="auto"/>
                <w:w w:val="86"/>
              </w:rPr>
              <w:t>Consumer Products</w:t>
            </w:r>
          </w:p>
        </w:tc>
        <w:tc>
          <w:tcPr>
            <w:tcW w:w="12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15,486</w:t>
            </w:r>
          </w:p>
        </w:tc>
        <w:tc>
          <w:tcPr>
            <w:tcW w:w="6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450,005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920" w:type="dxa"/>
            <w:vAlign w:val="bottom"/>
            <w:shd w:val="clear" w:color="auto" w:fill="CCEEFF"/>
          </w:tcPr>
          <w:p>
            <w:pPr>
              <w:jc w:val="center"/>
              <w:ind w:right="122"/>
              <w:spacing w:after="0" w:line="129" w:lineRule="exact"/>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22"/>
              <w:spacing w:after="0" w:line="129" w:lineRule="exact"/>
              <w:rPr>
                <w:sz w:val="20"/>
                <w:szCs w:val="20"/>
                <w:color w:val="auto"/>
              </w:rPr>
            </w:pPr>
            <w:r>
              <w:rPr>
                <w:rFonts w:ascii="Arial" w:cs="Arial" w:eastAsia="Arial" w:hAnsi="Arial"/>
                <w:sz w:val="12"/>
                <w:szCs w:val="12"/>
                <w:color w:val="auto"/>
                <w:w w:val="88"/>
              </w:rPr>
              <w:t>Environmental Services</w:t>
            </w:r>
          </w:p>
        </w:tc>
        <w:tc>
          <w:tcPr>
            <w:tcW w:w="1220" w:type="dxa"/>
            <w:vAlign w:val="bottom"/>
            <w:shd w:val="clear" w:color="auto" w:fill="CCEEFF"/>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142,684</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11,891,822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20,603,984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(EnviroSolutions Real Property Holdings, Inc.)</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92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2"/>
              </w:rPr>
              <w:t>—</w:t>
            </w:r>
          </w:p>
        </w:tc>
        <w:tc>
          <w:tcPr>
            <w:tcW w:w="194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8"/>
              </w:rPr>
              <w:t>Leisure, Amusement,</w:t>
            </w:r>
          </w:p>
        </w:tc>
        <w:tc>
          <w:tcPr>
            <w:tcW w:w="122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375,000</w:t>
            </w:r>
          </w:p>
        </w:tc>
        <w:tc>
          <w:tcPr>
            <w:tcW w:w="6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3,750,000</w:t>
            </w: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1,180,037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40" w:type="dxa"/>
            <w:vAlign w:val="bottom"/>
          </w:tcPr>
          <w:p>
            <w:pPr>
              <w:jc w:val="center"/>
              <w:ind w:right="122"/>
              <w:spacing w:after="0"/>
              <w:rPr>
                <w:sz w:val="20"/>
                <w:szCs w:val="20"/>
                <w:color w:val="auto"/>
              </w:rPr>
            </w:pPr>
            <w:r>
              <w:rPr>
                <w:rFonts w:ascii="Arial" w:cs="Arial" w:eastAsia="Arial" w:hAnsi="Arial"/>
                <w:sz w:val="12"/>
                <w:szCs w:val="12"/>
                <w:color w:val="auto"/>
                <w:w w:val="89"/>
              </w:rPr>
              <w:t>Motion Pictures and Entertainment</w:t>
            </w: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920" w:type="dxa"/>
            <w:vAlign w:val="bottom"/>
            <w:shd w:val="clear" w:color="auto" w:fill="CCEEFF"/>
          </w:tcPr>
          <w:p>
            <w:pPr>
              <w:jc w:val="center"/>
              <w:ind w:right="122"/>
              <w:spacing w:after="0" w:line="132" w:lineRule="exact"/>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22"/>
              <w:spacing w:after="0" w:line="132" w:lineRule="exact"/>
              <w:rPr>
                <w:sz w:val="20"/>
                <w:szCs w:val="20"/>
                <w:color w:val="auto"/>
              </w:rPr>
            </w:pPr>
            <w:r>
              <w:rPr>
                <w:rFonts w:ascii="Arial" w:cs="Arial" w:eastAsia="Arial" w:hAnsi="Arial"/>
                <w:sz w:val="12"/>
                <w:szCs w:val="12"/>
                <w:color w:val="auto"/>
                <w:w w:val="89"/>
              </w:rPr>
              <w:t>Auto Sector</w:t>
            </w:r>
          </w:p>
        </w:tc>
        <w:tc>
          <w:tcPr>
            <w:tcW w:w="1220" w:type="dxa"/>
            <w:vAlign w:val="bottom"/>
            <w:shd w:val="clear" w:color="auto" w:fill="CCEEFF"/>
          </w:tcPr>
          <w:p>
            <w:pPr>
              <w:jc w:val="right"/>
              <w:ind w:right="322"/>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line="132" w:lineRule="exact"/>
              <w:rPr>
                <w:sz w:val="20"/>
                <w:szCs w:val="20"/>
                <w:color w:val="auto"/>
              </w:rPr>
            </w:pPr>
            <w:r>
              <w:rPr>
                <w:rFonts w:ascii="Arial" w:cs="Arial" w:eastAsia="Arial" w:hAnsi="Arial"/>
                <w:sz w:val="12"/>
                <w:szCs w:val="12"/>
                <w:color w:val="auto"/>
              </w:rPr>
              <w:t>16,800</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2,721,600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6,535,103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2"/>
              </w:rPr>
              <w:t>—</w:t>
            </w:r>
          </w:p>
        </w:tc>
        <w:tc>
          <w:tcPr>
            <w:tcW w:w="1940" w:type="dxa"/>
            <w:vAlign w:val="bottom"/>
          </w:tcPr>
          <w:p>
            <w:pPr>
              <w:jc w:val="center"/>
              <w:ind w:right="142"/>
              <w:spacing w:after="0"/>
              <w:rPr>
                <w:sz w:val="20"/>
                <w:szCs w:val="20"/>
                <w:color w:val="auto"/>
              </w:rPr>
            </w:pPr>
            <w:r>
              <w:rPr>
                <w:rFonts w:ascii="Arial" w:cs="Arial" w:eastAsia="Arial" w:hAnsi="Arial"/>
                <w:sz w:val="12"/>
                <w:szCs w:val="12"/>
                <w:color w:val="auto"/>
                <w:w w:val="85"/>
              </w:rPr>
              <w:t>Aerospace and Defense</w:t>
            </w:r>
          </w:p>
        </w:tc>
        <w:tc>
          <w:tcPr>
            <w:tcW w:w="12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53,071</w:t>
            </w: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202,619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Interest/Warrants</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40,058,863</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31,813,188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6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w w:val="98"/>
              </w:rPr>
              <w:t>107,758,689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81,022,008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Companies—11.4% </w:t>
            </w:r>
            <w:r>
              <w:rPr>
                <w:rFonts w:ascii="Arial" w:cs="Arial" w:eastAsia="Arial" w:hAnsi="Arial"/>
                <w:sz w:val="9"/>
                <w:szCs w:val="9"/>
                <w:b w:val="1"/>
                <w:bCs w:val="1"/>
                <w:color w:val="auto"/>
                <w:w w:val="97"/>
              </w:rPr>
              <w:t>(1), (2)</w:t>
            </w: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Debt—6.3%</w:t>
            </w: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Superior Digital Displays, LLC</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9"/>
              </w:rPr>
              <w:t>12/31/2018</w:t>
            </w:r>
          </w:p>
        </w:tc>
        <w:tc>
          <w:tcPr>
            <w:tcW w:w="1940" w:type="dxa"/>
            <w:vAlign w:val="bottom"/>
            <w:shd w:val="clear" w:color="auto" w:fill="CCEEFF"/>
          </w:tcPr>
          <w:p>
            <w:pPr>
              <w:jc w:val="center"/>
              <w:ind w:right="142"/>
              <w:spacing w:after="0"/>
              <w:rPr>
                <w:sz w:val="20"/>
                <w:szCs w:val="20"/>
                <w:color w:val="auto"/>
              </w:rPr>
            </w:pPr>
            <w:r>
              <w:rPr>
                <w:rFonts w:ascii="Arial" w:cs="Arial" w:eastAsia="Arial" w:hAnsi="Arial"/>
                <w:sz w:val="12"/>
                <w:szCs w:val="12"/>
                <w:color w:val="auto"/>
                <w:w w:val="91"/>
              </w:rPr>
              <w:t>Media</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13.50%</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L+1,250</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14,750,000</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13,141,882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12,854,559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09/30/2014</w:t>
            </w:r>
          </w:p>
        </w:tc>
        <w:tc>
          <w:tcPr>
            <w:tcW w:w="1940" w:type="dxa"/>
            <w:vAlign w:val="bottom"/>
          </w:tcPr>
          <w:p>
            <w:pPr>
              <w:jc w:val="center"/>
              <w:ind w:right="142"/>
              <w:spacing w:after="0"/>
              <w:rPr>
                <w:sz w:val="20"/>
                <w:szCs w:val="20"/>
                <w:color w:val="auto"/>
              </w:rPr>
            </w:pPr>
            <w:r>
              <w:rPr>
                <w:rFonts w:ascii="Arial" w:cs="Arial" w:eastAsia="Arial" w:hAnsi="Arial"/>
                <w:sz w:val="12"/>
                <w:szCs w:val="12"/>
                <w:color w:val="auto"/>
                <w:w w:val="91"/>
              </w:rPr>
              <w:t>Media</w:t>
            </w:r>
          </w:p>
        </w:tc>
        <w:tc>
          <w:tcPr>
            <w:tcW w:w="1220" w:type="dxa"/>
            <w:vAlign w:val="bottom"/>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10,250,000</w:t>
            </w:r>
          </w:p>
        </w:tc>
        <w:tc>
          <w:tcPr>
            <w:tcW w:w="6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9,142,694</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8,932,831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9"/>
              </w:rPr>
              <w:t>06/30/2020</w:t>
            </w:r>
          </w:p>
        </w:tc>
        <w:tc>
          <w:tcPr>
            <w:tcW w:w="194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5"/>
              </w:rPr>
              <w:t>Business Services</w:t>
            </w: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11,250,000</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11,250,000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11,604,840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L.L.C.</w:t>
            </w:r>
          </w:p>
        </w:tc>
        <w:tc>
          <w:tcPr>
            <w:tcW w:w="92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9"/>
              </w:rPr>
              <w:t>12/31/2015</w:t>
            </w:r>
          </w:p>
        </w:tc>
        <w:tc>
          <w:tcPr>
            <w:tcW w:w="194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8"/>
              </w:rPr>
              <w:t>Oil and Gas</w:t>
            </w:r>
          </w:p>
        </w:tc>
        <w:tc>
          <w:tcPr>
            <w:tcW w:w="122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9.50%</w:t>
            </w:r>
          </w:p>
        </w:tc>
        <w:tc>
          <w:tcPr>
            <w:tcW w:w="10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L+800</w:t>
            </w:r>
          </w:p>
        </w:tc>
        <w:tc>
          <w:tcPr>
            <w:tcW w:w="9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9,959,253</w:t>
            </w:r>
          </w:p>
        </w:tc>
        <w:tc>
          <w:tcPr>
            <w:tcW w:w="6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8,331,433</w:t>
            </w: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9,959,253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jc w:val="right"/>
              <w:ind w:right="182"/>
              <w:spacing w:after="0"/>
              <w:rPr>
                <w:sz w:val="20"/>
                <w:szCs w:val="20"/>
                <w:color w:val="auto"/>
              </w:rPr>
            </w:pPr>
            <w:r>
              <w:rPr>
                <w:rFonts w:ascii="Arial" w:cs="Arial" w:eastAsia="Arial" w:hAnsi="Arial"/>
                <w:sz w:val="12"/>
                <w:szCs w:val="12"/>
                <w:color w:val="auto"/>
              </w:rPr>
              <w:t>(PIK 0.75%)</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9"/>
              </w:rPr>
              <w:t>12/31/2015</w:t>
            </w:r>
          </w:p>
        </w:tc>
        <w:tc>
          <w:tcPr>
            <w:tcW w:w="194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8"/>
              </w:rPr>
              <w:t>Oil and Gas</w:t>
            </w:r>
          </w:p>
        </w:tc>
        <w:tc>
          <w:tcPr>
            <w:tcW w:w="122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3,500,000</w:t>
            </w: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3,466,247</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45,332,256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46,851,483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Second Lien Secured Debt—2.4%</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L.L.C.</w:t>
            </w:r>
          </w:p>
        </w:tc>
        <w:tc>
          <w:tcPr>
            <w:tcW w:w="92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9"/>
              </w:rPr>
              <w:t>12/31/2015</w:t>
            </w:r>
          </w:p>
        </w:tc>
        <w:tc>
          <w:tcPr>
            <w:tcW w:w="194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8"/>
              </w:rPr>
              <w:t>Oil and Gas</w:t>
            </w:r>
          </w:p>
        </w:tc>
        <w:tc>
          <w:tcPr>
            <w:tcW w:w="122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15.00%</w:t>
            </w:r>
          </w:p>
        </w:tc>
        <w:tc>
          <w:tcPr>
            <w:tcW w:w="10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17,899,550</w:t>
            </w:r>
          </w:p>
        </w:tc>
        <w:tc>
          <w:tcPr>
            <w:tcW w:w="6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16,321,467</w:t>
            </w: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17,899,550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jc w:val="right"/>
              <w:ind w:right="182"/>
              <w:spacing w:after="0"/>
              <w:rPr>
                <w:sz w:val="20"/>
                <w:szCs w:val="20"/>
                <w:color w:val="auto"/>
              </w:rPr>
            </w:pPr>
            <w:r>
              <w:rPr>
                <w:rFonts w:ascii="Arial" w:cs="Arial" w:eastAsia="Arial" w:hAnsi="Arial"/>
                <w:sz w:val="12"/>
                <w:szCs w:val="12"/>
                <w:color w:val="auto"/>
              </w:rPr>
              <w:t>(PIK 15.00%)</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6"/>
              </w:rPr>
              <w:t>6/30/2020</w:t>
            </w:r>
          </w:p>
        </w:tc>
        <w:tc>
          <w:tcPr>
            <w:tcW w:w="1940" w:type="dxa"/>
            <w:vAlign w:val="bottom"/>
          </w:tcPr>
          <w:p>
            <w:pPr>
              <w:jc w:val="center"/>
              <w:ind w:right="122"/>
              <w:spacing w:after="0"/>
              <w:rPr>
                <w:sz w:val="20"/>
                <w:szCs w:val="20"/>
                <w:color w:val="auto"/>
              </w:rPr>
            </w:pPr>
            <w:r>
              <w:rPr>
                <w:rFonts w:ascii="Arial" w:cs="Arial" w:eastAsia="Arial" w:hAnsi="Arial"/>
                <w:sz w:val="12"/>
                <w:szCs w:val="12"/>
                <w:color w:val="auto"/>
                <w:w w:val="85"/>
              </w:rPr>
              <w:t>Business Services</w:t>
            </w: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40" w:type="dxa"/>
            <w:vAlign w:val="bottom"/>
          </w:tcPr>
          <w:p>
            <w:pPr>
              <w:spacing w:after="0"/>
              <w:rPr>
                <w:sz w:val="13"/>
                <w:szCs w:val="13"/>
                <w:color w:val="auto"/>
              </w:rPr>
            </w:pP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2,750,000</w:t>
            </w:r>
          </w:p>
        </w:tc>
        <w:tc>
          <w:tcPr>
            <w:tcW w:w="6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2,750,000</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2,412,194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Preferred Equity—2.1% </w:t>
            </w:r>
            <w:r>
              <w:rPr>
                <w:rFonts w:ascii="Arial" w:cs="Arial" w:eastAsia="Arial" w:hAnsi="Arial"/>
                <w:sz w:val="9"/>
                <w:szCs w:val="9"/>
                <w:b w:val="1"/>
                <w:bCs w:val="1"/>
                <w:color w:val="auto"/>
              </w:rPr>
              <w:t>(6)</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SuttonPark Holdings,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2"/>
              </w:rPr>
              <w:t>—</w:t>
            </w:r>
          </w:p>
        </w:tc>
        <w:tc>
          <w:tcPr>
            <w:tcW w:w="1940" w:type="dxa"/>
            <w:vAlign w:val="bottom"/>
          </w:tcPr>
          <w:p>
            <w:pPr>
              <w:jc w:val="center"/>
              <w:ind w:right="122"/>
              <w:spacing w:after="0"/>
              <w:rPr>
                <w:sz w:val="20"/>
                <w:szCs w:val="20"/>
                <w:color w:val="auto"/>
              </w:rPr>
            </w:pPr>
            <w:r>
              <w:rPr>
                <w:rFonts w:ascii="Arial" w:cs="Arial" w:eastAsia="Arial" w:hAnsi="Arial"/>
                <w:sz w:val="12"/>
                <w:szCs w:val="12"/>
                <w:color w:val="auto"/>
                <w:w w:val="85"/>
              </w:rPr>
              <w:t>Business Services</w:t>
            </w:r>
          </w:p>
        </w:tc>
        <w:tc>
          <w:tcPr>
            <w:tcW w:w="1220" w:type="dxa"/>
            <w:vAlign w:val="bottom"/>
          </w:tcPr>
          <w:p>
            <w:pPr>
              <w:jc w:val="right"/>
              <w:ind w:right="222"/>
              <w:spacing w:after="0"/>
              <w:rPr>
                <w:sz w:val="20"/>
                <w:szCs w:val="20"/>
                <w:color w:val="auto"/>
              </w:rPr>
            </w:pPr>
            <w:r>
              <w:rPr>
                <w:rFonts w:ascii="Arial" w:cs="Arial" w:eastAsia="Arial" w:hAnsi="Arial"/>
                <w:sz w:val="12"/>
                <w:szCs w:val="12"/>
                <w:color w:val="auto"/>
              </w:rPr>
              <w:t>14.00%</w:t>
            </w:r>
          </w:p>
        </w:tc>
        <w:tc>
          <w:tcPr>
            <w:tcW w:w="104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rPr>
                <w:sz w:val="20"/>
                <w:szCs w:val="20"/>
                <w:color w:val="auto"/>
              </w:rPr>
            </w:pPr>
            <w:r>
              <w:rPr>
                <w:rFonts w:ascii="Arial" w:cs="Arial" w:eastAsia="Arial" w:hAnsi="Arial"/>
                <w:sz w:val="12"/>
                <w:szCs w:val="12"/>
                <w:color w:val="auto"/>
              </w:rPr>
              <w:t>2,000</w:t>
            </w:r>
          </w:p>
        </w:tc>
        <w:tc>
          <w:tcPr>
            <w:tcW w:w="6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1,982,967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920" w:type="dxa"/>
            <w:vAlign w:val="bottom"/>
            <w:shd w:val="clear" w:color="auto" w:fill="CCEEFF"/>
          </w:tcPr>
          <w:p>
            <w:pPr>
              <w:jc w:val="center"/>
              <w:ind w:right="122"/>
              <w:spacing w:after="0" w:line="129" w:lineRule="exact"/>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22"/>
              <w:spacing w:after="0" w:line="129" w:lineRule="exact"/>
              <w:rPr>
                <w:sz w:val="20"/>
                <w:szCs w:val="20"/>
                <w:color w:val="auto"/>
              </w:rPr>
            </w:pPr>
            <w:r>
              <w:rPr>
                <w:rFonts w:ascii="Arial" w:cs="Arial" w:eastAsia="Arial" w:hAnsi="Arial"/>
                <w:sz w:val="12"/>
                <w:szCs w:val="12"/>
                <w:color w:val="auto"/>
                <w:w w:val="88"/>
              </w:rPr>
              <w:t>Oil and Gas</w:t>
            </w:r>
          </w:p>
        </w:tc>
        <w:tc>
          <w:tcPr>
            <w:tcW w:w="122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rPr>
              <w:t>376,988</w:t>
            </w:r>
          </w:p>
        </w:tc>
        <w:tc>
          <w:tcPr>
            <w:tcW w:w="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34,420,612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13,189,181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(Universal Pegasus International, LLC)</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Preferred Equity</w:t>
            </w: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36,420,612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15,172,148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 xml:space="preserve">Common Equity—0.3% </w:t>
            </w:r>
            <w:r>
              <w:rPr>
                <w:rFonts w:ascii="Arial" w:cs="Arial" w:eastAsia="Arial" w:hAnsi="Arial"/>
                <w:sz w:val="9"/>
                <w:szCs w:val="9"/>
                <w:b w:val="1"/>
                <w:bCs w:val="1"/>
                <w:color w:val="auto"/>
              </w:rPr>
              <w:t>(6)</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920" w:type="dxa"/>
            <w:vAlign w:val="bottom"/>
          </w:tcPr>
          <w:p>
            <w:pPr>
              <w:jc w:val="center"/>
              <w:ind w:right="122"/>
              <w:spacing w:after="0" w:line="129" w:lineRule="exact"/>
              <w:rPr>
                <w:sz w:val="20"/>
                <w:szCs w:val="20"/>
                <w:color w:val="auto"/>
              </w:rPr>
            </w:pPr>
            <w:r>
              <w:rPr>
                <w:rFonts w:ascii="Arial" w:cs="Arial" w:eastAsia="Arial" w:hAnsi="Arial"/>
                <w:sz w:val="12"/>
                <w:szCs w:val="12"/>
                <w:color w:val="auto"/>
                <w:w w:val="82"/>
              </w:rPr>
              <w:t>—</w:t>
            </w:r>
          </w:p>
        </w:tc>
        <w:tc>
          <w:tcPr>
            <w:tcW w:w="1940" w:type="dxa"/>
            <w:vAlign w:val="bottom"/>
          </w:tcPr>
          <w:p>
            <w:pPr>
              <w:jc w:val="center"/>
              <w:ind w:right="142"/>
              <w:spacing w:after="0" w:line="129" w:lineRule="exact"/>
              <w:rPr>
                <w:sz w:val="20"/>
                <w:szCs w:val="20"/>
                <w:color w:val="auto"/>
              </w:rPr>
            </w:pPr>
            <w:r>
              <w:rPr>
                <w:rFonts w:ascii="Arial" w:cs="Arial" w:eastAsia="Arial" w:hAnsi="Arial"/>
                <w:sz w:val="12"/>
                <w:szCs w:val="12"/>
                <w:color w:val="auto"/>
                <w:w w:val="91"/>
              </w:rPr>
              <w:t>Media</w:t>
            </w:r>
          </w:p>
        </w:tc>
        <w:tc>
          <w:tcPr>
            <w:tcW w:w="122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82"/>
              <w:spacing w:after="0" w:line="129" w:lineRule="exact"/>
              <w:rPr>
                <w:sz w:val="20"/>
                <w:szCs w:val="20"/>
                <w:color w:val="auto"/>
              </w:rPr>
            </w:pPr>
            <w:r>
              <w:rPr>
                <w:rFonts w:ascii="Arial" w:cs="Arial" w:eastAsia="Arial" w:hAnsi="Arial"/>
                <w:sz w:val="12"/>
                <w:szCs w:val="12"/>
                <w:color w:val="auto"/>
              </w:rPr>
              <w:t>4,750</w:t>
            </w:r>
          </w:p>
        </w:tc>
        <w:tc>
          <w:tcPr>
            <w:tcW w:w="60" w:type="dxa"/>
            <w:vAlign w:val="bottom"/>
          </w:tcPr>
          <w:p>
            <w:pPr>
              <w:spacing w:after="0"/>
              <w:rPr>
                <w:sz w:val="11"/>
                <w:szCs w:val="11"/>
                <w:color w:val="auto"/>
              </w:rPr>
            </w:pPr>
          </w:p>
        </w:tc>
        <w:tc>
          <w:tcPr>
            <w:tcW w:w="98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2,211,000</w:t>
            </w: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2,210,793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40" w:type="dxa"/>
            <w:vAlign w:val="bottom"/>
          </w:tcPr>
          <w:p>
            <w:pPr>
              <w:ind w:left="120"/>
              <w:spacing w:after="0"/>
              <w:rPr>
                <w:sz w:val="20"/>
                <w:szCs w:val="20"/>
                <w:color w:val="auto"/>
              </w:rPr>
            </w:pPr>
            <w:r>
              <w:rPr>
                <w:rFonts w:ascii="Arial" w:cs="Arial" w:eastAsia="Arial" w:hAnsi="Arial"/>
                <w:sz w:val="12"/>
                <w:szCs w:val="12"/>
                <w:color w:val="auto"/>
              </w:rPr>
              <w:t>(Superior Digital Displays, LLC)</w:t>
            </w: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92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2"/>
              </w:rPr>
              <w:t>—</w:t>
            </w:r>
          </w:p>
        </w:tc>
        <w:tc>
          <w:tcPr>
            <w:tcW w:w="1940" w:type="dxa"/>
            <w:vAlign w:val="bottom"/>
            <w:shd w:val="clear" w:color="auto" w:fill="CCEEFF"/>
          </w:tcPr>
          <w:p>
            <w:pPr>
              <w:jc w:val="center"/>
              <w:ind w:right="122"/>
              <w:spacing w:after="0"/>
              <w:rPr>
                <w:sz w:val="20"/>
                <w:szCs w:val="20"/>
                <w:color w:val="auto"/>
              </w:rPr>
            </w:pPr>
            <w:r>
              <w:rPr>
                <w:rFonts w:ascii="Arial" w:cs="Arial" w:eastAsia="Arial" w:hAnsi="Arial"/>
                <w:sz w:val="12"/>
                <w:szCs w:val="12"/>
                <w:color w:val="auto"/>
                <w:w w:val="85"/>
              </w:rPr>
              <w:t>Business Services</w:t>
            </w:r>
          </w:p>
        </w:tc>
        <w:tc>
          <w:tcPr>
            <w:tcW w:w="122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Common Equity</w:t>
            </w: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2,211,100</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2,210,793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8"/>
              </w:rPr>
              <w:t>103,035,435</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84,546,168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Investments—169.6%</w:t>
            </w: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w w:val="85"/>
              </w:rPr>
              <w:t>1,231,811,436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83"/>
              </w:rPr>
              <w:t>1,256,974,173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Equivalents—7.6%</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w w:val="94"/>
              </w:rPr>
              <w:t>BlackRock Liquidity Funds, Temp Cash, Institutional Shares</w:t>
            </w: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rPr>
              <w:t>2,702,277</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2,702,277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52,484,038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52,484,038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Cash</w:t>
            </w: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1,114,034</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1,115,990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56,300,349</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56,302,305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20"/>
                <w:szCs w:val="20"/>
                <w:color w:val="auto"/>
              </w:rPr>
            </w:pPr>
            <w:r>
              <w:rPr>
                <w:rFonts w:ascii="Arial" w:cs="Arial" w:eastAsia="Arial" w:hAnsi="Arial"/>
                <w:sz w:val="12"/>
                <w:szCs w:val="12"/>
                <w:b w:val="1"/>
                <w:bCs w:val="1"/>
                <w:color w:val="auto"/>
              </w:rPr>
              <w:t>Total Investments and Cash Equivalents—177.2%</w:t>
            </w:r>
          </w:p>
        </w:tc>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300"/>
              <w:spacing w:after="0"/>
              <w:rPr>
                <w:sz w:val="20"/>
                <w:szCs w:val="20"/>
                <w:color w:val="auto"/>
              </w:rPr>
            </w:pPr>
            <w:r>
              <w:rPr>
                <w:rFonts w:ascii="Arial" w:cs="Arial" w:eastAsia="Arial" w:hAnsi="Arial"/>
                <w:sz w:val="12"/>
                <w:szCs w:val="12"/>
                <w:color w:val="auto"/>
                <w:w w:val="85"/>
              </w:rPr>
              <w:t>1,288,111,785</w:t>
            </w:r>
          </w:p>
        </w:tc>
        <w:tc>
          <w:tcPr>
            <w:tcW w:w="80" w:type="dxa"/>
            <w:vAlign w:val="bottom"/>
          </w:tcPr>
          <w:p>
            <w:pPr>
              <w:jc w:val="right"/>
              <w:spacing w:after="0"/>
              <w:rPr>
                <w:sz w:val="20"/>
                <w:szCs w:val="20"/>
                <w:color w:val="auto"/>
              </w:rPr>
            </w:pPr>
            <w:r>
              <w:rPr>
                <w:rFonts w:ascii="Arial" w:cs="Arial" w:eastAsia="Arial" w:hAnsi="Arial"/>
                <w:sz w:val="9"/>
                <w:szCs w:val="9"/>
                <w:u w:val="single" w:color="auto"/>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w w:val="83"/>
              </w:rPr>
              <w:t>1,313,276,478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in Excess of Other Assets—(77.2%)</w:t>
            </w:r>
          </w:p>
        </w:tc>
        <w:tc>
          <w:tcPr>
            <w:tcW w:w="92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0"/>
              </w:rPr>
              <w:t>(572,113,666)</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741,162,812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6" w:lineRule="exact"/>
        <w:rPr>
          <w:sz w:val="20"/>
          <w:szCs w:val="20"/>
          <w:color w:val="auto"/>
        </w:rPr>
      </w:pPr>
    </w:p>
    <w:p>
      <w:pPr>
        <w:ind w:left="340" w:hanging="332"/>
        <w:spacing w:after="0" w:line="252"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20" w:lineRule="exact"/>
        <w:rPr>
          <w:rFonts w:ascii="Arial" w:cs="Arial" w:eastAsia="Arial" w:hAnsi="Arial"/>
          <w:sz w:val="12"/>
          <w:szCs w:val="12"/>
          <w:color w:val="auto"/>
        </w:rPr>
      </w:pPr>
    </w:p>
    <w:p>
      <w:pPr>
        <w:ind w:left="340" w:right="20" w:hanging="332"/>
        <w:spacing w:after="0" w:line="252"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w:t>
      </w:r>
    </w:p>
    <w:p>
      <w:pPr>
        <w:spacing w:after="0" w:line="37" w:lineRule="exact"/>
        <w:rPr>
          <w:rFonts w:ascii="Arial" w:cs="Arial" w:eastAsia="Arial" w:hAnsi="Arial"/>
          <w:sz w:val="12"/>
          <w:szCs w:val="12"/>
          <w:color w:val="auto"/>
        </w:rPr>
      </w:pPr>
    </w:p>
    <w:p>
      <w:pPr>
        <w:ind w:left="340" w:right="340" w:hanging="332"/>
        <w:spacing w:after="0" w:line="252"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payment-in-kind or PIK.</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80"/>
          </w:cols>
          <w:pgMar w:left="32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jc w:val="center"/>
              <w:ind w:right="182"/>
              <w:spacing w:after="0"/>
              <w:rPr>
                <w:sz w:val="20"/>
                <w:szCs w:val="20"/>
                <w:color w:val="auto"/>
              </w:rPr>
            </w:pPr>
            <w:r>
              <w:rPr>
                <w:rFonts w:ascii="Arial" w:cs="Arial" w:eastAsia="Arial" w:hAnsi="Arial"/>
                <w:sz w:val="12"/>
                <w:szCs w:val="12"/>
                <w:b w:val="1"/>
                <w:bCs w:val="1"/>
                <w:color w:val="auto"/>
                <w:w w:val="85"/>
              </w:rPr>
              <w:t>Basis Point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auto"/>
                <w:w w:val="88"/>
              </w:rPr>
              <w:t>Spread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vMerge w:val="restart"/>
          </w:tcPr>
          <w:p>
            <w:pPr>
              <w:jc w:val="center"/>
              <w:ind w:left="162"/>
              <w:spacing w:after="0"/>
              <w:rPr>
                <w:sz w:val="20"/>
                <w:szCs w:val="20"/>
                <w:color w:val="auto"/>
              </w:rPr>
            </w:pPr>
            <w:r>
              <w:rPr>
                <w:rFonts w:ascii="Arial" w:cs="Arial" w:eastAsia="Arial" w:hAnsi="Arial"/>
                <w:sz w:val="12"/>
                <w:szCs w:val="12"/>
                <w:b w:val="1"/>
                <w:bCs w:val="1"/>
                <w:color w:val="auto"/>
                <w:w w:val="98"/>
              </w:rPr>
              <w:t>Maturity</w:t>
            </w:r>
          </w:p>
        </w:tc>
        <w:tc>
          <w:tcPr>
            <w:tcW w:w="2020" w:type="dxa"/>
            <w:vAlign w:val="bottom"/>
            <w:vMerge w:val="restart"/>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1140" w:type="dxa"/>
            <w:vAlign w:val="bottom"/>
          </w:tcPr>
          <w:p>
            <w:pPr>
              <w:jc w:val="right"/>
              <w:ind w:right="422"/>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tcPr>
          <w:p>
            <w:pPr>
              <w:jc w:val="center"/>
              <w:ind w:right="182"/>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6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140" w:type="dxa"/>
            <w:vAlign w:val="bottom"/>
          </w:tcPr>
          <w:p>
            <w:pPr>
              <w:jc w:val="right"/>
              <w:ind w:right="422"/>
              <w:spacing w:after="0"/>
              <w:rPr>
                <w:sz w:val="20"/>
                <w:szCs w:val="20"/>
                <w:color w:val="auto"/>
              </w:rPr>
            </w:pPr>
            <w:r>
              <w:rPr>
                <w:rFonts w:ascii="Arial" w:cs="Arial" w:eastAsia="Arial" w:hAnsi="Arial"/>
                <w:sz w:val="12"/>
                <w:szCs w:val="12"/>
                <w:b w:val="1"/>
                <w:bCs w:val="1"/>
                <w:color w:val="auto"/>
              </w:rPr>
              <w:t>Coupon</w:t>
            </w:r>
          </w:p>
        </w:tc>
        <w:tc>
          <w:tcPr>
            <w:tcW w:w="1120" w:type="dxa"/>
            <w:vAlign w:val="bottom"/>
          </w:tcPr>
          <w:p>
            <w:pPr>
              <w:jc w:val="center"/>
              <w:ind w:right="2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20" w:type="dxa"/>
            <w:vAlign w:val="bottom"/>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0"/>
        </w:trPr>
        <w:tc>
          <w:tcPr>
            <w:tcW w:w="5840" w:type="dxa"/>
            <w:vAlign w:val="bottom"/>
            <w:tcBorders>
              <w:top w:val="single" w:sz="8" w:color="auto"/>
            </w:tcBorders>
            <w:gridSpan w:val="3"/>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Companies—138.9% </w:t>
            </w:r>
            <w:r>
              <w:rPr>
                <w:rFonts w:ascii="Arial" w:cs="Arial" w:eastAsia="Arial" w:hAnsi="Arial"/>
                <w:sz w:val="9"/>
                <w:szCs w:val="9"/>
                <w:b w:val="1"/>
                <w:bCs w:val="1"/>
                <w:color w:val="auto"/>
              </w:rPr>
              <w:t>(1), (2)</w:t>
            </w:r>
          </w:p>
        </w:tc>
        <w:tc>
          <w:tcPr>
            <w:tcW w:w="11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Debt—41.3%</w:t>
            </w: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Aircell Business Aviation Services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06/21/2017</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9"/>
              </w:rPr>
              <w:t>Communications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11.25%</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23,912,894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23,012,057</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25,347,668</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AKA Diversified Holdings, Inc.</w:t>
            </w:r>
          </w:p>
        </w:tc>
        <w:tc>
          <w:tcPr>
            <w:tcW w:w="1160" w:type="dxa"/>
            <w:vAlign w:val="bottom"/>
            <w:shd w:val="clear" w:color="auto" w:fill="CCEEFF"/>
          </w:tcPr>
          <w:p>
            <w:pPr>
              <w:jc w:val="center"/>
              <w:ind w:left="162"/>
              <w:spacing w:after="0" w:line="129" w:lineRule="exact"/>
              <w:rPr>
                <w:sz w:val="20"/>
                <w:szCs w:val="20"/>
                <w:color w:val="auto"/>
              </w:rPr>
            </w:pPr>
            <w:r>
              <w:rPr>
                <w:rFonts w:ascii="Arial" w:cs="Arial" w:eastAsia="Arial" w:hAnsi="Arial"/>
                <w:sz w:val="12"/>
                <w:szCs w:val="12"/>
                <w:color w:val="auto"/>
                <w:w w:val="89"/>
              </w:rPr>
              <w:t>12/21/2016</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1"/>
              </w:rPr>
              <w:t>Retail</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12.50%</w:t>
            </w:r>
          </w:p>
        </w:tc>
        <w:tc>
          <w:tcPr>
            <w:tcW w:w="112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L+1,225</w:t>
            </w:r>
          </w:p>
        </w:tc>
        <w:tc>
          <w:tcPr>
            <w:tcW w:w="82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14,550,084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14,310,552</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14,694,828</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(PIK 1.50%)</w:t>
            </w: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 xml:space="preserve">CEVA Group PLC </w:t>
            </w:r>
            <w:r>
              <w:rPr>
                <w:rFonts w:ascii="Arial" w:cs="Arial" w:eastAsia="Arial" w:hAnsi="Arial"/>
                <w:sz w:val="9"/>
                <w:szCs w:val="9"/>
                <w:color w:val="auto"/>
              </w:rPr>
              <w:t>(5), (10)</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10/01/2016</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Cargo Transport</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11.63%</w:t>
            </w:r>
          </w:p>
        </w:tc>
        <w:tc>
          <w:tcPr>
            <w:tcW w:w="112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7,500,000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7,385,251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7,725,000</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Columbus International, Inc. </w:t>
            </w:r>
            <w:r>
              <w:rPr>
                <w:rFonts w:ascii="Arial" w:cs="Arial" w:eastAsia="Arial" w:hAnsi="Arial"/>
                <w:sz w:val="9"/>
                <w:szCs w:val="9"/>
                <w:color w:val="auto"/>
              </w:rPr>
              <w:t>(5), (10)</w:t>
            </w:r>
          </w:p>
        </w:tc>
        <w:tc>
          <w:tcPr>
            <w:tcW w:w="1160" w:type="dxa"/>
            <w:vAlign w:val="bottom"/>
            <w:shd w:val="clear" w:color="auto" w:fill="CCEEFF"/>
          </w:tcPr>
          <w:p>
            <w:pPr>
              <w:jc w:val="center"/>
              <w:ind w:left="182"/>
              <w:spacing w:after="0"/>
              <w:rPr>
                <w:sz w:val="20"/>
                <w:szCs w:val="20"/>
                <w:color w:val="auto"/>
              </w:rPr>
            </w:pPr>
            <w:r>
              <w:rPr>
                <w:rFonts w:ascii="Arial" w:cs="Arial" w:eastAsia="Arial" w:hAnsi="Arial"/>
                <w:sz w:val="12"/>
                <w:szCs w:val="12"/>
                <w:color w:val="auto"/>
                <w:w w:val="86"/>
              </w:rPr>
              <w:t>11/20/2014</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Communications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10,750,000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Cydcor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06/12/2017</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9.75%</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L+725</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7,342,967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7,342,967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7,342,967</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Good Sam Enterprises, LLC </w:t>
            </w:r>
            <w:r>
              <w:rPr>
                <w:rFonts w:ascii="Arial" w:cs="Arial" w:eastAsia="Arial" w:hAnsi="Arial"/>
                <w:sz w:val="9"/>
                <w:szCs w:val="9"/>
                <w:color w:val="auto"/>
              </w:rPr>
              <w:t>(5)</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12/01/2016</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11,835,907</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12,900,000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 xml:space="preserve">IDQ Holdings, Inc. </w:t>
            </w:r>
            <w:r>
              <w:rPr>
                <w:rFonts w:ascii="Arial" w:cs="Arial" w:eastAsia="Arial" w:hAnsi="Arial"/>
                <w:sz w:val="9"/>
                <w:szCs w:val="9"/>
                <w:color w:val="auto"/>
              </w:rPr>
              <w:t>(5)</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03/30/2017</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9"/>
              </w:rPr>
              <w:t>Auto Sector</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11.50%</w:t>
            </w:r>
          </w:p>
        </w:tc>
        <w:tc>
          <w:tcPr>
            <w:tcW w:w="112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11,500,000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11,326,110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12,391,250</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InfuSystem Holdings, Inc.</w:t>
            </w:r>
          </w:p>
        </w:tc>
        <w:tc>
          <w:tcPr>
            <w:tcW w:w="1160" w:type="dxa"/>
            <w:vAlign w:val="bottom"/>
            <w:shd w:val="clear" w:color="auto" w:fill="CCEEFF"/>
          </w:tcPr>
          <w:p>
            <w:pPr>
              <w:jc w:val="center"/>
              <w:ind w:left="182"/>
              <w:spacing w:after="0" w:line="129" w:lineRule="exact"/>
              <w:rPr>
                <w:sz w:val="20"/>
                <w:szCs w:val="20"/>
                <w:color w:val="auto"/>
              </w:rPr>
            </w:pPr>
            <w:r>
              <w:rPr>
                <w:rFonts w:ascii="Arial" w:cs="Arial" w:eastAsia="Arial" w:hAnsi="Arial"/>
                <w:sz w:val="12"/>
                <w:szCs w:val="12"/>
                <w:color w:val="auto"/>
                <w:w w:val="86"/>
              </w:rPr>
              <w:t>11/30/2016</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11.95%</w:t>
            </w:r>
          </w:p>
        </w:tc>
        <w:tc>
          <w:tcPr>
            <w:tcW w:w="112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P+625</w:t>
            </w:r>
            <w:r>
              <w:rPr>
                <w:rFonts w:ascii="Arial" w:cs="Arial" w:eastAsia="Arial" w:hAnsi="Arial"/>
                <w:sz w:val="9"/>
                <w:szCs w:val="9"/>
                <w:color w:val="auto"/>
              </w:rPr>
              <w:t>(8)</w:t>
            </w:r>
          </w:p>
        </w:tc>
        <w:tc>
          <w:tcPr>
            <w:tcW w:w="82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11,600,000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11,600,000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11,708,430</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Instant Web, Inc.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08/07/2014</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14.50%</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23,934,268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23,788,980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22,976,897</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Instant Web, Inc.</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08/07/2014</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1"/>
              </w:rPr>
              <w:t>Printing and Publishing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3.55%</w:t>
            </w: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L+338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18,199,679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13,917,288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14,559,743</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Interactive Health Solutions, Inc.</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10/04/2016</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11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L+950</w:t>
            </w:r>
            <w:r>
              <w:rPr>
                <w:rFonts w:ascii="Arial" w:cs="Arial" w:eastAsia="Arial" w:hAnsi="Arial"/>
                <w:sz w:val="9"/>
                <w:szCs w:val="9"/>
                <w:color w:val="auto"/>
              </w:rPr>
              <w:t>(8)</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18,050,000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17,770,705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18,050,000</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Jackson Hewitt Tax Service Inc.</w:t>
            </w:r>
          </w:p>
        </w:tc>
        <w:tc>
          <w:tcPr>
            <w:tcW w:w="1160" w:type="dxa"/>
            <w:vAlign w:val="bottom"/>
            <w:shd w:val="clear" w:color="auto" w:fill="CCEEFF"/>
          </w:tcPr>
          <w:p>
            <w:pPr>
              <w:jc w:val="center"/>
              <w:ind w:left="162"/>
              <w:spacing w:after="0" w:line="132" w:lineRule="exact"/>
              <w:rPr>
                <w:sz w:val="20"/>
                <w:szCs w:val="20"/>
                <w:color w:val="auto"/>
              </w:rPr>
            </w:pPr>
            <w:r>
              <w:rPr>
                <w:rFonts w:ascii="Arial" w:cs="Arial" w:eastAsia="Arial" w:hAnsi="Arial"/>
                <w:sz w:val="12"/>
                <w:szCs w:val="12"/>
                <w:color w:val="auto"/>
                <w:w w:val="89"/>
              </w:rPr>
              <w:t>10/16/2017</w:t>
            </w:r>
          </w:p>
        </w:tc>
        <w:tc>
          <w:tcPr>
            <w:tcW w:w="20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10.00%</w:t>
            </w:r>
          </w:p>
        </w:tc>
        <w:tc>
          <w:tcPr>
            <w:tcW w:w="1120" w:type="dxa"/>
            <w:vAlign w:val="bottom"/>
            <w:shd w:val="clear" w:color="auto" w:fill="CCEEFF"/>
          </w:tcPr>
          <w:p>
            <w:pPr>
              <w:jc w:val="right"/>
              <w:ind w:right="122"/>
              <w:spacing w:after="0" w:line="132"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8,355,469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8,349,704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8,230,137</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08/19/2019</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7"/>
              </w:rPr>
              <w:t>Chemicals, Plastics and Rubber</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10.00%</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L+900</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22,342,352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21,899,258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22,007,217</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Penton Media, Inc.</w:t>
            </w:r>
          </w:p>
        </w:tc>
        <w:tc>
          <w:tcPr>
            <w:tcW w:w="1160" w:type="dxa"/>
            <w:vAlign w:val="bottom"/>
            <w:shd w:val="clear" w:color="auto" w:fill="CCEEFF"/>
          </w:tcPr>
          <w:p>
            <w:pPr>
              <w:jc w:val="center"/>
              <w:ind w:left="162"/>
              <w:spacing w:after="0" w:line="129" w:lineRule="exact"/>
              <w:rPr>
                <w:sz w:val="20"/>
                <w:szCs w:val="20"/>
                <w:color w:val="auto"/>
              </w:rPr>
            </w:pPr>
            <w:r>
              <w:rPr>
                <w:rFonts w:ascii="Arial" w:cs="Arial" w:eastAsia="Arial" w:hAnsi="Arial"/>
                <w:sz w:val="12"/>
                <w:szCs w:val="12"/>
                <w:color w:val="auto"/>
                <w:w w:val="89"/>
              </w:rPr>
              <w:t>08/01/2014</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0"/>
              </w:rPr>
              <w:t>Other Media</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6.00%</w:t>
            </w:r>
          </w:p>
        </w:tc>
        <w:tc>
          <w:tcPr>
            <w:tcW w:w="112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L+500</w:t>
            </w:r>
            <w:r>
              <w:rPr>
                <w:rFonts w:ascii="Arial" w:cs="Arial" w:eastAsia="Arial" w:hAnsi="Arial"/>
                <w:sz w:val="9"/>
                <w:szCs w:val="9"/>
                <w:color w:val="auto"/>
              </w:rPr>
              <w:t>(8)</w:t>
            </w:r>
          </w:p>
        </w:tc>
        <w:tc>
          <w:tcPr>
            <w:tcW w:w="82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37,950,152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36,110,124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37,523,212</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(PIK 2.00%)</w:t>
            </w: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12/16/2019</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0"/>
              </w:rPr>
              <w:t>Mining, Steel, Iron and Non-</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112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14,250,000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14,096,169</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15,176,250</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8"/>
              </w:rPr>
              <w:t>Precious Metals</w:t>
            </w: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TRAK Acquisition Corp.</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04/30/2018</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12.00%</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34,270,800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33,766,321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34,270,800</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Worley Claims Services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07/06/2017</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3"/>
              </w:rPr>
              <w:t>Insurance</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L+1,100</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12,451,096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12,451,096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12,388,840</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278,962,489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288,043,239</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20"/>
                <w:szCs w:val="20"/>
                <w:color w:val="auto"/>
              </w:rPr>
            </w:pPr>
            <w:r>
              <w:rPr>
                <w:rFonts w:ascii="Arial" w:cs="Arial" w:eastAsia="Arial" w:hAnsi="Arial"/>
                <w:sz w:val="12"/>
                <w:szCs w:val="12"/>
                <w:b w:val="1"/>
                <w:bCs w:val="1"/>
                <w:color w:val="auto"/>
              </w:rPr>
              <w:t>Second Lien Secured Debt—48.9%</w:t>
            </w: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1160" w:type="dxa"/>
            <w:vAlign w:val="bottom"/>
            <w:shd w:val="clear" w:color="auto" w:fill="CCEEFF"/>
          </w:tcPr>
          <w:p>
            <w:pPr>
              <w:jc w:val="center"/>
              <w:ind w:left="162"/>
              <w:spacing w:after="0" w:line="132" w:lineRule="exact"/>
              <w:rPr>
                <w:sz w:val="20"/>
                <w:szCs w:val="20"/>
                <w:color w:val="auto"/>
              </w:rPr>
            </w:pPr>
            <w:r>
              <w:rPr>
                <w:rFonts w:ascii="Arial" w:cs="Arial" w:eastAsia="Arial" w:hAnsi="Arial"/>
                <w:sz w:val="12"/>
                <w:szCs w:val="12"/>
                <w:color w:val="auto"/>
                <w:w w:val="89"/>
              </w:rPr>
              <w:t>09/01/2017</w:t>
            </w:r>
          </w:p>
        </w:tc>
        <w:tc>
          <w:tcPr>
            <w:tcW w:w="20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8"/>
              </w:rPr>
              <w:t>Diversified Natural Resources,</w:t>
            </w:r>
          </w:p>
        </w:tc>
        <w:tc>
          <w:tcPr>
            <w:tcW w:w="11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11.50%</w:t>
            </w:r>
          </w:p>
        </w:tc>
        <w:tc>
          <w:tcPr>
            <w:tcW w:w="112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25,400,000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25,400,000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25,971,500</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Precious Metals and Minerals</w:t>
            </w: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Arsloane Acquisition,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10/01/2020</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11.75%</w:t>
            </w:r>
          </w:p>
        </w:tc>
        <w:tc>
          <w:tcPr>
            <w:tcW w:w="1120" w:type="dxa"/>
            <w:vAlign w:val="bottom"/>
          </w:tcPr>
          <w:p>
            <w:pPr>
              <w:jc w:val="right"/>
              <w:ind w:right="122"/>
              <w:spacing w:after="0"/>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(8)</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18,750,000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18,375,000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18,687,563</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Brand Energy and Infrastructure Services, Inc.</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10/23/2019</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2"/>
              </w:rPr>
              <w:t>Energy / Utilities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11.00%</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L+975</w:t>
            </w:r>
            <w:r>
              <w:rPr>
                <w:rFonts w:ascii="Arial" w:cs="Arial" w:eastAsia="Arial" w:hAnsi="Arial"/>
                <w:sz w:val="9"/>
                <w:szCs w:val="9"/>
                <w:color w:val="auto"/>
              </w:rPr>
              <w:t>(8)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42,278,570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41,471,524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43,159,233</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Carolina Beverage Group,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08/01/2018</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5"/>
              </w:rPr>
              <w:t>Beverage, Food and Tobacco</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10.63%</w:t>
            </w:r>
          </w:p>
        </w:tc>
        <w:tc>
          <w:tcPr>
            <w:tcW w:w="112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13,125,000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13,125,000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13,420,313</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Envision Acquisition Company, LLC</w:t>
            </w:r>
          </w:p>
        </w:tc>
        <w:tc>
          <w:tcPr>
            <w:tcW w:w="1160" w:type="dxa"/>
            <w:vAlign w:val="bottom"/>
            <w:shd w:val="clear" w:color="auto" w:fill="CCEEFF"/>
          </w:tcPr>
          <w:p>
            <w:pPr>
              <w:jc w:val="center"/>
              <w:ind w:left="182"/>
              <w:spacing w:after="0" w:line="129" w:lineRule="exact"/>
              <w:rPr>
                <w:sz w:val="20"/>
                <w:szCs w:val="20"/>
                <w:color w:val="auto"/>
              </w:rPr>
            </w:pPr>
            <w:r>
              <w:rPr>
                <w:rFonts w:ascii="Arial" w:cs="Arial" w:eastAsia="Arial" w:hAnsi="Arial"/>
                <w:sz w:val="12"/>
                <w:szCs w:val="12"/>
                <w:color w:val="auto"/>
                <w:w w:val="86"/>
              </w:rPr>
              <w:t>11/04/2021</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1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1120" w:type="dxa"/>
            <w:vAlign w:val="bottom"/>
            <w:shd w:val="clear" w:color="auto" w:fill="CCEEFF"/>
          </w:tcPr>
          <w:p>
            <w:pPr>
              <w:jc w:val="right"/>
              <w:ind w:right="12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82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19,000,000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18,620,000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18,905,000</w:t>
            </w:r>
          </w:p>
        </w:tc>
        <w:tc>
          <w:tcPr>
            <w:tcW w:w="0" w:type="dxa"/>
            <w:vAlign w:val="bottom"/>
          </w:tcPr>
          <w:p>
            <w:pPr>
              <w:spacing w:after="0"/>
              <w:rPr>
                <w:sz w:val="1"/>
                <w:szCs w:val="1"/>
                <w:color w:val="auto"/>
              </w:rPr>
            </w:pPr>
          </w:p>
        </w:tc>
      </w:tr>
      <w:tr>
        <w:trPr>
          <w:trHeight w:val="155"/>
        </w:trPr>
        <w:tc>
          <w:tcPr>
            <w:tcW w:w="26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Childcare</w:t>
            </w:r>
          </w:p>
        </w:tc>
        <w:tc>
          <w:tcPr>
            <w:tcW w:w="1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20"/>
                <w:szCs w:val="20"/>
                <w:color w:val="auto"/>
              </w:rPr>
            </w:pPr>
            <w:r>
              <w:rPr>
                <w:rFonts w:ascii="Arial" w:cs="Arial" w:eastAsia="Arial" w:hAnsi="Arial"/>
                <w:sz w:val="12"/>
                <w:szCs w:val="12"/>
                <w:color w:val="auto"/>
              </w:rPr>
              <w:t>Eureka Hunter Pipeline, LLC</w:t>
            </w:r>
          </w:p>
        </w:tc>
        <w:tc>
          <w:tcPr>
            <w:tcW w:w="1160" w:type="dxa"/>
            <w:vAlign w:val="bottom"/>
          </w:tcPr>
          <w:p>
            <w:pPr>
              <w:jc w:val="center"/>
              <w:ind w:left="162"/>
              <w:spacing w:after="0"/>
              <w:rPr>
                <w:sz w:val="20"/>
                <w:szCs w:val="20"/>
                <w:color w:val="auto"/>
              </w:rPr>
            </w:pPr>
            <w:r>
              <w:rPr>
                <w:rFonts w:ascii="Arial" w:cs="Arial" w:eastAsia="Arial" w:hAnsi="Arial"/>
                <w:sz w:val="12"/>
                <w:szCs w:val="12"/>
                <w:color w:val="auto"/>
                <w:w w:val="89"/>
              </w:rPr>
              <w:t>08/16/2018</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92"/>
              </w:rPr>
              <w:t>Energy / Utilities</w:t>
            </w:r>
          </w:p>
        </w:tc>
        <w:tc>
          <w:tcPr>
            <w:tcW w:w="1140" w:type="dxa"/>
            <w:vAlign w:val="bottom"/>
          </w:tcPr>
          <w:p>
            <w:pPr>
              <w:jc w:val="right"/>
              <w:ind w:right="142"/>
              <w:spacing w:after="0"/>
              <w:rPr>
                <w:sz w:val="20"/>
                <w:szCs w:val="20"/>
                <w:color w:val="auto"/>
              </w:rPr>
            </w:pPr>
            <w:r>
              <w:rPr>
                <w:rFonts w:ascii="Arial" w:cs="Arial" w:eastAsia="Arial" w:hAnsi="Arial"/>
                <w:sz w:val="12"/>
                <w:szCs w:val="12"/>
                <w:color w:val="auto"/>
              </w:rPr>
              <w:t>12.50%</w:t>
            </w:r>
          </w:p>
        </w:tc>
        <w:tc>
          <w:tcPr>
            <w:tcW w:w="1120" w:type="dxa"/>
            <w:vAlign w:val="bottom"/>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45,000,000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44,599,796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46,575,000</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ILC Industries, LLC</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06/14/2019</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8"/>
              </w:rPr>
              <w:t>Electronics</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11.50%</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L+1,000</w:t>
            </w:r>
            <w:r>
              <w:rPr>
                <w:rFonts w:ascii="Arial" w:cs="Arial" w:eastAsia="Arial" w:hAnsi="Arial"/>
                <w:sz w:val="9"/>
                <w:szCs w:val="9"/>
                <w:color w:val="auto"/>
              </w:rPr>
              <w:t>(8)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6,900,000</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Intermediate Transportation 100, L.L.C.</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03/01/2017</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Cargo Transport</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11.00%</w:t>
            </w:r>
          </w:p>
        </w:tc>
        <w:tc>
          <w:tcPr>
            <w:tcW w:w="11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L+700</w:t>
            </w:r>
            <w:r>
              <w:rPr>
                <w:rFonts w:ascii="Arial" w:cs="Arial" w:eastAsia="Arial" w:hAnsi="Arial"/>
                <w:sz w:val="9"/>
                <w:szCs w:val="9"/>
                <w:color w:val="auto"/>
              </w:rPr>
              <w:t>(8)</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3,544,833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3,544,836</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3,544,833</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(PIK 11.00%)</w:t>
            </w: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Jacobs Entertainment, Inc.</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10/29/2019</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Hotels, Motels, Inns and Gaming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13.00%</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38,950,000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38,287,499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39,096,063</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Language Line, LLC</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12/20/2016</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10.50%</w:t>
            </w:r>
          </w:p>
        </w:tc>
        <w:tc>
          <w:tcPr>
            <w:tcW w:w="11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L+875</w:t>
            </w:r>
            <w:r>
              <w:rPr>
                <w:rFonts w:ascii="Arial" w:cs="Arial" w:eastAsia="Arial" w:hAnsi="Arial"/>
                <w:sz w:val="9"/>
                <w:szCs w:val="9"/>
                <w:color w:val="auto"/>
              </w:rPr>
              <w:t>(8)</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33,750,000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33,265,829</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33,187,388</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66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Linc USA GP and Linc Energy Finance (USA),</w:t>
            </w:r>
          </w:p>
        </w:tc>
        <w:tc>
          <w:tcPr>
            <w:tcW w:w="1160" w:type="dxa"/>
            <w:vAlign w:val="bottom"/>
            <w:shd w:val="clear" w:color="auto" w:fill="CCEEFF"/>
          </w:tcPr>
          <w:p>
            <w:pPr>
              <w:jc w:val="center"/>
              <w:ind w:left="162"/>
              <w:spacing w:after="0" w:line="132" w:lineRule="exact"/>
              <w:rPr>
                <w:sz w:val="20"/>
                <w:szCs w:val="20"/>
                <w:color w:val="auto"/>
              </w:rPr>
            </w:pPr>
            <w:r>
              <w:rPr>
                <w:rFonts w:ascii="Arial" w:cs="Arial" w:eastAsia="Arial" w:hAnsi="Arial"/>
                <w:sz w:val="12"/>
                <w:szCs w:val="12"/>
                <w:color w:val="auto"/>
                <w:w w:val="89"/>
              </w:rPr>
              <w:t>10/31/2017</w:t>
            </w:r>
          </w:p>
        </w:tc>
        <w:tc>
          <w:tcPr>
            <w:tcW w:w="20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8"/>
              </w:rPr>
              <w:t>Oil and Gas</w:t>
            </w:r>
          </w:p>
        </w:tc>
        <w:tc>
          <w:tcPr>
            <w:tcW w:w="1140" w:type="dxa"/>
            <w:vAlign w:val="bottom"/>
            <w:shd w:val="clear" w:color="auto" w:fill="CCEEFF"/>
          </w:tcPr>
          <w:p>
            <w:pPr>
              <w:jc w:val="right"/>
              <w:ind w:right="142"/>
              <w:spacing w:after="0" w:line="132" w:lineRule="exact"/>
              <w:rPr>
                <w:sz w:val="20"/>
                <w:szCs w:val="20"/>
                <w:color w:val="auto"/>
              </w:rPr>
            </w:pPr>
            <w:r>
              <w:rPr>
                <w:rFonts w:ascii="Arial" w:cs="Arial" w:eastAsia="Arial" w:hAnsi="Arial"/>
                <w:sz w:val="12"/>
                <w:szCs w:val="12"/>
                <w:color w:val="auto"/>
              </w:rPr>
              <w:t>12.50%</w:t>
            </w:r>
          </w:p>
        </w:tc>
        <w:tc>
          <w:tcPr>
            <w:tcW w:w="112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11,875,000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11,511,878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13,062,500</w:t>
            </w:r>
          </w:p>
        </w:tc>
        <w:tc>
          <w:tcPr>
            <w:tcW w:w="0" w:type="dxa"/>
            <w:vAlign w:val="bottom"/>
          </w:tcPr>
          <w:p>
            <w:pPr>
              <w:spacing w:after="0"/>
              <w:rPr>
                <w:sz w:val="1"/>
                <w:szCs w:val="1"/>
                <w:color w:val="auto"/>
              </w:rPr>
            </w:pPr>
          </w:p>
        </w:tc>
      </w:tr>
      <w:tr>
        <w:trPr>
          <w:trHeight w:val="141"/>
        </w:trPr>
        <w:tc>
          <w:tcPr>
            <w:tcW w:w="2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 xml:space="preserve">Inc. </w:t>
            </w:r>
            <w:r>
              <w:rPr>
                <w:rFonts w:ascii="Arial" w:cs="Arial" w:eastAsia="Arial" w:hAnsi="Arial"/>
                <w:sz w:val="9"/>
                <w:szCs w:val="9"/>
                <w:color w:val="auto"/>
              </w:rPr>
              <w:t>(5)</w:t>
            </w:r>
          </w:p>
        </w:tc>
        <w:tc>
          <w:tcPr>
            <w:tcW w:w="11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Pre-Paid Legal Services, Inc.</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07/01/2020</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9.75%</w:t>
            </w:r>
          </w:p>
        </w:tc>
        <w:tc>
          <w:tcPr>
            <w:tcW w:w="11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L+850</w:t>
            </w:r>
            <w:r>
              <w:rPr>
                <w:rFonts w:ascii="Arial" w:cs="Arial" w:eastAsia="Arial" w:hAnsi="Arial"/>
                <w:sz w:val="9"/>
                <w:szCs w:val="9"/>
                <w:color w:val="auto"/>
              </w:rPr>
              <w:t>(8)</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56,750,000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55,923,621</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56,040,625</w:t>
            </w:r>
          </w:p>
        </w:tc>
        <w:tc>
          <w:tcPr>
            <w:tcW w:w="0" w:type="dxa"/>
            <w:vAlign w:val="bottom"/>
          </w:tcPr>
          <w:p>
            <w:pPr>
              <w:spacing w:after="0"/>
              <w:rPr>
                <w:sz w:val="1"/>
                <w:szCs w:val="1"/>
                <w:color w:val="auto"/>
              </w:rPr>
            </w:pPr>
          </w:p>
        </w:tc>
      </w:tr>
      <w:tr>
        <w:trPr>
          <w:trHeight w:val="141"/>
        </w:trPr>
        <w:tc>
          <w:tcPr>
            <w:tcW w:w="2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Services</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Questex Media Group LLC, Term Loan A</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12/15/2014</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Other Media</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9.50%</w:t>
            </w:r>
          </w:p>
        </w:tc>
        <w:tc>
          <w:tcPr>
            <w:tcW w:w="11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L+550</w:t>
            </w:r>
            <w:r>
              <w:rPr>
                <w:rFonts w:ascii="Arial" w:cs="Arial" w:eastAsia="Arial" w:hAnsi="Arial"/>
                <w:sz w:val="9"/>
                <w:szCs w:val="9"/>
                <w:color w:val="auto"/>
              </w:rPr>
              <w:t>(8)</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2,395,378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2,395,378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2,371,424</w:t>
            </w:r>
          </w:p>
        </w:tc>
        <w:tc>
          <w:tcPr>
            <w:tcW w:w="0" w:type="dxa"/>
            <w:vAlign w:val="bottom"/>
          </w:tcPr>
          <w:p>
            <w:pPr>
              <w:spacing w:after="0"/>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Arial" w:cs="Arial" w:eastAsia="Arial" w:hAnsi="Arial"/>
                <w:sz w:val="12"/>
                <w:szCs w:val="12"/>
                <w:color w:val="auto"/>
              </w:rPr>
              <w:t>Questex Media Group LLC, Term Loan B</w:t>
            </w:r>
          </w:p>
        </w:tc>
        <w:tc>
          <w:tcPr>
            <w:tcW w:w="1160" w:type="dxa"/>
            <w:vAlign w:val="bottom"/>
          </w:tcPr>
          <w:p>
            <w:pPr>
              <w:jc w:val="center"/>
              <w:ind w:left="162"/>
              <w:spacing w:after="0" w:line="129" w:lineRule="exact"/>
              <w:rPr>
                <w:sz w:val="20"/>
                <w:szCs w:val="20"/>
                <w:color w:val="auto"/>
              </w:rPr>
            </w:pPr>
            <w:r>
              <w:rPr>
                <w:rFonts w:ascii="Arial" w:cs="Arial" w:eastAsia="Arial" w:hAnsi="Arial"/>
                <w:sz w:val="12"/>
                <w:szCs w:val="12"/>
                <w:color w:val="auto"/>
                <w:w w:val="89"/>
              </w:rPr>
              <w:t>12/15/2015</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0"/>
              </w:rPr>
              <w:t>Other Media</w:t>
            </w:r>
          </w:p>
        </w:tc>
        <w:tc>
          <w:tcPr>
            <w:tcW w:w="11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11.50%</w:t>
            </w:r>
          </w:p>
        </w:tc>
        <w:tc>
          <w:tcPr>
            <w:tcW w:w="1120" w:type="dxa"/>
            <w:vAlign w:val="bottom"/>
          </w:tcPr>
          <w:p>
            <w:pPr>
              <w:jc w:val="right"/>
              <w:ind w:right="122"/>
              <w:spacing w:after="0" w:line="129" w:lineRule="exact"/>
              <w:rPr>
                <w:sz w:val="20"/>
                <w:szCs w:val="20"/>
                <w:color w:val="auto"/>
              </w:rPr>
            </w:pPr>
            <w:r>
              <w:rPr>
                <w:rFonts w:ascii="Arial" w:cs="Arial" w:eastAsia="Arial" w:hAnsi="Arial"/>
                <w:sz w:val="12"/>
                <w:szCs w:val="12"/>
                <w:color w:val="auto"/>
              </w:rPr>
              <w:t>P+750</w:t>
            </w:r>
            <w:r>
              <w:rPr>
                <w:rFonts w:ascii="Arial" w:cs="Arial" w:eastAsia="Arial" w:hAnsi="Arial"/>
                <w:sz w:val="9"/>
                <w:szCs w:val="9"/>
                <w:color w:val="auto"/>
              </w:rPr>
              <w:t>(8)</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2,502,333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2,502,333</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2,452,286</w:t>
            </w:r>
          </w:p>
        </w:tc>
        <w:tc>
          <w:tcPr>
            <w:tcW w:w="0" w:type="dxa"/>
            <w:vAlign w:val="bottom"/>
          </w:tcPr>
          <w:p>
            <w:pPr>
              <w:spacing w:after="0"/>
              <w:rPr>
                <w:sz w:val="1"/>
                <w:szCs w:val="1"/>
                <w:color w:val="auto"/>
              </w:rPr>
            </w:pPr>
          </w:p>
        </w:tc>
      </w:tr>
      <w:tr>
        <w:trPr>
          <w:trHeight w:val="151"/>
        </w:trPr>
        <w:tc>
          <w:tcPr>
            <w:tcW w:w="2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jc w:val="right"/>
              <w:ind w:right="102"/>
              <w:spacing w:after="0"/>
              <w:rPr>
                <w:sz w:val="20"/>
                <w:szCs w:val="20"/>
                <w:color w:val="auto"/>
              </w:rPr>
            </w:pPr>
            <w:r>
              <w:rPr>
                <w:rFonts w:ascii="Arial" w:cs="Arial" w:eastAsia="Arial" w:hAnsi="Arial"/>
                <w:sz w:val="12"/>
                <w:szCs w:val="12"/>
                <w:color w:val="auto"/>
              </w:rPr>
              <w:t>(PIK 11.50%)</w:t>
            </w: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ROC Finance LLC and ROC Finance 1 Corp.</w:t>
            </w:r>
          </w:p>
        </w:tc>
        <w:tc>
          <w:tcPr>
            <w:tcW w:w="1160" w:type="dxa"/>
            <w:vAlign w:val="bottom"/>
            <w:shd w:val="clear" w:color="auto" w:fill="CCEEFF"/>
          </w:tcPr>
          <w:p>
            <w:pPr>
              <w:jc w:val="center"/>
              <w:ind w:left="162"/>
              <w:spacing w:after="0"/>
              <w:rPr>
                <w:sz w:val="20"/>
                <w:szCs w:val="20"/>
                <w:color w:val="auto"/>
              </w:rPr>
            </w:pPr>
            <w:r>
              <w:rPr>
                <w:rFonts w:ascii="Arial" w:cs="Arial" w:eastAsia="Arial" w:hAnsi="Arial"/>
                <w:sz w:val="12"/>
                <w:szCs w:val="12"/>
                <w:color w:val="auto"/>
                <w:w w:val="89"/>
              </w:rPr>
              <w:t>08/31/2018</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9"/>
              </w:rPr>
              <w:t>Hotels, Motels, Inns and Gaming</w:t>
            </w:r>
          </w:p>
        </w:tc>
        <w:tc>
          <w:tcPr>
            <w:tcW w:w="114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12.13%</w:t>
            </w:r>
          </w:p>
        </w:tc>
        <w:tc>
          <w:tcPr>
            <w:tcW w:w="112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16,000,000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15,785,252</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17,720,000</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Total Second Lien Secured Debt</w:t>
            </w: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66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2"/>
              </w:rPr>
              <w:t>332,007,946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341,093,728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jc w:val="center"/>
              <w:ind w:right="82"/>
              <w:spacing w:after="0"/>
              <w:rPr>
                <w:sz w:val="20"/>
                <w:szCs w:val="20"/>
                <w:color w:val="auto"/>
              </w:rPr>
            </w:pPr>
            <w:r>
              <w:rPr>
                <w:rFonts w:ascii="Arial" w:cs="Arial" w:eastAsia="Arial" w:hAnsi="Arial"/>
                <w:sz w:val="12"/>
                <w:szCs w:val="12"/>
                <w:b w:val="1"/>
                <w:bCs w:val="1"/>
                <w:color w:val="auto"/>
                <w:w w:val="85"/>
              </w:rPr>
              <w:t>Basis 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2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8"/>
              </w:rPr>
              <w:t>Spread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Maturity</w:t>
            </w:r>
          </w:p>
        </w:tc>
        <w:tc>
          <w:tcPr>
            <w:tcW w:w="2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0" w:type="dxa"/>
            <w:vAlign w:val="bottom"/>
          </w:tcPr>
          <w:p>
            <w:pPr>
              <w:jc w:val="right"/>
              <w:ind w:right="482"/>
              <w:spacing w:after="0" w:line="135" w:lineRule="exact"/>
              <w:rPr>
                <w:sz w:val="20"/>
                <w:szCs w:val="20"/>
                <w:color w:val="auto"/>
              </w:rPr>
            </w:pPr>
            <w:r>
              <w:rPr>
                <w:rFonts w:ascii="Arial" w:cs="Arial" w:eastAsia="Arial" w:hAnsi="Arial"/>
                <w:sz w:val="12"/>
                <w:szCs w:val="12"/>
                <w:b w:val="1"/>
                <w:bCs w:val="1"/>
                <w:color w:val="auto"/>
              </w:rPr>
              <w:t>Current</w:t>
            </w:r>
          </w:p>
        </w:tc>
        <w:tc>
          <w:tcPr>
            <w:tcW w:w="102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200" w:type="dxa"/>
            <w:vAlign w:val="bottom"/>
          </w:tcPr>
          <w:p>
            <w:pPr>
              <w:jc w:val="right"/>
              <w:ind w:right="482"/>
              <w:spacing w:after="0"/>
              <w:rPr>
                <w:sz w:val="20"/>
                <w:szCs w:val="20"/>
                <w:color w:val="auto"/>
              </w:rPr>
            </w:pPr>
            <w:r>
              <w:rPr>
                <w:rFonts w:ascii="Arial" w:cs="Arial" w:eastAsia="Arial" w:hAnsi="Arial"/>
                <w:sz w:val="12"/>
                <w:szCs w:val="12"/>
                <w:b w:val="1"/>
                <w:bCs w:val="1"/>
                <w:color w:val="auto"/>
              </w:rPr>
              <w:t>Coupon</w:t>
            </w:r>
          </w:p>
        </w:tc>
        <w:tc>
          <w:tcPr>
            <w:tcW w:w="1020" w:type="dxa"/>
            <w:vAlign w:val="bottom"/>
          </w:tcPr>
          <w:p>
            <w:pPr>
              <w:jc w:val="center"/>
              <w:ind w:right="10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40" w:type="dxa"/>
            <w:vAlign w:val="bottom"/>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Notes—37.4%</w:t>
            </w:r>
          </w:p>
        </w:tc>
        <w:tc>
          <w:tcPr>
            <w:tcW w:w="1020" w:type="dxa"/>
            <w:vAlign w:val="bottom"/>
            <w:tcBorders>
              <w:top w:val="single" w:sz="8" w:color="auto"/>
            </w:tcBorders>
            <w:shd w:val="clear" w:color="auto" w:fill="CCEEFF"/>
          </w:tcPr>
          <w:p>
            <w:pPr>
              <w:spacing w:after="0"/>
              <w:rPr>
                <w:sz w:val="11"/>
                <w:szCs w:val="11"/>
                <w:color w:val="auto"/>
              </w:rPr>
            </w:pPr>
          </w:p>
        </w:tc>
        <w:tc>
          <w:tcPr>
            <w:tcW w:w="202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Acentia, LLC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86"/>
              </w:rPr>
              <w:t>10/02/2017</w:t>
            </w:r>
          </w:p>
        </w:tc>
        <w:tc>
          <w:tcPr>
            <w:tcW w:w="2020" w:type="dxa"/>
            <w:vAlign w:val="bottom"/>
          </w:tcPr>
          <w:p>
            <w:pPr>
              <w:jc w:val="center"/>
              <w:spacing w:after="0"/>
              <w:rPr>
                <w:sz w:val="20"/>
                <w:szCs w:val="20"/>
                <w:color w:val="auto"/>
              </w:rPr>
            </w:pPr>
            <w:r>
              <w:rPr>
                <w:rFonts w:ascii="Arial" w:cs="Arial" w:eastAsia="Arial" w:hAnsi="Arial"/>
                <w:sz w:val="12"/>
                <w:szCs w:val="12"/>
                <w:color w:val="auto"/>
                <w:w w:val="91"/>
              </w:rPr>
              <w:t>Electronics</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13.75%</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19,000,000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18,629,082</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18,879,139</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Affinion Group Holdings, Inc.</w:t>
            </w:r>
          </w:p>
        </w:tc>
        <w:tc>
          <w:tcPr>
            <w:tcW w:w="10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6"/>
              </w:rPr>
              <w:t>11/15/2015</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Consumer Products</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11.63%</w:t>
            </w:r>
          </w:p>
        </w:tc>
        <w:tc>
          <w:tcPr>
            <w:tcW w:w="102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35,552,000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34,570,664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20,442,400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Alegeus Technologies, LLC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86"/>
              </w:rPr>
              <w:t>02/15/2019</w:t>
            </w:r>
          </w:p>
        </w:tc>
        <w:tc>
          <w:tcPr>
            <w:tcW w:w="2020" w:type="dxa"/>
            <w:vAlign w:val="bottom"/>
          </w:tcPr>
          <w:p>
            <w:pPr>
              <w:jc w:val="center"/>
              <w:spacing w:after="0"/>
              <w:rPr>
                <w:sz w:val="20"/>
                <w:szCs w:val="20"/>
                <w:color w:val="auto"/>
              </w:rPr>
            </w:pPr>
            <w:r>
              <w:rPr>
                <w:rFonts w:ascii="Arial" w:cs="Arial" w:eastAsia="Arial" w:hAnsi="Arial"/>
                <w:sz w:val="12"/>
                <w:szCs w:val="12"/>
                <w:color w:val="auto"/>
                <w:w w:val="88"/>
              </w:rPr>
              <w:t>Financial Services</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12.00%</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8,930,000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8,773,751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8,888,617</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020" w:type="dxa"/>
            <w:vAlign w:val="bottom"/>
            <w:shd w:val="clear" w:color="auto" w:fill="CCEEFF"/>
          </w:tcPr>
          <w:p>
            <w:pPr>
              <w:jc w:val="center"/>
              <w:ind w:left="82"/>
              <w:spacing w:after="0" w:line="129" w:lineRule="exact"/>
              <w:rPr>
                <w:sz w:val="20"/>
                <w:szCs w:val="20"/>
                <w:color w:val="auto"/>
              </w:rPr>
            </w:pPr>
            <w:r>
              <w:rPr>
                <w:rFonts w:ascii="Arial" w:cs="Arial" w:eastAsia="Arial" w:hAnsi="Arial"/>
                <w:sz w:val="12"/>
                <w:szCs w:val="12"/>
                <w:color w:val="auto"/>
                <w:w w:val="86"/>
              </w:rPr>
              <w:t>03/26/2018</w:t>
            </w:r>
          </w:p>
        </w:tc>
        <w:tc>
          <w:tcPr>
            <w:tcW w:w="20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Electronics</w:t>
            </w:r>
          </w:p>
        </w:tc>
        <w:tc>
          <w:tcPr>
            <w:tcW w:w="120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12.00%</w:t>
            </w:r>
          </w:p>
        </w:tc>
        <w:tc>
          <w:tcPr>
            <w:tcW w:w="102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23,514,494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23,114,286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23,867,211</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1.00%)</w:t>
            </w: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1020" w:type="dxa"/>
            <w:vAlign w:val="bottom"/>
          </w:tcPr>
          <w:p>
            <w:pPr>
              <w:jc w:val="center"/>
              <w:ind w:left="82"/>
              <w:spacing w:after="0" w:line="129" w:lineRule="exact"/>
              <w:rPr>
                <w:sz w:val="20"/>
                <w:szCs w:val="20"/>
                <w:color w:val="auto"/>
              </w:rPr>
            </w:pPr>
            <w:r>
              <w:rPr>
                <w:rFonts w:ascii="Arial" w:cs="Arial" w:eastAsia="Arial" w:hAnsi="Arial"/>
                <w:sz w:val="12"/>
                <w:szCs w:val="12"/>
                <w:color w:val="auto"/>
                <w:w w:val="86"/>
              </w:rPr>
              <w:t>10/26/2018</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12.25%</w:t>
            </w:r>
          </w:p>
        </w:tc>
        <w:tc>
          <w:tcPr>
            <w:tcW w:w="102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10,600,000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10,399,101</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10,653,423</w:t>
            </w:r>
          </w:p>
        </w:tc>
        <w:tc>
          <w:tcPr>
            <w:tcW w:w="0" w:type="dxa"/>
            <w:vAlign w:val="bottom"/>
          </w:tcPr>
          <w:p>
            <w:pPr>
              <w:spacing w:after="0"/>
              <w:rPr>
                <w:sz w:val="1"/>
                <w:szCs w:val="1"/>
                <w:color w:val="auto"/>
              </w:rPr>
            </w:pPr>
          </w:p>
        </w:tc>
      </w:tr>
      <w:tr>
        <w:trPr>
          <w:trHeight w:val="141"/>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6"/>
              </w:rPr>
              <w:t>Services</w:t>
            </w: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Escort, Inc.</w:t>
            </w:r>
          </w:p>
        </w:tc>
        <w:tc>
          <w:tcPr>
            <w:tcW w:w="1020" w:type="dxa"/>
            <w:vAlign w:val="bottom"/>
            <w:shd w:val="clear" w:color="auto" w:fill="CCEEFF"/>
          </w:tcPr>
          <w:p>
            <w:pPr>
              <w:jc w:val="center"/>
              <w:ind w:left="82"/>
              <w:spacing w:after="0" w:line="129" w:lineRule="exact"/>
              <w:rPr>
                <w:sz w:val="20"/>
                <w:szCs w:val="20"/>
                <w:color w:val="auto"/>
              </w:rPr>
            </w:pPr>
            <w:r>
              <w:rPr>
                <w:rFonts w:ascii="Arial" w:cs="Arial" w:eastAsia="Arial" w:hAnsi="Arial"/>
                <w:sz w:val="12"/>
                <w:szCs w:val="12"/>
                <w:color w:val="auto"/>
                <w:w w:val="86"/>
              </w:rPr>
              <w:t>06/01/2016</w:t>
            </w:r>
          </w:p>
        </w:tc>
        <w:tc>
          <w:tcPr>
            <w:tcW w:w="20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Electronics</w:t>
            </w:r>
          </w:p>
        </w:tc>
        <w:tc>
          <w:tcPr>
            <w:tcW w:w="120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14.75%</w:t>
            </w:r>
          </w:p>
        </w:tc>
        <w:tc>
          <w:tcPr>
            <w:tcW w:w="102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25,965,563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25,579,621</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26,484,875</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2.75%)</w:t>
            </w: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line="129" w:lineRule="exact"/>
              <w:rPr>
                <w:sz w:val="20"/>
                <w:szCs w:val="20"/>
                <w:color w:val="auto"/>
              </w:rPr>
            </w:pPr>
            <w:r>
              <w:rPr>
                <w:rFonts w:ascii="Arial" w:cs="Arial" w:eastAsia="Arial" w:hAnsi="Arial"/>
                <w:sz w:val="12"/>
                <w:szCs w:val="12"/>
                <w:color w:val="auto"/>
              </w:rPr>
              <w:t>JF Acquisition, LLC</w:t>
            </w:r>
          </w:p>
        </w:tc>
        <w:tc>
          <w:tcPr>
            <w:tcW w:w="1020" w:type="dxa"/>
            <w:vAlign w:val="bottom"/>
          </w:tcPr>
          <w:p>
            <w:pPr>
              <w:jc w:val="center"/>
              <w:ind w:left="82"/>
              <w:spacing w:after="0" w:line="129" w:lineRule="exact"/>
              <w:rPr>
                <w:sz w:val="20"/>
                <w:szCs w:val="20"/>
                <w:color w:val="auto"/>
              </w:rPr>
            </w:pPr>
            <w:r>
              <w:rPr>
                <w:rFonts w:ascii="Arial" w:cs="Arial" w:eastAsia="Arial" w:hAnsi="Arial"/>
                <w:sz w:val="12"/>
                <w:szCs w:val="12"/>
                <w:color w:val="auto"/>
                <w:w w:val="86"/>
              </w:rPr>
              <w:t>06/30/2017</w:t>
            </w:r>
          </w:p>
        </w:tc>
        <w:tc>
          <w:tcPr>
            <w:tcW w:w="2020" w:type="dxa"/>
            <w:vAlign w:val="bottom"/>
          </w:tcPr>
          <w:p>
            <w:pPr>
              <w:jc w:val="center"/>
              <w:spacing w:after="0" w:line="129" w:lineRule="exact"/>
              <w:rPr>
                <w:sz w:val="20"/>
                <w:szCs w:val="20"/>
                <w:color w:val="auto"/>
              </w:rPr>
            </w:pPr>
            <w:r>
              <w:rPr>
                <w:rFonts w:ascii="Arial" w:cs="Arial" w:eastAsia="Arial" w:hAnsi="Arial"/>
                <w:sz w:val="12"/>
                <w:szCs w:val="12"/>
                <w:color w:val="auto"/>
                <w:w w:val="96"/>
              </w:rPr>
              <w:t>Distribution</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02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17,517,386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17,160,955</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17,517,386</w:t>
            </w: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tcPr>
          <w:p>
            <w:pPr>
              <w:jc w:val="right"/>
              <w:ind w:right="182"/>
              <w:spacing w:after="0"/>
              <w:rPr>
                <w:sz w:val="20"/>
                <w:szCs w:val="20"/>
                <w:color w:val="auto"/>
              </w:rPr>
            </w:pPr>
            <w:r>
              <w:rPr>
                <w:rFonts w:ascii="Arial" w:cs="Arial" w:eastAsia="Arial" w:hAnsi="Arial"/>
                <w:sz w:val="12"/>
                <w:szCs w:val="12"/>
                <w:color w:val="auto"/>
              </w:rPr>
              <w:t>(PIK 2.00%)</w:t>
            </w: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Learning Care Group (US) Inc.</w:t>
            </w:r>
          </w:p>
        </w:tc>
        <w:tc>
          <w:tcPr>
            <w:tcW w:w="1020" w:type="dxa"/>
            <w:vAlign w:val="bottom"/>
            <w:shd w:val="clear" w:color="auto" w:fill="CCEEFF"/>
          </w:tcPr>
          <w:p>
            <w:pPr>
              <w:jc w:val="center"/>
              <w:ind w:left="82"/>
              <w:spacing w:after="0" w:line="132" w:lineRule="exact"/>
              <w:rPr>
                <w:sz w:val="20"/>
                <w:szCs w:val="20"/>
                <w:color w:val="auto"/>
              </w:rPr>
            </w:pPr>
            <w:r>
              <w:rPr>
                <w:rFonts w:ascii="Arial" w:cs="Arial" w:eastAsia="Arial" w:hAnsi="Arial"/>
                <w:sz w:val="12"/>
                <w:szCs w:val="12"/>
                <w:color w:val="auto"/>
                <w:w w:val="86"/>
              </w:rPr>
              <w:t>05/08/2020</w:t>
            </w:r>
          </w:p>
        </w:tc>
        <w:tc>
          <w:tcPr>
            <w:tcW w:w="2020" w:type="dxa"/>
            <w:vAlign w:val="bottom"/>
            <w:shd w:val="clear" w:color="auto" w:fill="CCEEFF"/>
          </w:tcPr>
          <w:p>
            <w:pPr>
              <w:jc w:val="center"/>
              <w:spacing w:after="0" w:line="132" w:lineRule="exact"/>
              <w:rPr>
                <w:sz w:val="20"/>
                <w:szCs w:val="20"/>
                <w:color w:val="auto"/>
              </w:rPr>
            </w:pPr>
            <w:r>
              <w:rPr>
                <w:rFonts w:ascii="Arial" w:cs="Arial" w:eastAsia="Arial" w:hAnsi="Arial"/>
                <w:sz w:val="12"/>
                <w:szCs w:val="12"/>
                <w:color w:val="auto"/>
                <w:w w:val="86"/>
              </w:rPr>
              <w:t>Education</w:t>
            </w:r>
          </w:p>
        </w:tc>
        <w:tc>
          <w:tcPr>
            <w:tcW w:w="120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15.00%</w:t>
            </w:r>
          </w:p>
        </w:tc>
        <w:tc>
          <w:tcPr>
            <w:tcW w:w="102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7,215,989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rPr>
              <w:t>6,754,246</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7,215,989</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15.00%)</w:t>
            </w: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LTI Flexible Products, Inc.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86"/>
              </w:rPr>
              <w:t>01/19/2019</w:t>
            </w:r>
          </w:p>
        </w:tc>
        <w:tc>
          <w:tcPr>
            <w:tcW w:w="2020" w:type="dxa"/>
            <w:vAlign w:val="bottom"/>
          </w:tcPr>
          <w:p>
            <w:pPr>
              <w:jc w:val="center"/>
              <w:ind w:right="2"/>
              <w:spacing w:after="0"/>
              <w:rPr>
                <w:sz w:val="20"/>
                <w:szCs w:val="20"/>
                <w:color w:val="auto"/>
              </w:rPr>
            </w:pPr>
            <w:r>
              <w:rPr>
                <w:rFonts w:ascii="Arial" w:cs="Arial" w:eastAsia="Arial" w:hAnsi="Arial"/>
                <w:sz w:val="12"/>
                <w:szCs w:val="12"/>
                <w:color w:val="auto"/>
                <w:w w:val="87"/>
              </w:rPr>
              <w:t>Chemicals, Plastics and Rubber</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12.50%</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30,000,000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30,000,000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30,525,000</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LTI Flexible Products, Inc. </w:t>
            </w:r>
            <w:r>
              <w:rPr>
                <w:rFonts w:ascii="Arial" w:cs="Arial" w:eastAsia="Arial" w:hAnsi="Arial"/>
                <w:sz w:val="9"/>
                <w:szCs w:val="9"/>
                <w:color w:val="auto"/>
              </w:rPr>
              <w:t>(9)</w:t>
            </w:r>
          </w:p>
        </w:tc>
        <w:tc>
          <w:tcPr>
            <w:tcW w:w="10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86"/>
              </w:rPr>
              <w:t>01/11/2014</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7"/>
              </w:rPr>
              <w:t>Chemicals, Plastics and Rubber</w:t>
            </w:r>
          </w:p>
        </w:tc>
        <w:tc>
          <w:tcPr>
            <w:tcW w:w="120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4,825,000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5,087,500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MSPark, Inc.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86"/>
              </w:rPr>
              <w:t>06/15/2017</w:t>
            </w:r>
          </w:p>
        </w:tc>
        <w:tc>
          <w:tcPr>
            <w:tcW w:w="20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1200" w:type="dxa"/>
            <w:vAlign w:val="bottom"/>
          </w:tcPr>
          <w:p>
            <w:pPr>
              <w:jc w:val="right"/>
              <w:ind w:right="102"/>
              <w:spacing w:after="0"/>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15,000,000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14,691,342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14,700,000</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Varel International Energy Mezzanine Funding Corp.</w:t>
            </w:r>
          </w:p>
        </w:tc>
        <w:tc>
          <w:tcPr>
            <w:tcW w:w="1020" w:type="dxa"/>
            <w:vAlign w:val="bottom"/>
            <w:shd w:val="clear" w:color="auto" w:fill="CCEEFF"/>
          </w:tcPr>
          <w:p>
            <w:pPr>
              <w:jc w:val="center"/>
              <w:ind w:left="82"/>
              <w:spacing w:after="0" w:line="129" w:lineRule="exact"/>
              <w:rPr>
                <w:sz w:val="20"/>
                <w:szCs w:val="20"/>
                <w:color w:val="auto"/>
              </w:rPr>
            </w:pPr>
            <w:r>
              <w:rPr>
                <w:rFonts w:ascii="Arial" w:cs="Arial" w:eastAsia="Arial" w:hAnsi="Arial"/>
                <w:sz w:val="12"/>
                <w:szCs w:val="12"/>
                <w:color w:val="auto"/>
                <w:w w:val="86"/>
              </w:rPr>
              <w:t>01/15/2018</w:t>
            </w:r>
          </w:p>
        </w:tc>
        <w:tc>
          <w:tcPr>
            <w:tcW w:w="20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8"/>
              </w:rPr>
              <w:t>Oil and Gas</w:t>
            </w:r>
          </w:p>
        </w:tc>
        <w:tc>
          <w:tcPr>
            <w:tcW w:w="120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14.00%</w:t>
            </w:r>
          </w:p>
        </w:tc>
        <w:tc>
          <w:tcPr>
            <w:tcW w:w="102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37,070,637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36,441,726</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36,720,586</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4.00%)</w:t>
            </w: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Vestcom International, Inc.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86"/>
              </w:rPr>
              <w:t>06/27/2019</w:t>
            </w:r>
          </w:p>
        </w:tc>
        <w:tc>
          <w:tcPr>
            <w:tcW w:w="2020" w:type="dxa"/>
            <w:vAlign w:val="bottom"/>
          </w:tcPr>
          <w:p>
            <w:pPr>
              <w:jc w:val="center"/>
              <w:spacing w:after="0"/>
              <w:rPr>
                <w:sz w:val="20"/>
                <w:szCs w:val="20"/>
                <w:color w:val="auto"/>
              </w:rPr>
            </w:pPr>
            <w:r>
              <w:rPr>
                <w:rFonts w:ascii="Arial" w:cs="Arial" w:eastAsia="Arial" w:hAnsi="Arial"/>
                <w:sz w:val="12"/>
                <w:szCs w:val="12"/>
                <w:color w:val="auto"/>
                <w:w w:val="89"/>
              </w:rPr>
              <w:t>Printing and Publishing</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12.00%</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39,892,933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39,147,926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39,827,248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0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270,087,700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260,809,374</w:t>
            </w:r>
          </w:p>
        </w:tc>
        <w:tc>
          <w:tcPr>
            <w:tcW w:w="0" w:type="dxa"/>
            <w:vAlign w:val="bottom"/>
          </w:tcPr>
          <w:p>
            <w:pPr>
              <w:spacing w:after="0"/>
              <w:rPr>
                <w:sz w:val="1"/>
                <w:szCs w:val="1"/>
                <w:color w:val="auto"/>
              </w:rPr>
            </w:pPr>
          </w:p>
        </w:tc>
      </w:tr>
      <w:tr>
        <w:trPr>
          <w:trHeight w:val="152"/>
        </w:trPr>
        <w:tc>
          <w:tcPr>
            <w:tcW w:w="28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 —1.2% </w:t>
            </w:r>
            <w:r>
              <w:rPr>
                <w:rFonts w:ascii="Arial" w:cs="Arial" w:eastAsia="Arial" w:hAnsi="Arial"/>
                <w:sz w:val="9"/>
                <w:szCs w:val="9"/>
                <w:b w:val="1"/>
                <w:bCs w:val="1"/>
                <w:color w:val="auto"/>
              </w:rPr>
              <w:t>(6)</w:t>
            </w: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AH Holdings, Inc.</w:t>
            </w:r>
          </w:p>
        </w:tc>
        <w:tc>
          <w:tcPr>
            <w:tcW w:w="1020" w:type="dxa"/>
            <w:vAlign w:val="bottom"/>
            <w:shd w:val="clear" w:color="auto" w:fill="CCEEFF"/>
          </w:tcPr>
          <w:p>
            <w:pPr>
              <w:jc w:val="center"/>
              <w:ind w:left="82"/>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shd w:val="clear" w:color="auto" w:fill="CCEEFF"/>
          </w:tcPr>
          <w:p>
            <w:pPr>
              <w:jc w:val="right"/>
              <w:ind w:right="222"/>
              <w:spacing w:after="0" w:line="132" w:lineRule="exact"/>
              <w:rPr>
                <w:sz w:val="20"/>
                <w:szCs w:val="20"/>
                <w:color w:val="auto"/>
              </w:rPr>
            </w:pPr>
            <w:r>
              <w:rPr>
                <w:rFonts w:ascii="Arial" w:cs="Arial" w:eastAsia="Arial" w:hAnsi="Arial"/>
                <w:sz w:val="12"/>
                <w:szCs w:val="12"/>
                <w:color w:val="auto"/>
              </w:rPr>
              <w:t>6.00%</w:t>
            </w:r>
          </w:p>
        </w:tc>
        <w:tc>
          <w:tcPr>
            <w:tcW w:w="102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211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815,133</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Childcare</w:t>
            </w:r>
          </w:p>
        </w:tc>
        <w:tc>
          <w:tcPr>
            <w:tcW w:w="1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AHC Mezzanine, LLC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spacing w:after="0"/>
              <w:rPr>
                <w:sz w:val="20"/>
                <w:szCs w:val="20"/>
                <w:color w:val="auto"/>
              </w:rPr>
            </w:pPr>
            <w:r>
              <w:rPr>
                <w:rFonts w:ascii="Arial" w:cs="Arial" w:eastAsia="Arial" w:hAnsi="Arial"/>
                <w:sz w:val="12"/>
                <w:szCs w:val="12"/>
                <w:color w:val="auto"/>
                <w:w w:val="87"/>
              </w:rPr>
              <w:t>Other Media</w:t>
            </w:r>
          </w:p>
        </w:tc>
        <w:tc>
          <w:tcPr>
            <w:tcW w:w="120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7,505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318,896</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020" w:type="dxa"/>
            <w:vAlign w:val="bottom"/>
            <w:shd w:val="clear" w:color="auto" w:fill="CCEEFF"/>
          </w:tcPr>
          <w:p>
            <w:pPr>
              <w:jc w:val="center"/>
              <w:ind w:left="82"/>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1200" w:type="dxa"/>
            <w:vAlign w:val="bottom"/>
            <w:shd w:val="clear" w:color="auto" w:fill="CCEEFF"/>
          </w:tcPr>
          <w:p>
            <w:pPr>
              <w:jc w:val="right"/>
              <w:ind w:right="302"/>
              <w:spacing w:after="0" w:line="129"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949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2"/>
                <w:szCs w:val="12"/>
                <w:color w:val="auto"/>
              </w:rPr>
              <w:t>949,050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805,697</w:t>
            </w:r>
          </w:p>
        </w:tc>
        <w:tc>
          <w:tcPr>
            <w:tcW w:w="0" w:type="dxa"/>
            <w:vAlign w:val="bottom"/>
          </w:tcPr>
          <w:p>
            <w:pPr>
              <w:spacing w:after="0"/>
              <w:rPr>
                <w:sz w:val="1"/>
                <w:szCs w:val="1"/>
                <w:color w:val="auto"/>
              </w:rPr>
            </w:pPr>
          </w:p>
        </w:tc>
      </w:tr>
      <w:tr>
        <w:trPr>
          <w:trHeight w:val="141"/>
        </w:trPr>
        <w:tc>
          <w:tcPr>
            <w:tcW w:w="2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(Alegeus Technologies, LLC)</w:t>
            </w:r>
          </w:p>
        </w:tc>
        <w:tc>
          <w:tcPr>
            <w:tcW w:w="102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1020" w:type="dxa"/>
            <w:vAlign w:val="bottom"/>
          </w:tcPr>
          <w:p>
            <w:pPr>
              <w:jc w:val="center"/>
              <w:ind w:left="82"/>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2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76,357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00"/>
              <w:spacing w:after="0" w:line="129" w:lineRule="exact"/>
              <w:rPr>
                <w:sz w:val="20"/>
                <w:szCs w:val="20"/>
                <w:color w:val="auto"/>
              </w:rPr>
            </w:pPr>
            <w:r>
              <w:rPr>
                <w:rFonts w:ascii="Arial" w:cs="Arial" w:eastAsia="Arial" w:hAnsi="Arial"/>
                <w:sz w:val="12"/>
                <w:szCs w:val="12"/>
                <w:color w:val="auto"/>
              </w:rPr>
              <w:t>765,307</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1,187,410</w:t>
            </w:r>
          </w:p>
        </w:tc>
        <w:tc>
          <w:tcPr>
            <w:tcW w:w="0" w:type="dxa"/>
            <w:vAlign w:val="bottom"/>
          </w:tcPr>
          <w:p>
            <w:pPr>
              <w:spacing w:after="0"/>
              <w:rPr>
                <w:sz w:val="1"/>
                <w:szCs w:val="1"/>
                <w:color w:val="auto"/>
              </w:rPr>
            </w:pPr>
          </w:p>
        </w:tc>
      </w:tr>
      <w:tr>
        <w:trPr>
          <w:trHeight w:val="151"/>
        </w:trPr>
        <w:tc>
          <w:tcPr>
            <w:tcW w:w="2820" w:type="dxa"/>
            <w:vAlign w:val="bottom"/>
          </w:tcPr>
          <w:p>
            <w:pPr>
              <w:ind w:left="120"/>
              <w:spacing w:after="0"/>
              <w:rPr>
                <w:sz w:val="20"/>
                <w:szCs w:val="20"/>
                <w:color w:val="auto"/>
              </w:rPr>
            </w:pPr>
            <w:r>
              <w:rPr>
                <w:rFonts w:ascii="Arial" w:cs="Arial" w:eastAsia="Arial" w:hAnsi="Arial"/>
                <w:sz w:val="12"/>
                <w:szCs w:val="12"/>
                <w:color w:val="auto"/>
              </w:rPr>
              <w:t>(Interactive Health Solutions, Inc.)</w:t>
            </w:r>
          </w:p>
        </w:tc>
        <w:tc>
          <w:tcPr>
            <w:tcW w:w="10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90"/>
              </w:rPr>
              <w:t>Childcare</w:t>
            </w: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8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020" w:type="dxa"/>
            <w:vAlign w:val="bottom"/>
            <w:shd w:val="clear" w:color="auto" w:fill="CCEEFF"/>
          </w:tcPr>
          <w:p>
            <w:pPr>
              <w:jc w:val="center"/>
              <w:ind w:left="82"/>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7"/>
              </w:rPr>
              <w:t>Healthcare, Education and</w:t>
            </w:r>
          </w:p>
        </w:tc>
        <w:tc>
          <w:tcPr>
            <w:tcW w:w="1200" w:type="dxa"/>
            <w:vAlign w:val="bottom"/>
            <w:shd w:val="clear" w:color="auto" w:fill="CCEEFF"/>
          </w:tcPr>
          <w:p>
            <w:pPr>
              <w:jc w:val="right"/>
              <w:ind w:right="302"/>
              <w:spacing w:after="0" w:line="132"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38,179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2" w:lineRule="exact"/>
              <w:rPr>
                <w:sz w:val="20"/>
                <w:szCs w:val="20"/>
                <w:color w:val="auto"/>
              </w:rPr>
            </w:pPr>
            <w:r>
              <w:rPr>
                <w:rFonts w:ascii="Arial" w:cs="Arial" w:eastAsia="Arial" w:hAnsi="Arial"/>
                <w:sz w:val="12"/>
                <w:szCs w:val="12"/>
                <w:color w:val="auto"/>
              </w:rPr>
              <w:t>382,654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593,705</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(Interactive Health Solutions, Inc.)</w:t>
            </w:r>
          </w:p>
        </w:tc>
        <w:tc>
          <w:tcPr>
            <w:tcW w:w="102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Childcare</w:t>
            </w:r>
          </w:p>
        </w:tc>
        <w:tc>
          <w:tcPr>
            <w:tcW w:w="1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020" w:type="dxa"/>
            <w:vAlign w:val="bottom"/>
          </w:tcPr>
          <w:p>
            <w:pPr>
              <w:jc w:val="center"/>
              <w:ind w:left="82"/>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spacing w:after="0" w:line="129" w:lineRule="exact"/>
              <w:rPr>
                <w:sz w:val="20"/>
                <w:szCs w:val="20"/>
                <w:color w:val="auto"/>
              </w:rPr>
            </w:pPr>
            <w:r>
              <w:rPr>
                <w:rFonts w:ascii="Arial" w:cs="Arial" w:eastAsia="Arial" w:hAnsi="Arial"/>
                <w:sz w:val="12"/>
                <w:szCs w:val="12"/>
                <w:color w:val="auto"/>
                <w:w w:val="91"/>
              </w:rPr>
              <w:t>Electronics</w:t>
            </w:r>
          </w:p>
        </w:tc>
        <w:tc>
          <w:tcPr>
            <w:tcW w:w="120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2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2,375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2,375,000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2,584,106</w:t>
            </w:r>
          </w:p>
        </w:tc>
        <w:tc>
          <w:tcPr>
            <w:tcW w:w="0" w:type="dxa"/>
            <w:vAlign w:val="bottom"/>
          </w:tcPr>
          <w:p>
            <w:pPr>
              <w:spacing w:after="0"/>
              <w:rPr>
                <w:sz w:val="1"/>
                <w:szCs w:val="1"/>
                <w:color w:val="auto"/>
              </w:rPr>
            </w:pPr>
          </w:p>
        </w:tc>
      </w:tr>
      <w:tr>
        <w:trPr>
          <w:trHeight w:val="141"/>
        </w:trPr>
        <w:tc>
          <w:tcPr>
            <w:tcW w:w="2820" w:type="dxa"/>
            <w:vAlign w:val="bottom"/>
          </w:tcPr>
          <w:p>
            <w:pPr>
              <w:ind w:left="120"/>
              <w:spacing w:after="0"/>
              <w:rPr>
                <w:sz w:val="20"/>
                <w:szCs w:val="20"/>
                <w:color w:val="auto"/>
              </w:rPr>
            </w:pPr>
            <w:r>
              <w:rPr>
                <w:rFonts w:ascii="Arial" w:cs="Arial" w:eastAsia="Arial" w:hAnsi="Arial"/>
                <w:sz w:val="12"/>
                <w:szCs w:val="12"/>
                <w:color w:val="auto"/>
              </w:rPr>
              <w:t>(Convergint Technologies LLC)</w:t>
            </w:r>
          </w:p>
        </w:tc>
        <w:tc>
          <w:tcPr>
            <w:tcW w:w="10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CT Technologies Holdings, LLC</w:t>
            </w:r>
          </w:p>
        </w:tc>
        <w:tc>
          <w:tcPr>
            <w:tcW w:w="10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5"/>
              </w:rPr>
              <w:t>Business Services</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9.00%</w:t>
            </w:r>
          </w:p>
        </w:tc>
        <w:tc>
          <w:tcPr>
            <w:tcW w:w="102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326,215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326,215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326,215</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HW Topco, Inc.</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spacing w:after="0"/>
              <w:rPr>
                <w:sz w:val="20"/>
                <w:szCs w:val="20"/>
                <w:color w:val="auto"/>
              </w:rPr>
            </w:pPr>
            <w:r>
              <w:rPr>
                <w:rFonts w:ascii="Arial" w:cs="Arial" w:eastAsia="Arial" w:hAnsi="Arial"/>
                <w:sz w:val="12"/>
                <w:szCs w:val="12"/>
                <w:color w:val="auto"/>
                <w:w w:val="87"/>
              </w:rPr>
              <w:t>Other Media</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8.00%</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3,591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24,177</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35,091</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TZ Holdings, L.P., Series A</w:t>
            </w:r>
          </w:p>
        </w:tc>
        <w:tc>
          <w:tcPr>
            <w:tcW w:w="10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Insurance</w:t>
            </w:r>
          </w:p>
        </w:tc>
        <w:tc>
          <w:tcPr>
            <w:tcW w:w="120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685,820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20"/>
                <w:szCs w:val="20"/>
                <w:color w:val="auto"/>
              </w:rPr>
            </w:pPr>
            <w:r>
              <w:rPr>
                <w:rFonts w:ascii="Arial" w:cs="Arial" w:eastAsia="Arial" w:hAnsi="Arial"/>
                <w:sz w:val="12"/>
                <w:szCs w:val="12"/>
                <w:color w:val="auto"/>
              </w:rPr>
              <w:t>TZ Holdings, L.P., Series B</w:t>
            </w:r>
          </w:p>
        </w:tc>
        <w:tc>
          <w:tcPr>
            <w:tcW w:w="1020" w:type="dxa"/>
            <w:vAlign w:val="bottom"/>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spacing w:after="0"/>
              <w:rPr>
                <w:sz w:val="20"/>
                <w:szCs w:val="20"/>
                <w:color w:val="auto"/>
              </w:rPr>
            </w:pPr>
            <w:r>
              <w:rPr>
                <w:rFonts w:ascii="Arial" w:cs="Arial" w:eastAsia="Arial" w:hAnsi="Arial"/>
                <w:sz w:val="12"/>
                <w:szCs w:val="12"/>
                <w:color w:val="auto"/>
                <w:w w:val="87"/>
              </w:rPr>
              <w:t>Insurance</w:t>
            </w:r>
          </w:p>
        </w:tc>
        <w:tc>
          <w:tcPr>
            <w:tcW w:w="1200" w:type="dxa"/>
            <w:vAlign w:val="bottom"/>
          </w:tcPr>
          <w:p>
            <w:pPr>
              <w:jc w:val="right"/>
              <w:ind w:right="222"/>
              <w:spacing w:after="0"/>
              <w:rPr>
                <w:sz w:val="20"/>
                <w:szCs w:val="20"/>
                <w:color w:val="auto"/>
              </w:rPr>
            </w:pPr>
            <w:r>
              <w:rPr>
                <w:rFonts w:ascii="Arial" w:cs="Arial" w:eastAsia="Arial" w:hAnsi="Arial"/>
                <w:sz w:val="12"/>
                <w:szCs w:val="12"/>
                <w:color w:val="auto"/>
              </w:rPr>
              <w:t>6.50%</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1,312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1,312,006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862,664</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VRide Holdings, Inc.</w:t>
            </w:r>
          </w:p>
        </w:tc>
        <w:tc>
          <w:tcPr>
            <w:tcW w:w="1020" w:type="dxa"/>
            <w:vAlign w:val="bottom"/>
            <w:shd w:val="clear" w:color="auto" w:fill="CCEEFF"/>
          </w:tcPr>
          <w:p>
            <w:pPr>
              <w:jc w:val="center"/>
              <w:ind w:left="8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7"/>
              </w:rPr>
              <w:t>Personal Transportation</w:t>
            </w:r>
          </w:p>
        </w:tc>
        <w:tc>
          <w:tcPr>
            <w:tcW w:w="1200" w:type="dxa"/>
            <w:vAlign w:val="bottom"/>
            <w:shd w:val="clear" w:color="auto" w:fill="CCEEFF"/>
          </w:tcPr>
          <w:p>
            <w:pPr>
              <w:jc w:val="right"/>
              <w:ind w:right="222"/>
              <w:spacing w:after="0"/>
              <w:rPr>
                <w:sz w:val="20"/>
                <w:szCs w:val="20"/>
                <w:color w:val="auto"/>
              </w:rPr>
            </w:pPr>
            <w:r>
              <w:rPr>
                <w:rFonts w:ascii="Arial" w:cs="Arial" w:eastAsia="Arial" w:hAnsi="Arial"/>
                <w:sz w:val="12"/>
                <w:szCs w:val="12"/>
                <w:color w:val="auto"/>
              </w:rPr>
              <w:t>8.00%</w:t>
            </w:r>
          </w:p>
        </w:tc>
        <w:tc>
          <w:tcPr>
            <w:tcW w:w="102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1,824,167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1,824,167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156,029</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8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9,463,292</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8,051,870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center"/>
              <w:ind w:left="462"/>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left="462"/>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Maturity</w:t>
            </w:r>
          </w:p>
        </w:tc>
        <w:tc>
          <w:tcPr>
            <w:tcW w:w="206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2"/>
              </w:rPr>
              <w:t>Industry</w:t>
            </w:r>
          </w:p>
        </w:tc>
        <w:tc>
          <w:tcPr>
            <w:tcW w:w="7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6"/>
              </w:rPr>
              <w:t>Current</w:t>
            </w:r>
          </w:p>
        </w:tc>
        <w:tc>
          <w:tcPr>
            <w:tcW w:w="1080" w:type="dxa"/>
            <w:vAlign w:val="bottom"/>
          </w:tcPr>
          <w:p>
            <w:pPr>
              <w:jc w:val="center"/>
              <w:ind w:left="462"/>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86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720" w:type="dxa"/>
            <w:vAlign w:val="bottom"/>
          </w:tcPr>
          <w:p>
            <w:pPr>
              <w:ind w:left="280"/>
              <w:spacing w:after="0"/>
              <w:rPr>
                <w:sz w:val="20"/>
                <w:szCs w:val="20"/>
                <w:color w:val="auto"/>
              </w:rPr>
            </w:pPr>
            <w:r>
              <w:rPr>
                <w:rFonts w:ascii="Arial" w:cs="Arial" w:eastAsia="Arial" w:hAnsi="Arial"/>
                <w:sz w:val="12"/>
                <w:szCs w:val="12"/>
                <w:b w:val="1"/>
                <w:bCs w:val="1"/>
                <w:color w:val="auto"/>
                <w:w w:val="92"/>
              </w:rPr>
              <w:t>Coupon</w:t>
            </w:r>
          </w:p>
        </w:tc>
        <w:tc>
          <w:tcPr>
            <w:tcW w:w="1080" w:type="dxa"/>
            <w:vAlign w:val="bottom"/>
          </w:tcPr>
          <w:p>
            <w:pPr>
              <w:jc w:val="center"/>
              <w:ind w:left="4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320" w:type="dxa"/>
            <w:vAlign w:val="bottom"/>
          </w:tcPr>
          <w:p>
            <w:pPr>
              <w:spacing w:after="0"/>
              <w:rPr>
                <w:sz w:val="12"/>
                <w:szCs w:val="12"/>
                <w:color w:val="auto"/>
              </w:rPr>
            </w:pPr>
          </w:p>
        </w:tc>
        <w:tc>
          <w:tcPr>
            <w:tcW w:w="860" w:type="dxa"/>
            <w:vAlign w:val="bottom"/>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1"/>
              </w:rPr>
              <w:t xml:space="preserve">Common Equity/Warrants/Partnership Interests—10.1% </w:t>
            </w:r>
            <w:r>
              <w:rPr>
                <w:rFonts w:ascii="Arial" w:cs="Arial" w:eastAsia="Arial" w:hAnsi="Arial"/>
                <w:sz w:val="9"/>
                <w:szCs w:val="9"/>
                <w:b w:val="1"/>
                <w:bCs w:val="1"/>
                <w:color w:val="auto"/>
                <w:w w:val="91"/>
              </w:rPr>
              <w:t>(6)</w:t>
            </w:r>
          </w:p>
        </w:tc>
        <w:tc>
          <w:tcPr>
            <w:tcW w:w="80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(12)</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88"/>
              </w:rPr>
              <w:t>Electronics</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1,998</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2,000,000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1,572,603</w:t>
            </w: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AH Holdings, Inc. (Warrants)</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9"/>
              </w:rPr>
              <w:t>03/23/2021</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753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2,499,319</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 Class A</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62"/>
              <w:spacing w:after="0" w:line="129" w:lineRule="exact"/>
              <w:rPr>
                <w:sz w:val="20"/>
                <w:szCs w:val="20"/>
                <w:color w:val="auto"/>
              </w:rPr>
            </w:pPr>
            <w:r>
              <w:rPr>
                <w:rFonts w:ascii="Arial" w:cs="Arial" w:eastAsia="Arial" w:hAnsi="Arial"/>
                <w:sz w:val="12"/>
                <w:szCs w:val="12"/>
                <w:color w:val="auto"/>
                <w:w w:val="88"/>
              </w:rPr>
              <w:t>Financial Services</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950</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r>
        <w:trPr>
          <w:trHeight w:val="141"/>
        </w:trPr>
        <w:tc>
          <w:tcPr>
            <w:tcW w:w="304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Autumn Games, LLC</w:t>
            </w:r>
          </w:p>
        </w:tc>
        <w:tc>
          <w:tcPr>
            <w:tcW w:w="8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7"/>
              </w:rPr>
              <w:t>Broadcasting and Entertainment</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1,333,330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3,000,000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93"/>
              </w:rPr>
              <w:t>Distribution</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1,505,000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1,505,000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2,308,777</w:t>
            </w: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CI (IHS) Investment Holdings, LLC</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23,416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234,693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364,156</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(Interactive Health Solutions, Inc.)</w:t>
            </w:r>
          </w:p>
        </w:tc>
        <w:tc>
          <w:tcPr>
            <w:tcW w:w="8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11,708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117,346</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182,078</w:t>
            </w:r>
          </w:p>
        </w:tc>
        <w:tc>
          <w:tcPr>
            <w:tcW w:w="0" w:type="dxa"/>
            <w:vAlign w:val="bottom"/>
          </w:tcPr>
          <w:p>
            <w:pPr>
              <w:spacing w:after="0"/>
              <w:rPr>
                <w:sz w:val="1"/>
                <w:szCs w:val="1"/>
                <w:color w:val="auto"/>
              </w:rPr>
            </w:pPr>
          </w:p>
        </w:tc>
      </w:tr>
      <w:tr>
        <w:trPr>
          <w:trHeight w:val="151"/>
        </w:trPr>
        <w:tc>
          <w:tcPr>
            <w:tcW w:w="3040" w:type="dxa"/>
            <w:vAlign w:val="bottom"/>
          </w:tcPr>
          <w:p>
            <w:pPr>
              <w:ind w:left="120"/>
              <w:spacing w:after="0"/>
              <w:rPr>
                <w:sz w:val="20"/>
                <w:szCs w:val="20"/>
                <w:color w:val="auto"/>
              </w:rPr>
            </w:pPr>
            <w:r>
              <w:rPr>
                <w:rFonts w:ascii="Arial" w:cs="Arial" w:eastAsia="Arial" w:hAnsi="Arial"/>
                <w:sz w:val="12"/>
                <w:szCs w:val="12"/>
                <w:color w:val="auto"/>
              </w:rPr>
              <w:t>(Interactive Health Solutions, Inc.)</w:t>
            </w:r>
          </w:p>
        </w:tc>
        <w:tc>
          <w:tcPr>
            <w:tcW w:w="800" w:type="dxa"/>
            <w:vAlign w:val="bottom"/>
          </w:tcPr>
          <w:p>
            <w:pPr>
              <w:spacing w:after="0"/>
              <w:rPr>
                <w:sz w:val="13"/>
                <w:szCs w:val="13"/>
                <w:color w:val="auto"/>
              </w:rPr>
            </w:pPr>
          </w:p>
        </w:tc>
        <w:tc>
          <w:tcPr>
            <w:tcW w:w="2060" w:type="dxa"/>
            <w:vAlign w:val="bottom"/>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Convergint Technologies Holdings, LLC</w:t>
            </w:r>
          </w:p>
        </w:tc>
        <w:tc>
          <w:tcPr>
            <w:tcW w:w="800" w:type="dxa"/>
            <w:vAlign w:val="bottom"/>
            <w:shd w:val="clear" w:color="auto" w:fill="CCEEFF"/>
          </w:tcPr>
          <w:p>
            <w:pPr>
              <w:jc w:val="center"/>
              <w:ind w:right="202"/>
              <w:spacing w:after="0" w:line="132"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88"/>
              </w:rPr>
              <w:t>Electronics</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2,375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212,881</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CT Technologies Holdings, LLC</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5,556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1,918,346</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7,285,399</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HW Topco, Inc.</w:t>
            </w:r>
          </w:p>
        </w:tc>
        <w:tc>
          <w:tcPr>
            <w:tcW w:w="8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90"/>
              </w:rPr>
              <w:t>Other Media</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386,770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2,697,835</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3,400,855</w:t>
            </w: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Kadmon Holdings, LLC, Class A</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1,079,920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1,236,832</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11,085,403</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Kadmon Holdings, LLC, Class D</w:t>
            </w:r>
          </w:p>
        </w:tc>
        <w:tc>
          <w:tcPr>
            <w:tcW w:w="800" w:type="dxa"/>
            <w:vAlign w:val="bottom"/>
            <w:shd w:val="clear" w:color="auto" w:fill="CCEEFF"/>
          </w:tcPr>
          <w:p>
            <w:pPr>
              <w:jc w:val="center"/>
              <w:ind w:right="202"/>
              <w:spacing w:after="0" w:line="132"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87"/>
              </w:rPr>
              <w:t>Healthcare, Education and</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1,079,920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1,028,807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Learning Care Group (US) Inc. (Warrants)</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9"/>
              </w:rPr>
              <w:t>04/27/2020</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89"/>
              </w:rPr>
              <w:t>Education</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6,649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779,920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4,300,696</w:t>
            </w: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8"/>
              </w:rPr>
              <w:t>Oil and Gas</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1,221,932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3,057,500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7,539,320</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(Eureka Hunter Pipeline, LLC)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9"/>
              </w:rPr>
              <w:t>10/14/2013</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8"/>
              </w:rPr>
              <w:t>Oil and Gas</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122,193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105,697</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3040" w:type="dxa"/>
            <w:vAlign w:val="bottom"/>
          </w:tcPr>
          <w:p>
            <w:pPr>
              <w:ind w:left="120"/>
              <w:spacing w:after="0"/>
              <w:rPr>
                <w:sz w:val="20"/>
                <w:szCs w:val="20"/>
                <w:color w:val="auto"/>
              </w:rPr>
            </w:pPr>
            <w:r>
              <w:rPr>
                <w:rFonts w:ascii="Arial" w:cs="Arial" w:eastAsia="Arial" w:hAnsi="Arial"/>
                <w:sz w:val="12"/>
                <w:szCs w:val="12"/>
                <w:color w:val="auto"/>
              </w:rPr>
              <w:t>(Warrants) (Eureka Hunter Pipeline, LLC)</w:t>
            </w: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9"/>
              </w:rPr>
              <w:t>04/16/2016</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8"/>
              </w:rPr>
              <w:t>Oil and Gas</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122,193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182,499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205,667</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(Warrants) (Eureka Hunter Pipeline, LLC)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3"/>
              </w:rPr>
              <w:t>Distribution</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1,850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1,850,294</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1,845,784</w:t>
            </w:r>
          </w:p>
        </w:tc>
        <w:tc>
          <w:tcPr>
            <w:tcW w:w="0" w:type="dxa"/>
            <w:vAlign w:val="bottom"/>
          </w:tcPr>
          <w:p>
            <w:pPr>
              <w:spacing w:after="0"/>
              <w:rPr>
                <w:sz w:val="1"/>
                <w:szCs w:val="1"/>
                <w:color w:val="auto"/>
              </w:rPr>
            </w:pPr>
          </w:p>
        </w:tc>
      </w:tr>
      <w:tr>
        <w:trPr>
          <w:trHeight w:val="141"/>
        </w:trPr>
        <w:tc>
          <w:tcPr>
            <w:tcW w:w="3040" w:type="dxa"/>
            <w:vAlign w:val="bottom"/>
          </w:tcPr>
          <w:p>
            <w:pPr>
              <w:ind w:left="120"/>
              <w:spacing w:after="0"/>
              <w:rPr>
                <w:sz w:val="20"/>
                <w:szCs w:val="20"/>
                <w:color w:val="auto"/>
              </w:rPr>
            </w:pPr>
            <w:r>
              <w:rPr>
                <w:rFonts w:ascii="Arial" w:cs="Arial" w:eastAsia="Arial" w:hAnsi="Arial"/>
                <w:sz w:val="12"/>
                <w:szCs w:val="12"/>
                <w:color w:val="auto"/>
              </w:rPr>
              <w:t>(JF Acquisition, LLC)</w:t>
            </w: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MidOcean PPL Holdings, Corp.</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3,000,000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5,441,976</w:t>
            </w:r>
          </w:p>
        </w:tc>
        <w:tc>
          <w:tcPr>
            <w:tcW w:w="0" w:type="dxa"/>
            <w:vAlign w:val="bottom"/>
          </w:tcPr>
          <w:p>
            <w:pPr>
              <w:spacing w:after="0"/>
              <w:rPr>
                <w:sz w:val="1"/>
                <w:szCs w:val="1"/>
                <w:color w:val="auto"/>
              </w:rPr>
            </w:pPr>
          </w:p>
        </w:tc>
      </w:tr>
      <w:tr>
        <w:trPr>
          <w:trHeight w:val="155"/>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Legal Services, Inc.)</w:t>
            </w:r>
          </w:p>
        </w:tc>
        <w:tc>
          <w:tcPr>
            <w:tcW w:w="800" w:type="dxa"/>
            <w:vAlign w:val="bottom"/>
            <w:shd w:val="clear" w:color="auto" w:fill="CCEEFF"/>
          </w:tcPr>
          <w:p>
            <w:pPr>
              <w:spacing w:after="0"/>
              <w:rPr>
                <w:sz w:val="13"/>
                <w:szCs w:val="13"/>
                <w:color w:val="auto"/>
              </w:rPr>
            </w:pPr>
          </w:p>
        </w:tc>
        <w:tc>
          <w:tcPr>
            <w:tcW w:w="20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Services</w:t>
            </w: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Paradigm Acquisition Corp.</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7"/>
              </w:rPr>
              <w:t>Healthcare, Education and</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2,000,000</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3,720,481</w:t>
            </w:r>
          </w:p>
        </w:tc>
        <w:tc>
          <w:tcPr>
            <w:tcW w:w="0" w:type="dxa"/>
            <w:vAlign w:val="bottom"/>
          </w:tcPr>
          <w:p>
            <w:pPr>
              <w:spacing w:after="0"/>
              <w:rPr>
                <w:sz w:val="1"/>
                <w:szCs w:val="1"/>
                <w:color w:val="auto"/>
              </w:rPr>
            </w:pPr>
          </w:p>
        </w:tc>
      </w:tr>
      <w:tr>
        <w:trPr>
          <w:trHeight w:val="151"/>
        </w:trPr>
        <w:tc>
          <w:tcPr>
            <w:tcW w:w="3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tcPr>
          <w:p>
            <w:pPr>
              <w:jc w:val="center"/>
              <w:ind w:right="62"/>
              <w:spacing w:after="0"/>
              <w:rPr>
                <w:sz w:val="20"/>
                <w:szCs w:val="20"/>
                <w:color w:val="auto"/>
              </w:rPr>
            </w:pPr>
            <w:r>
              <w:rPr>
                <w:rFonts w:ascii="Arial" w:cs="Arial" w:eastAsia="Arial" w:hAnsi="Arial"/>
                <w:sz w:val="12"/>
                <w:szCs w:val="12"/>
                <w:color w:val="auto"/>
                <w:w w:val="90"/>
              </w:rPr>
              <w:t>Childcare</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QMG HoldCo, LLC, Class A</w:t>
            </w:r>
          </w:p>
        </w:tc>
        <w:tc>
          <w:tcPr>
            <w:tcW w:w="800" w:type="dxa"/>
            <w:vAlign w:val="bottom"/>
            <w:shd w:val="clear" w:color="auto" w:fill="CCEEFF"/>
          </w:tcPr>
          <w:p>
            <w:pPr>
              <w:jc w:val="center"/>
              <w:ind w:right="202"/>
              <w:spacing w:after="0" w:line="132"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90"/>
              </w:rPr>
              <w:t>Other Media</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4,325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1,306,167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2,073,419</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(Questex Media Group, LLC)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line="129" w:lineRule="exact"/>
              <w:rPr>
                <w:sz w:val="20"/>
                <w:szCs w:val="20"/>
                <w:color w:val="auto"/>
              </w:rPr>
            </w:pPr>
            <w:r>
              <w:rPr>
                <w:rFonts w:ascii="Arial" w:cs="Arial" w:eastAsia="Arial" w:hAnsi="Arial"/>
                <w:sz w:val="12"/>
                <w:szCs w:val="12"/>
                <w:color w:val="auto"/>
              </w:rPr>
              <w:t>QMG HoldCo, LLC, Class B</w:t>
            </w:r>
          </w:p>
        </w:tc>
        <w:tc>
          <w:tcPr>
            <w:tcW w:w="800" w:type="dxa"/>
            <w:vAlign w:val="bottom"/>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90"/>
              </w:rPr>
              <w:t>Other Media</w:t>
            </w:r>
          </w:p>
        </w:tc>
        <w:tc>
          <w:tcPr>
            <w:tcW w:w="72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line="129" w:lineRule="exact"/>
              <w:rPr>
                <w:sz w:val="20"/>
                <w:szCs w:val="20"/>
                <w:color w:val="auto"/>
              </w:rPr>
            </w:pPr>
            <w:r>
              <w:rPr>
                <w:rFonts w:ascii="Arial" w:cs="Arial" w:eastAsia="Arial" w:hAnsi="Arial"/>
                <w:sz w:val="12"/>
                <w:szCs w:val="12"/>
                <w:color w:val="auto"/>
              </w:rPr>
              <w:t>531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254,563</w:t>
            </w:r>
          </w:p>
        </w:tc>
        <w:tc>
          <w:tcPr>
            <w:tcW w:w="0" w:type="dxa"/>
            <w:vAlign w:val="bottom"/>
          </w:tcPr>
          <w:p>
            <w:pPr>
              <w:spacing w:after="0"/>
              <w:rPr>
                <w:sz w:val="1"/>
                <w:szCs w:val="1"/>
                <w:color w:val="auto"/>
              </w:rPr>
            </w:pPr>
          </w:p>
        </w:tc>
      </w:tr>
      <w:tr>
        <w:trPr>
          <w:trHeight w:val="141"/>
        </w:trPr>
        <w:tc>
          <w:tcPr>
            <w:tcW w:w="3040" w:type="dxa"/>
            <w:vAlign w:val="bottom"/>
          </w:tcPr>
          <w:p>
            <w:pPr>
              <w:ind w:left="120"/>
              <w:spacing w:after="0"/>
              <w:rPr>
                <w:sz w:val="20"/>
                <w:szCs w:val="20"/>
                <w:color w:val="auto"/>
              </w:rPr>
            </w:pPr>
            <w:r>
              <w:rPr>
                <w:rFonts w:ascii="Arial" w:cs="Arial" w:eastAsia="Arial" w:hAnsi="Arial"/>
                <w:sz w:val="12"/>
                <w:szCs w:val="12"/>
                <w:color w:val="auto"/>
              </w:rPr>
              <w:t>(Questex Media Group, LLC)</w:t>
            </w: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SPG Boyd Holdings Corp.</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62"/>
              <w:spacing w:after="0" w:line="129" w:lineRule="exact"/>
              <w:rPr>
                <w:sz w:val="20"/>
                <w:szCs w:val="20"/>
                <w:color w:val="auto"/>
              </w:rPr>
            </w:pPr>
            <w:r>
              <w:rPr>
                <w:rFonts w:ascii="Arial" w:cs="Arial" w:eastAsia="Arial" w:hAnsi="Arial"/>
                <w:sz w:val="12"/>
                <w:szCs w:val="12"/>
                <w:color w:val="auto"/>
                <w:w w:val="87"/>
              </w:rPr>
              <w:t>Chemical, Plastic and Rubber</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300,000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3,000,000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5,571,120</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(LTI Flexible Products, Inc.)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TRAK Acquisition Corp. (Warrants)</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9"/>
              </w:rPr>
              <w:t>12/29/2019</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3,500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29,400</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606,681</w:t>
            </w: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Transportation 100 Holdco, L.L.C. </w:t>
            </w:r>
            <w:r>
              <w:rPr>
                <w:rFonts w:ascii="Arial" w:cs="Arial" w:eastAsia="Arial" w:hAnsi="Arial"/>
                <w:sz w:val="9"/>
                <w:szCs w:val="9"/>
                <w:color w:val="auto"/>
              </w:rPr>
              <w:t>(13)</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6"/>
              </w:rPr>
              <w:t>Cargo Transport</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137,923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2,111,588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379,453</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(Intermediate Transportation 100, L.L.C.)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TZ Holdings, L.P.</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62"/>
              <w:spacing w:after="0"/>
              <w:rPr>
                <w:sz w:val="20"/>
                <w:szCs w:val="20"/>
                <w:color w:val="auto"/>
              </w:rPr>
            </w:pPr>
            <w:r>
              <w:rPr>
                <w:rFonts w:ascii="Arial" w:cs="Arial" w:eastAsia="Arial" w:hAnsi="Arial"/>
                <w:sz w:val="12"/>
                <w:szCs w:val="12"/>
                <w:color w:val="auto"/>
                <w:w w:val="87"/>
              </w:rPr>
              <w:t>Insurance</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9,567</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0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Vestcom Parent Holdings, Inc.</w:t>
            </w:r>
          </w:p>
        </w:tc>
        <w:tc>
          <w:tcPr>
            <w:tcW w:w="800" w:type="dxa"/>
            <w:vAlign w:val="bottom"/>
            <w:shd w:val="clear" w:color="auto" w:fill="CCEEFF"/>
          </w:tcPr>
          <w:p>
            <w:pPr>
              <w:jc w:val="center"/>
              <w:ind w:right="202"/>
              <w:spacing w:after="0" w:line="129" w:lineRule="exact"/>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62"/>
              <w:spacing w:after="0" w:line="129" w:lineRule="exact"/>
              <w:rPr>
                <w:sz w:val="20"/>
                <w:szCs w:val="20"/>
                <w:color w:val="auto"/>
              </w:rPr>
            </w:pPr>
            <w:r>
              <w:rPr>
                <w:rFonts w:ascii="Arial" w:cs="Arial" w:eastAsia="Arial" w:hAnsi="Arial"/>
                <w:sz w:val="12"/>
                <w:szCs w:val="12"/>
                <w:color w:val="auto"/>
                <w:w w:val="89"/>
              </w:rPr>
              <w:t>Printing and Publishing</w:t>
            </w: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211,797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2,325,555</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2,626,512</w:t>
            </w:r>
          </w:p>
        </w:tc>
        <w:tc>
          <w:tcPr>
            <w:tcW w:w="0" w:type="dxa"/>
            <w:vAlign w:val="bottom"/>
          </w:tcPr>
          <w:p>
            <w:pPr>
              <w:spacing w:after="0"/>
              <w:rPr>
                <w:sz w:val="1"/>
                <w:szCs w:val="1"/>
                <w:color w:val="auto"/>
              </w:rPr>
            </w:pPr>
          </w:p>
        </w:tc>
      </w:tr>
      <w:tr>
        <w:trPr>
          <w:trHeight w:val="141"/>
        </w:trPr>
        <w:tc>
          <w:tcPr>
            <w:tcW w:w="3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(Vestcom International, Inc.)</w:t>
            </w:r>
          </w:p>
        </w:tc>
        <w:tc>
          <w:tcPr>
            <w:tcW w:w="8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VRide Holdings Inc.</w:t>
            </w:r>
          </w:p>
        </w:tc>
        <w:tc>
          <w:tcPr>
            <w:tcW w:w="800" w:type="dxa"/>
            <w:vAlign w:val="bottom"/>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tcPr>
          <w:p>
            <w:pPr>
              <w:jc w:val="center"/>
              <w:ind w:right="42"/>
              <w:spacing w:after="0"/>
              <w:rPr>
                <w:sz w:val="20"/>
                <w:szCs w:val="20"/>
                <w:color w:val="auto"/>
              </w:rPr>
            </w:pPr>
            <w:r>
              <w:rPr>
                <w:rFonts w:ascii="Arial" w:cs="Arial" w:eastAsia="Arial" w:hAnsi="Arial"/>
                <w:sz w:val="12"/>
                <w:szCs w:val="12"/>
                <w:color w:val="auto"/>
                <w:w w:val="87"/>
              </w:rPr>
              <w:t>Personal Transportation</w:t>
            </w:r>
          </w:p>
        </w:tc>
        <w:tc>
          <w:tcPr>
            <w:tcW w:w="72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62"/>
              <w:spacing w:after="0"/>
              <w:rPr>
                <w:sz w:val="20"/>
                <w:szCs w:val="20"/>
                <w:color w:val="auto"/>
              </w:rPr>
            </w:pPr>
            <w:r>
              <w:rPr>
                <w:rFonts w:ascii="Arial" w:cs="Arial" w:eastAsia="Arial" w:hAnsi="Arial"/>
                <w:sz w:val="12"/>
                <w:szCs w:val="12"/>
                <w:color w:val="auto"/>
              </w:rPr>
              <w:t>9,166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9,166</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VText Holdings, Inc.</w:t>
            </w:r>
          </w:p>
        </w:tc>
        <w:tc>
          <w:tcPr>
            <w:tcW w:w="800" w:type="dxa"/>
            <w:vAlign w:val="bottom"/>
            <w:shd w:val="clear" w:color="auto" w:fill="CCEEFF"/>
          </w:tcPr>
          <w:p>
            <w:pPr>
              <w:jc w:val="center"/>
              <w:ind w:right="202"/>
              <w:spacing w:after="0"/>
              <w:rPr>
                <w:sz w:val="20"/>
                <w:szCs w:val="20"/>
                <w:color w:val="auto"/>
              </w:rPr>
            </w:pPr>
            <w:r>
              <w:rPr>
                <w:rFonts w:ascii="Arial" w:cs="Arial" w:eastAsia="Arial" w:hAnsi="Arial"/>
                <w:sz w:val="12"/>
                <w:szCs w:val="12"/>
                <w:color w:val="auto"/>
                <w:w w:val="82"/>
              </w:rPr>
              <w:t>—</w:t>
            </w:r>
          </w:p>
        </w:tc>
        <w:tc>
          <w:tcPr>
            <w:tcW w:w="206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35,526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4,050,000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5,966,074</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w w:val="99"/>
              </w:rPr>
              <w:t>Total Common Equity/Warrants/Partnership Interests</w:t>
            </w: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0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37,557,162</w:t>
            </w: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70,472,831</w:t>
            </w:r>
          </w:p>
        </w:tc>
        <w:tc>
          <w:tcPr>
            <w:tcW w:w="0" w:type="dxa"/>
            <w:vAlign w:val="bottom"/>
          </w:tcPr>
          <w:p>
            <w:pPr>
              <w:spacing w:after="0"/>
              <w:rPr>
                <w:sz w:val="1"/>
                <w:szCs w:val="1"/>
                <w:color w:val="auto"/>
              </w:rPr>
            </w:pPr>
          </w:p>
        </w:tc>
      </w:tr>
      <w:tr>
        <w:trPr>
          <w:trHeight w:val="30"/>
        </w:trPr>
        <w:tc>
          <w:tcPr>
            <w:tcW w:w="3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2"/>
              </w:rPr>
              <w:t>Total Investments in Non-Controlled, Non-Affiliated Portfolio Companies</w:t>
            </w:r>
          </w:p>
        </w:tc>
        <w:tc>
          <w:tcPr>
            <w:tcW w:w="2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92"/>
              </w:rPr>
              <w:t>928,078,589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968,471,042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Maturity</w:t>
            </w:r>
          </w:p>
        </w:tc>
        <w:tc>
          <w:tcPr>
            <w:tcW w:w="2020" w:type="dxa"/>
            <w:vAlign w:val="bottom"/>
            <w:vMerge w:val="restart"/>
          </w:tcPr>
          <w:p>
            <w:pPr>
              <w:jc w:val="center"/>
              <w:ind w:right="42"/>
              <w:spacing w:after="0"/>
              <w:rPr>
                <w:sz w:val="20"/>
                <w:szCs w:val="20"/>
                <w:color w:val="auto"/>
              </w:rPr>
            </w:pPr>
            <w:r>
              <w:rPr>
                <w:rFonts w:ascii="Arial" w:cs="Arial" w:eastAsia="Arial" w:hAnsi="Arial"/>
                <w:sz w:val="12"/>
                <w:szCs w:val="12"/>
                <w:b w:val="1"/>
                <w:bCs w:val="1"/>
                <w:color w:val="auto"/>
                <w:w w:val="92"/>
              </w:rPr>
              <w:t>Industry</w:t>
            </w:r>
          </w:p>
        </w:tc>
        <w:tc>
          <w:tcPr>
            <w:tcW w:w="1180" w:type="dxa"/>
            <w:vAlign w:val="bottom"/>
          </w:tcPr>
          <w:p>
            <w:pPr>
              <w:jc w:val="right"/>
              <w:ind w:right="482"/>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tcPr>
          <w:p>
            <w:pPr>
              <w:jc w:val="right"/>
              <w:ind w:right="26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180" w:type="dxa"/>
            <w:vAlign w:val="bottom"/>
          </w:tcPr>
          <w:p>
            <w:pPr>
              <w:jc w:val="right"/>
              <w:ind w:right="482"/>
              <w:spacing w:after="0"/>
              <w:rPr>
                <w:sz w:val="20"/>
                <w:szCs w:val="20"/>
                <w:color w:val="auto"/>
              </w:rPr>
            </w:pPr>
            <w:r>
              <w:rPr>
                <w:rFonts w:ascii="Arial" w:cs="Arial" w:eastAsia="Arial" w:hAnsi="Arial"/>
                <w:sz w:val="12"/>
                <w:szCs w:val="12"/>
                <w:b w:val="1"/>
                <w:bCs w:val="1"/>
                <w:color w:val="auto"/>
              </w:rPr>
              <w:t>Coupon</w:t>
            </w: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20" w:type="dxa"/>
            <w:vAlign w:val="bottom"/>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(3)</w:t>
            </w:r>
          </w:p>
        </w:tc>
        <w:tc>
          <w:tcPr>
            <w:tcW w:w="0" w:type="dxa"/>
            <w:vAlign w:val="bottom"/>
          </w:tcPr>
          <w:p>
            <w:pPr>
              <w:spacing w:after="0"/>
              <w:rPr>
                <w:sz w:val="1"/>
                <w:szCs w:val="1"/>
                <w:color w:val="auto"/>
              </w:rPr>
            </w:pPr>
          </w:p>
        </w:tc>
      </w:tr>
      <w:tr>
        <w:trPr>
          <w:trHeight w:val="128"/>
        </w:trPr>
        <w:tc>
          <w:tcPr>
            <w:tcW w:w="57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Affiliated Portfolio Companies—11.0% </w:t>
            </w:r>
            <w:r>
              <w:rPr>
                <w:rFonts w:ascii="Arial" w:cs="Arial" w:eastAsia="Arial" w:hAnsi="Arial"/>
                <w:sz w:val="9"/>
                <w:szCs w:val="9"/>
                <w:b w:val="1"/>
                <w:bCs w:val="1"/>
                <w:color w:val="auto"/>
              </w:rPr>
              <w:t>(1), (2)</w:t>
            </w:r>
          </w:p>
        </w:tc>
        <w:tc>
          <w:tcPr>
            <w:tcW w:w="1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Notes—5.7%</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800" w:type="dxa"/>
            <w:vAlign w:val="bottom"/>
            <w:shd w:val="clear" w:color="auto" w:fill="CCEEFF"/>
          </w:tcPr>
          <w:p>
            <w:pPr>
              <w:jc w:val="center"/>
              <w:ind w:right="62"/>
              <w:spacing w:after="0" w:line="129" w:lineRule="exact"/>
              <w:rPr>
                <w:sz w:val="20"/>
                <w:szCs w:val="20"/>
                <w:color w:val="auto"/>
              </w:rPr>
            </w:pPr>
            <w:r>
              <w:rPr>
                <w:rFonts w:ascii="Arial" w:cs="Arial" w:eastAsia="Arial" w:hAnsi="Arial"/>
                <w:sz w:val="12"/>
                <w:szCs w:val="12"/>
                <w:color w:val="auto"/>
                <w:w w:val="86"/>
              </w:rPr>
              <w:t>11/05/2019</w:t>
            </w:r>
          </w:p>
        </w:tc>
        <w:tc>
          <w:tcPr>
            <w:tcW w:w="2020" w:type="dxa"/>
            <w:vAlign w:val="bottom"/>
            <w:shd w:val="clear" w:color="auto" w:fill="CCEEFF"/>
          </w:tcPr>
          <w:p>
            <w:pPr>
              <w:jc w:val="center"/>
              <w:ind w:right="42"/>
              <w:spacing w:after="0" w:line="129" w:lineRule="exact"/>
              <w:rPr>
                <w:sz w:val="20"/>
                <w:szCs w:val="20"/>
                <w:color w:val="auto"/>
              </w:rPr>
            </w:pPr>
            <w:r>
              <w:rPr>
                <w:rFonts w:ascii="Arial" w:cs="Arial" w:eastAsia="Arial" w:hAnsi="Arial"/>
                <w:sz w:val="12"/>
                <w:szCs w:val="12"/>
                <w:color w:val="auto"/>
                <w:w w:val="86"/>
              </w:rPr>
              <w:t>Consumer Products</w:t>
            </w:r>
          </w:p>
        </w:tc>
        <w:tc>
          <w:tcPr>
            <w:tcW w:w="1180" w:type="dxa"/>
            <w:vAlign w:val="bottom"/>
            <w:shd w:val="clear" w:color="auto" w:fill="CCEEFF"/>
          </w:tcPr>
          <w:p>
            <w:pPr>
              <w:jc w:val="right"/>
              <w:ind w:right="202"/>
              <w:spacing w:after="0" w:line="129" w:lineRule="exact"/>
              <w:rPr>
                <w:sz w:val="20"/>
                <w:szCs w:val="20"/>
                <w:color w:val="auto"/>
              </w:rPr>
            </w:pPr>
            <w:r>
              <w:rPr>
                <w:rFonts w:ascii="Arial" w:cs="Arial" w:eastAsia="Arial" w:hAnsi="Arial"/>
                <w:sz w:val="12"/>
                <w:szCs w:val="12"/>
                <w:color w:val="auto"/>
              </w:rPr>
              <w:t>12.00%</w:t>
            </w:r>
          </w:p>
        </w:tc>
        <w:tc>
          <w:tcPr>
            <w:tcW w:w="104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11,428,224</w:t>
            </w:r>
          </w:p>
        </w:tc>
        <w:tc>
          <w:tcPr>
            <w:tcW w:w="2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11,428,224</w:t>
            </w:r>
          </w:p>
        </w:tc>
        <w:tc>
          <w:tcPr>
            <w:tcW w:w="2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11,428,224</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(PIK 12.00%)</w:t>
            </w: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Service Champ, Inc.</w:t>
            </w: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86"/>
              </w:rPr>
              <w:t>10/02/2017</w:t>
            </w:r>
          </w:p>
        </w:tc>
        <w:tc>
          <w:tcPr>
            <w:tcW w:w="2020" w:type="dxa"/>
            <w:vAlign w:val="bottom"/>
          </w:tcPr>
          <w:p>
            <w:pPr>
              <w:jc w:val="center"/>
              <w:ind w:right="42"/>
              <w:spacing w:after="0"/>
              <w:rPr>
                <w:sz w:val="20"/>
                <w:szCs w:val="20"/>
                <w:color w:val="auto"/>
              </w:rPr>
            </w:pPr>
            <w:r>
              <w:rPr>
                <w:rFonts w:ascii="Arial" w:cs="Arial" w:eastAsia="Arial" w:hAnsi="Arial"/>
                <w:sz w:val="12"/>
                <w:szCs w:val="12"/>
                <w:color w:val="auto"/>
                <w:w w:val="89"/>
              </w:rPr>
              <w:t>Auto Sector</w:t>
            </w:r>
          </w:p>
        </w:tc>
        <w:tc>
          <w:tcPr>
            <w:tcW w:w="1180" w:type="dxa"/>
            <w:vAlign w:val="bottom"/>
          </w:tcPr>
          <w:p>
            <w:pPr>
              <w:jc w:val="right"/>
              <w:ind w:right="202"/>
              <w:spacing w:after="0"/>
              <w:rPr>
                <w:sz w:val="20"/>
                <w:szCs w:val="20"/>
                <w:color w:val="auto"/>
              </w:rPr>
            </w:pPr>
            <w:r>
              <w:rPr>
                <w:rFonts w:ascii="Arial" w:cs="Arial" w:eastAsia="Arial" w:hAnsi="Arial"/>
                <w:sz w:val="12"/>
                <w:szCs w:val="12"/>
                <w:color w:val="auto"/>
              </w:rPr>
              <w:t>12.50%</w:t>
            </w:r>
          </w:p>
        </w:tc>
        <w:tc>
          <w:tcPr>
            <w:tcW w:w="1040" w:type="dxa"/>
            <w:vAlign w:val="bottom"/>
          </w:tcPr>
          <w:p>
            <w:pPr>
              <w:ind w:left="7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28,000,000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27,474,713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28,248,043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38,902,937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39,676,267</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 0.2% </w:t>
            </w:r>
            <w:r>
              <w:rPr>
                <w:rFonts w:ascii="Arial" w:cs="Arial" w:eastAsia="Arial" w:hAnsi="Arial"/>
                <w:sz w:val="9"/>
                <w:szCs w:val="9"/>
                <w:b w:val="1"/>
                <w:bCs w:val="1"/>
                <w:color w:val="auto"/>
              </w:rPr>
              <w:t>(6)</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PAS International Holdings, Inc.</w:t>
            </w:r>
          </w:p>
        </w:tc>
        <w:tc>
          <w:tcPr>
            <w:tcW w:w="800" w:type="dxa"/>
            <w:vAlign w:val="bottom"/>
            <w:shd w:val="clear" w:color="auto" w:fill="CCEEFF"/>
          </w:tcPr>
          <w:p>
            <w:pPr>
              <w:jc w:val="center"/>
              <w:ind w:right="62"/>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62"/>
              <w:spacing w:after="0" w:line="132" w:lineRule="exact"/>
              <w:rPr>
                <w:sz w:val="20"/>
                <w:szCs w:val="20"/>
                <w:color w:val="auto"/>
              </w:rPr>
            </w:pPr>
            <w:r>
              <w:rPr>
                <w:rFonts w:ascii="Arial" w:cs="Arial" w:eastAsia="Arial" w:hAnsi="Arial"/>
                <w:sz w:val="12"/>
                <w:szCs w:val="12"/>
                <w:color w:val="auto"/>
                <w:w w:val="86"/>
              </w:rPr>
              <w:t>Aerospace and</w:t>
            </w:r>
          </w:p>
        </w:tc>
        <w:tc>
          <w:tcPr>
            <w:tcW w:w="1180" w:type="dxa"/>
            <w:vAlign w:val="bottom"/>
            <w:shd w:val="clear" w:color="auto" w:fill="CCEEFF"/>
          </w:tcPr>
          <w:p>
            <w:pPr>
              <w:jc w:val="right"/>
              <w:ind w:right="302"/>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53,071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20,059,340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1,694,296</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4"/>
              </w:rPr>
              <w:t>Defense</w:t>
            </w:r>
          </w:p>
        </w:tc>
        <w:tc>
          <w:tcPr>
            <w:tcW w:w="1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9"/>
                <w:szCs w:val="9"/>
                <w:b w:val="1"/>
                <w:bCs w:val="1"/>
                <w:color w:val="auto"/>
              </w:rPr>
              <w:t>(6)</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DirectBuy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6"/>
              </w:rPr>
              <w:t>Consumer Products</w:t>
            </w:r>
          </w:p>
        </w:tc>
        <w:tc>
          <w:tcPr>
            <w:tcW w:w="118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104,719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21,492,822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5,556,207</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DirectBuy Holdings, Inc. (Warrants)</w:t>
            </w: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86"/>
              </w:rPr>
              <w:t>11/05/2022</w:t>
            </w:r>
          </w:p>
        </w:tc>
        <w:tc>
          <w:tcPr>
            <w:tcW w:w="2020" w:type="dxa"/>
            <w:vAlign w:val="bottom"/>
          </w:tcPr>
          <w:p>
            <w:pPr>
              <w:jc w:val="center"/>
              <w:ind w:right="42"/>
              <w:spacing w:after="0"/>
              <w:rPr>
                <w:sz w:val="20"/>
                <w:szCs w:val="20"/>
                <w:color w:val="auto"/>
              </w:rPr>
            </w:pPr>
            <w:r>
              <w:rPr>
                <w:rFonts w:ascii="Arial" w:cs="Arial" w:eastAsia="Arial" w:hAnsi="Arial"/>
                <w:sz w:val="12"/>
                <w:szCs w:val="12"/>
                <w:color w:val="auto"/>
                <w:w w:val="86"/>
              </w:rPr>
              <w:t>Consumer Products</w:t>
            </w:r>
          </w:p>
        </w:tc>
        <w:tc>
          <w:tcPr>
            <w:tcW w:w="11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tcPr>
          <w:p>
            <w:pPr>
              <w:ind w:left="7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15,486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821,505</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EnviroSolutions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8"/>
              </w:rPr>
              <w:t>Environmental Services</w:t>
            </w:r>
          </w:p>
        </w:tc>
        <w:tc>
          <w:tcPr>
            <w:tcW w:w="118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142,684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11,891,822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21,265,345</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00" w:type="dxa"/>
            <w:vAlign w:val="bottom"/>
          </w:tcPr>
          <w:p>
            <w:pPr>
              <w:jc w:val="center"/>
              <w:ind w:right="62"/>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8"/>
              </w:rPr>
              <w:t>Leisure, Amusement,</w:t>
            </w:r>
          </w:p>
        </w:tc>
        <w:tc>
          <w:tcPr>
            <w:tcW w:w="1180" w:type="dxa"/>
            <w:vAlign w:val="bottom"/>
          </w:tcPr>
          <w:p>
            <w:pPr>
              <w:jc w:val="right"/>
              <w:ind w:right="302"/>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375,000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3,750,000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2,500,165</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jc w:val="center"/>
              <w:ind w:right="42"/>
              <w:spacing w:after="0"/>
              <w:rPr>
                <w:sz w:val="20"/>
                <w:szCs w:val="20"/>
                <w:color w:val="auto"/>
              </w:rPr>
            </w:pPr>
            <w:r>
              <w:rPr>
                <w:rFonts w:ascii="Arial" w:cs="Arial" w:eastAsia="Arial" w:hAnsi="Arial"/>
                <w:sz w:val="12"/>
                <w:szCs w:val="12"/>
                <w:color w:val="auto"/>
                <w:w w:val="89"/>
              </w:rPr>
              <w:t>Motion Pictures and Entertainment</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800" w:type="dxa"/>
            <w:vAlign w:val="bottom"/>
            <w:shd w:val="clear" w:color="auto" w:fill="CCEEFF"/>
          </w:tcPr>
          <w:p>
            <w:pPr>
              <w:jc w:val="center"/>
              <w:ind w:right="62"/>
              <w:spacing w:after="0" w:line="132" w:lineRule="exact"/>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89"/>
              </w:rPr>
              <w:t>Auto Sector</w:t>
            </w:r>
          </w:p>
        </w:tc>
        <w:tc>
          <w:tcPr>
            <w:tcW w:w="1180" w:type="dxa"/>
            <w:vAlign w:val="bottom"/>
            <w:shd w:val="clear" w:color="auto" w:fill="CCEEFF"/>
          </w:tcPr>
          <w:p>
            <w:pPr>
              <w:jc w:val="right"/>
              <w:ind w:right="302"/>
              <w:spacing w:after="0" w:line="132"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16,800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2,721,600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5,222,015</w:t>
            </w:r>
          </w:p>
        </w:tc>
        <w:tc>
          <w:tcPr>
            <w:tcW w:w="0" w:type="dxa"/>
            <w:vAlign w:val="bottom"/>
          </w:tcPr>
          <w:p>
            <w:pPr>
              <w:spacing w:after="0"/>
              <w:rPr>
                <w:sz w:val="1"/>
                <w:szCs w:val="1"/>
                <w:color w:val="auto"/>
              </w:rPr>
            </w:pPr>
          </w:p>
        </w:tc>
      </w:tr>
      <w:tr>
        <w:trPr>
          <w:trHeight w:val="141"/>
        </w:trPr>
        <w:tc>
          <w:tcPr>
            <w:tcW w:w="2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PAS International Holdings, Inc.</w:t>
            </w: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62"/>
              <w:spacing w:after="0"/>
              <w:rPr>
                <w:sz w:val="20"/>
                <w:szCs w:val="20"/>
                <w:color w:val="auto"/>
              </w:rPr>
            </w:pPr>
            <w:r>
              <w:rPr>
                <w:rFonts w:ascii="Arial" w:cs="Arial" w:eastAsia="Arial" w:hAnsi="Arial"/>
                <w:sz w:val="12"/>
                <w:szCs w:val="12"/>
                <w:color w:val="auto"/>
                <w:w w:val="85"/>
              </w:rPr>
              <w:t>Aerospace and Defense</w:t>
            </w:r>
          </w:p>
        </w:tc>
        <w:tc>
          <w:tcPr>
            <w:tcW w:w="11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tcPr>
          <w:p>
            <w:pPr>
              <w:ind w:left="7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53,071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202,620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Common Equity/Partnership Interest</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40,058,864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35,365,237</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Total Investments in Non-Controlled, Affiliated Portfolio Companies</w:t>
            </w: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99,021,141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76,735,800</w:t>
            </w:r>
          </w:p>
        </w:tc>
        <w:tc>
          <w:tcPr>
            <w:tcW w:w="0" w:type="dxa"/>
            <w:vAlign w:val="bottom"/>
          </w:tcPr>
          <w:p>
            <w:pPr>
              <w:spacing w:after="0"/>
              <w:rPr>
                <w:sz w:val="1"/>
                <w:szCs w:val="1"/>
                <w:color w:val="auto"/>
              </w:rPr>
            </w:pPr>
          </w:p>
        </w:tc>
      </w:tr>
      <w:tr>
        <w:trPr>
          <w:trHeight w:val="148"/>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w w:val="93"/>
              </w:rPr>
              <w:t xml:space="preserve">Investments in Controlled, Affiliated Portfolio Companies—4.7% </w:t>
            </w:r>
            <w:r>
              <w:rPr>
                <w:rFonts w:ascii="Arial" w:cs="Arial" w:eastAsia="Arial" w:hAnsi="Arial"/>
                <w:sz w:val="9"/>
                <w:szCs w:val="9"/>
                <w:b w:val="1"/>
                <w:bCs w:val="1"/>
                <w:color w:val="auto"/>
                <w:w w:val="93"/>
              </w:rPr>
              <w:t>(1), (2)</w:t>
            </w: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b w:val="1"/>
                <w:bCs w:val="1"/>
                <w:color w:val="auto"/>
              </w:rPr>
              <w:t>First Lien Secured Debt—1.6%</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6"/>
              </w:rPr>
              <w:t>06/30/2020</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1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9,250,000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9,556,385</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Universal Pegasus International, LLC </w:t>
            </w:r>
            <w:r>
              <w:rPr>
                <w:rFonts w:ascii="Arial" w:cs="Arial" w:eastAsia="Arial" w:hAnsi="Arial"/>
                <w:sz w:val="9"/>
                <w:szCs w:val="9"/>
                <w:color w:val="auto"/>
              </w:rPr>
              <w:t>(9)</w:t>
            </w: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86"/>
              </w:rPr>
              <w:t>12/31/2015</w:t>
            </w:r>
          </w:p>
        </w:tc>
        <w:tc>
          <w:tcPr>
            <w:tcW w:w="2020" w:type="dxa"/>
            <w:vAlign w:val="bottom"/>
          </w:tcPr>
          <w:p>
            <w:pPr>
              <w:jc w:val="center"/>
              <w:ind w:right="42"/>
              <w:spacing w:after="0"/>
              <w:rPr>
                <w:sz w:val="20"/>
                <w:szCs w:val="20"/>
                <w:color w:val="auto"/>
              </w:rPr>
            </w:pPr>
            <w:r>
              <w:rPr>
                <w:rFonts w:ascii="Arial" w:cs="Arial" w:eastAsia="Arial" w:hAnsi="Arial"/>
                <w:sz w:val="12"/>
                <w:szCs w:val="12"/>
                <w:color w:val="auto"/>
                <w:w w:val="88"/>
              </w:rPr>
              <w:t>Oil and Gas</w:t>
            </w:r>
          </w:p>
        </w:tc>
        <w:tc>
          <w:tcPr>
            <w:tcW w:w="1180" w:type="dxa"/>
            <w:vAlign w:val="bottom"/>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tcPr>
          <w:p>
            <w:pPr>
              <w:ind w:left="7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rPr>
                <w:sz w:val="20"/>
                <w:szCs w:val="20"/>
                <w:color w:val="auto"/>
              </w:rPr>
            </w:pPr>
            <w:r>
              <w:rPr>
                <w:rFonts w:ascii="Arial" w:cs="Arial" w:eastAsia="Arial" w:hAnsi="Arial"/>
                <w:sz w:val="12"/>
                <w:szCs w:val="12"/>
                <w:color w:val="auto"/>
              </w:rPr>
              <w:t>1,916,667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1,787,941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1,916,667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First Lien Secured Debt</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11,037,941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11,473,052</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Second Lien Secured Debt—2.4%</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2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Universal Pegasus International, LLC</w:t>
            </w:r>
          </w:p>
        </w:tc>
        <w:tc>
          <w:tcPr>
            <w:tcW w:w="800" w:type="dxa"/>
            <w:vAlign w:val="bottom"/>
            <w:shd w:val="clear" w:color="auto" w:fill="CCEEFF"/>
          </w:tcPr>
          <w:p>
            <w:pPr>
              <w:jc w:val="center"/>
              <w:ind w:right="62"/>
              <w:spacing w:after="0" w:line="132" w:lineRule="exact"/>
              <w:rPr>
                <w:sz w:val="20"/>
                <w:szCs w:val="20"/>
                <w:color w:val="auto"/>
              </w:rPr>
            </w:pPr>
            <w:r>
              <w:rPr>
                <w:rFonts w:ascii="Arial" w:cs="Arial" w:eastAsia="Arial" w:hAnsi="Arial"/>
                <w:sz w:val="12"/>
                <w:szCs w:val="12"/>
                <w:color w:val="auto"/>
                <w:w w:val="86"/>
              </w:rPr>
              <w:t>12/31/2015</w:t>
            </w:r>
          </w:p>
        </w:tc>
        <w:tc>
          <w:tcPr>
            <w:tcW w:w="2020" w:type="dxa"/>
            <w:vAlign w:val="bottom"/>
            <w:shd w:val="clear" w:color="auto" w:fill="CCEEFF"/>
          </w:tcPr>
          <w:p>
            <w:pPr>
              <w:jc w:val="center"/>
              <w:ind w:right="42"/>
              <w:spacing w:after="0" w:line="132" w:lineRule="exact"/>
              <w:rPr>
                <w:sz w:val="20"/>
                <w:szCs w:val="20"/>
                <w:color w:val="auto"/>
              </w:rPr>
            </w:pPr>
            <w:r>
              <w:rPr>
                <w:rFonts w:ascii="Arial" w:cs="Arial" w:eastAsia="Arial" w:hAnsi="Arial"/>
                <w:sz w:val="12"/>
                <w:szCs w:val="12"/>
                <w:color w:val="auto"/>
                <w:w w:val="88"/>
              </w:rPr>
              <w:t>Oil and Gas</w:t>
            </w:r>
          </w:p>
        </w:tc>
        <w:tc>
          <w:tcPr>
            <w:tcW w:w="1180" w:type="dxa"/>
            <w:vAlign w:val="bottom"/>
            <w:shd w:val="clear" w:color="auto" w:fill="CCEEFF"/>
          </w:tcPr>
          <w:p>
            <w:pPr>
              <w:jc w:val="right"/>
              <w:ind w:right="202"/>
              <w:spacing w:after="0" w:line="132" w:lineRule="exact"/>
              <w:rPr>
                <w:sz w:val="20"/>
                <w:szCs w:val="20"/>
                <w:color w:val="auto"/>
              </w:rPr>
            </w:pPr>
            <w:r>
              <w:rPr>
                <w:rFonts w:ascii="Arial" w:cs="Arial" w:eastAsia="Arial" w:hAnsi="Arial"/>
                <w:sz w:val="12"/>
                <w:szCs w:val="12"/>
                <w:color w:val="auto"/>
              </w:rPr>
              <w:t>15.00%</w:t>
            </w:r>
          </w:p>
        </w:tc>
        <w:tc>
          <w:tcPr>
            <w:tcW w:w="104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line="132" w:lineRule="exact"/>
              <w:rPr>
                <w:sz w:val="20"/>
                <w:szCs w:val="20"/>
                <w:color w:val="auto"/>
              </w:rPr>
            </w:pPr>
            <w:r>
              <w:rPr>
                <w:rFonts w:ascii="Arial" w:cs="Arial" w:eastAsia="Arial" w:hAnsi="Arial"/>
                <w:sz w:val="12"/>
                <w:szCs w:val="12"/>
                <w:color w:val="auto"/>
              </w:rPr>
              <w:t>16,615,645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14,709,502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16,449,489</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rPr>
              <w:t>(PIK 15.00%)</w:t>
            </w: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Notes—0.3%</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6"/>
              </w:rPr>
              <w:t>06/30/2020</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1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2,250,000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2,250,000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1,961,667</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rPr>
              <w:t>14.00%</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2,000,000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1,981,948</w:t>
            </w: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Arial" w:cs="Arial" w:eastAsia="Arial" w:hAnsi="Arial"/>
                <w:sz w:val="12"/>
                <w:szCs w:val="12"/>
                <w:color w:val="auto"/>
              </w:rPr>
              <w:t>Universal Pegasus International Holdings, Inc.</w:t>
            </w:r>
          </w:p>
        </w:tc>
        <w:tc>
          <w:tcPr>
            <w:tcW w:w="800" w:type="dxa"/>
            <w:vAlign w:val="bottom"/>
          </w:tcPr>
          <w:p>
            <w:pPr>
              <w:jc w:val="center"/>
              <w:ind w:right="62"/>
              <w:spacing w:after="0" w:line="129" w:lineRule="exact"/>
              <w:rPr>
                <w:sz w:val="20"/>
                <w:szCs w:val="20"/>
                <w:color w:val="auto"/>
              </w:rPr>
            </w:pPr>
            <w:r>
              <w:rPr>
                <w:rFonts w:ascii="Arial" w:cs="Arial" w:eastAsia="Arial" w:hAnsi="Arial"/>
                <w:sz w:val="12"/>
                <w:szCs w:val="12"/>
                <w:color w:val="auto"/>
                <w:w w:val="99"/>
              </w:rPr>
              <w:t>—</w:t>
            </w:r>
          </w:p>
        </w:tc>
        <w:tc>
          <w:tcPr>
            <w:tcW w:w="2020" w:type="dxa"/>
            <w:vAlign w:val="bottom"/>
          </w:tcPr>
          <w:p>
            <w:pPr>
              <w:jc w:val="center"/>
              <w:ind w:right="42"/>
              <w:spacing w:after="0" w:line="129" w:lineRule="exact"/>
              <w:rPr>
                <w:sz w:val="20"/>
                <w:szCs w:val="20"/>
                <w:color w:val="auto"/>
              </w:rPr>
            </w:pPr>
            <w:r>
              <w:rPr>
                <w:rFonts w:ascii="Arial" w:cs="Arial" w:eastAsia="Arial" w:hAnsi="Arial"/>
                <w:sz w:val="12"/>
                <w:szCs w:val="12"/>
                <w:color w:val="auto"/>
                <w:w w:val="88"/>
              </w:rPr>
              <w:t>Oil and Gas</w:t>
            </w:r>
          </w:p>
        </w:tc>
        <w:tc>
          <w:tcPr>
            <w:tcW w:w="1180" w:type="dxa"/>
            <w:vAlign w:val="bottom"/>
          </w:tcPr>
          <w:p>
            <w:pPr>
              <w:jc w:val="right"/>
              <w:ind w:right="202"/>
              <w:spacing w:after="0" w:line="129" w:lineRule="exact"/>
              <w:rPr>
                <w:sz w:val="20"/>
                <w:szCs w:val="20"/>
                <w:color w:val="auto"/>
              </w:rPr>
            </w:pPr>
            <w:r>
              <w:rPr>
                <w:rFonts w:ascii="Arial" w:cs="Arial" w:eastAsia="Arial" w:hAnsi="Arial"/>
                <w:sz w:val="12"/>
                <w:szCs w:val="12"/>
                <w:color w:val="auto"/>
              </w:rPr>
              <w:t>8.00%</w:t>
            </w:r>
          </w:p>
        </w:tc>
        <w:tc>
          <w:tcPr>
            <w:tcW w:w="104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42"/>
              <w:spacing w:after="0" w:line="129" w:lineRule="exact"/>
              <w:rPr>
                <w:sz w:val="20"/>
                <w:szCs w:val="20"/>
                <w:color w:val="auto"/>
              </w:rPr>
            </w:pPr>
            <w:r>
              <w:rPr>
                <w:rFonts w:ascii="Arial" w:cs="Arial" w:eastAsia="Arial" w:hAnsi="Arial"/>
                <w:sz w:val="12"/>
                <w:szCs w:val="12"/>
                <w:color w:val="auto"/>
              </w:rPr>
              <w:t>376,988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34,420,612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1,102,555</w:t>
            </w:r>
          </w:p>
        </w:tc>
        <w:tc>
          <w:tcPr>
            <w:tcW w:w="0" w:type="dxa"/>
            <w:vAlign w:val="bottom"/>
          </w:tcPr>
          <w:p>
            <w:pPr>
              <w:spacing w:after="0"/>
              <w:rPr>
                <w:sz w:val="1"/>
                <w:szCs w:val="1"/>
                <w:color w:val="auto"/>
              </w:rPr>
            </w:pPr>
          </w:p>
        </w:tc>
      </w:tr>
      <w:tr>
        <w:trPr>
          <w:trHeight w:val="148"/>
        </w:trPr>
        <w:tc>
          <w:tcPr>
            <w:tcW w:w="2920" w:type="dxa"/>
            <w:vAlign w:val="bottom"/>
          </w:tcPr>
          <w:p>
            <w:pPr>
              <w:ind w:left="120"/>
              <w:spacing w:after="0"/>
              <w:rPr>
                <w:sz w:val="20"/>
                <w:szCs w:val="20"/>
                <w:color w:val="auto"/>
              </w:rPr>
            </w:pPr>
            <w:r>
              <w:rPr>
                <w:rFonts w:ascii="Arial" w:cs="Arial" w:eastAsia="Arial" w:hAnsi="Arial"/>
                <w:sz w:val="12"/>
                <w:szCs w:val="12"/>
                <w:color w:val="auto"/>
              </w:rPr>
              <w:t>(Universal Pegasus International, LLC)</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Preferred Equity</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36,420,612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3,084,503</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Common Equity—0.0% </w:t>
            </w:r>
            <w:r>
              <w:rPr>
                <w:rFonts w:ascii="Arial" w:cs="Arial" w:eastAsia="Arial" w:hAnsi="Arial"/>
                <w:sz w:val="9"/>
                <w:szCs w:val="9"/>
                <w:b w:val="1"/>
                <w:bCs w:val="1"/>
                <w:color w:val="auto"/>
              </w:rPr>
              <w:t>(6)</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SuttonPark Holdings, Inc.</w:t>
            </w:r>
          </w:p>
        </w:tc>
        <w:tc>
          <w:tcPr>
            <w:tcW w:w="80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99"/>
              </w:rPr>
              <w:t>—</w:t>
            </w:r>
          </w:p>
        </w:tc>
        <w:tc>
          <w:tcPr>
            <w:tcW w:w="2020" w:type="dxa"/>
            <w:vAlign w:val="bottom"/>
            <w:shd w:val="clear" w:color="auto" w:fill="CCEEFF"/>
          </w:tcPr>
          <w:p>
            <w:pPr>
              <w:jc w:val="center"/>
              <w:ind w:right="42"/>
              <w:spacing w:after="0"/>
              <w:rPr>
                <w:sz w:val="20"/>
                <w:szCs w:val="20"/>
                <w:color w:val="auto"/>
              </w:rPr>
            </w:pPr>
            <w:r>
              <w:rPr>
                <w:rFonts w:ascii="Arial" w:cs="Arial" w:eastAsia="Arial" w:hAnsi="Arial"/>
                <w:sz w:val="12"/>
                <w:szCs w:val="12"/>
                <w:color w:val="auto"/>
                <w:w w:val="85"/>
              </w:rPr>
              <w:t>Business Services</w:t>
            </w:r>
          </w:p>
        </w:tc>
        <w:tc>
          <w:tcPr>
            <w:tcW w:w="1180" w:type="dxa"/>
            <w:vAlign w:val="bottom"/>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20" w:type="dxa"/>
            <w:vAlign w:val="bottom"/>
            <w:gridSpan w:val="2"/>
            <w:vMerge w:val="continue"/>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64,418,155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32,968,711</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Investments—154.6%</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1,091,517,885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1,078,175,553</w:t>
            </w:r>
          </w:p>
        </w:tc>
        <w:tc>
          <w:tcPr>
            <w:tcW w:w="0" w:type="dxa"/>
            <w:vAlign w:val="bottom"/>
          </w:tcPr>
          <w:p>
            <w:pPr>
              <w:spacing w:after="0"/>
              <w:rPr>
                <w:sz w:val="1"/>
                <w:szCs w:val="1"/>
                <w:color w:val="auto"/>
              </w:rPr>
            </w:pPr>
          </w:p>
        </w:tc>
      </w:tr>
      <w:tr>
        <w:trPr>
          <w:trHeight w:val="152"/>
        </w:trPr>
        <w:tc>
          <w:tcPr>
            <w:tcW w:w="2920" w:type="dxa"/>
            <w:vAlign w:val="bottom"/>
          </w:tcPr>
          <w:p>
            <w:pPr>
              <w:spacing w:after="0"/>
              <w:rPr>
                <w:sz w:val="20"/>
                <w:szCs w:val="20"/>
                <w:color w:val="auto"/>
              </w:rPr>
            </w:pPr>
            <w:r>
              <w:rPr>
                <w:rFonts w:ascii="Arial" w:cs="Arial" w:eastAsia="Arial" w:hAnsi="Arial"/>
                <w:sz w:val="12"/>
                <w:szCs w:val="12"/>
                <w:b w:val="1"/>
                <w:bCs w:val="1"/>
                <w:color w:val="auto"/>
              </w:rPr>
              <w:t>Cash and Cash Equivalents—8.4%</w:t>
            </w: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2,667,511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2,667,511</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w w:val="91"/>
              </w:rPr>
              <w:t>BlackRock Liquidity Funds, Temp Cash, Institutional Shares</w:t>
            </w: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2,446,232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2,446,232</w:t>
            </w:r>
          </w:p>
        </w:tc>
        <w:tc>
          <w:tcPr>
            <w:tcW w:w="0" w:type="dxa"/>
            <w:vAlign w:val="bottom"/>
          </w:tcPr>
          <w:p>
            <w:pPr>
              <w:spacing w:after="0"/>
              <w:rPr>
                <w:sz w:val="1"/>
                <w:szCs w:val="1"/>
                <w:color w:val="auto"/>
              </w:rPr>
            </w:pPr>
          </w:p>
        </w:tc>
      </w:tr>
      <w:tr>
        <w:trPr>
          <w:trHeight w:val="149"/>
        </w:trPr>
        <w:tc>
          <w:tcPr>
            <w:tcW w:w="2920" w:type="dxa"/>
            <w:vAlign w:val="bottom"/>
            <w:shd w:val="clear" w:color="auto" w:fill="CCEEFF"/>
          </w:tcPr>
          <w:p>
            <w:pPr>
              <w:spacing w:after="0"/>
              <w:rPr>
                <w:sz w:val="20"/>
                <w:szCs w:val="20"/>
                <w:color w:val="auto"/>
              </w:rPr>
            </w:pPr>
            <w:r>
              <w:rPr>
                <w:rFonts w:ascii="Arial" w:cs="Arial" w:eastAsia="Arial" w:hAnsi="Arial"/>
                <w:sz w:val="12"/>
                <w:szCs w:val="12"/>
                <w:color w:val="auto"/>
              </w:rPr>
              <w:t>BNY Mellon Cash Reserve</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53,327,086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53,327,086</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2"/>
                <w:szCs w:val="12"/>
                <w:b w:val="1"/>
                <w:bCs w:val="1"/>
                <w:color w:val="auto"/>
              </w:rPr>
              <w:t>Total Cash Equivalents</w:t>
            </w: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58,440,829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58,440,829</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Investments and Cash Equivalents—163.0%</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1,149,958,714</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1,136,616,382</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Assets—(63.0%)</w:t>
            </w: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(439,110,183)</w:t>
            </w:r>
          </w:p>
        </w:tc>
        <w:tc>
          <w:tcPr>
            <w:tcW w:w="0" w:type="dxa"/>
            <w:vAlign w:val="bottom"/>
          </w:tcPr>
          <w:p>
            <w:pPr>
              <w:spacing w:after="0"/>
              <w:rPr>
                <w:sz w:val="1"/>
                <w:szCs w:val="1"/>
                <w:color w:val="auto"/>
              </w:rPr>
            </w:pPr>
          </w:p>
        </w:tc>
      </w:tr>
      <w:tr>
        <w:trPr>
          <w:trHeight w:val="148"/>
        </w:trPr>
        <w:tc>
          <w:tcPr>
            <w:tcW w:w="2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Assets—100.0%</w:t>
            </w: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697,506,199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6" w:lineRule="exact"/>
        <w:rPr>
          <w:sz w:val="20"/>
          <w:szCs w:val="20"/>
          <w:color w:val="auto"/>
        </w:rPr>
      </w:pPr>
    </w:p>
    <w:p>
      <w:pPr>
        <w:ind w:left="340" w:hanging="332"/>
        <w:spacing w:after="0" w:line="252"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20" w:lineRule="exact"/>
        <w:rPr>
          <w:rFonts w:ascii="Arial" w:cs="Arial" w:eastAsia="Arial" w:hAnsi="Arial"/>
          <w:sz w:val="12"/>
          <w:szCs w:val="12"/>
          <w:color w:val="auto"/>
        </w:rPr>
      </w:pPr>
    </w:p>
    <w:p>
      <w:pPr>
        <w:ind w:left="340" w:right="20" w:hanging="332"/>
        <w:spacing w:after="0" w:line="252"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spacing w:after="0" w:line="20"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49" w:lineRule="exact"/>
        <w:rPr>
          <w:rFonts w:ascii="Arial" w:cs="Arial" w:eastAsia="Arial" w:hAnsi="Arial"/>
          <w:sz w:val="11"/>
          <w:szCs w:val="11"/>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subject to a LIBOR or Prime rate floor.</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the purchase of a security with delayed settlement (unfunded investments). This security does not have a basis point spread above an index.</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CI (Galls) Prime Investment Holdings, LLC, a consolidated subsidiary.</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Acentia LLC, a consolidated subsidiary.</w:t>
      </w:r>
    </w:p>
    <w:p>
      <w:pPr>
        <w:spacing w:after="0" w:line="37"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PNNT Transportation 100 Holdco, L.L.C., a consolidated subsidiary.</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80"/>
          </w:cols>
          <w:pgMar w:left="32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7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9"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780" w:right="10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780" w:right="2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67" w:lineRule="exact"/>
        <w:rPr>
          <w:sz w:val="20"/>
          <w:szCs w:val="20"/>
          <w:color w:val="auto"/>
        </w:rPr>
      </w:pPr>
    </w:p>
    <w:p>
      <w:pPr>
        <w:ind w:right="16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4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may elect to retain a portion of our calendar year income.</w:t>
      </w:r>
    </w:p>
    <w:p>
      <w:pPr>
        <w:spacing w:after="0" w:line="76"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w:t>
      </w:r>
    </w:p>
    <w:p>
      <w:pPr>
        <w:spacing w:after="0" w:line="7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40" w:firstLine="562"/>
        <w:spacing w:after="0" w:line="227" w:lineRule="auto"/>
        <w:rPr>
          <w:sz w:val="20"/>
          <w:szCs w:val="20"/>
          <w:color w:val="auto"/>
        </w:rPr>
      </w:pPr>
      <w:r>
        <w:rPr>
          <w:rFonts w:ascii="Arial" w:cs="Arial" w:eastAsia="Arial" w:hAnsi="Arial"/>
          <w:sz w:val="14"/>
          <w:szCs w:val="14"/>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2014, the Investment Adviser earned base management fees of $6.0 million and $11.8 million, respectively, from us. For the three and six months ended March 31, 2013, the Investment Adviser earned base management fees of $5.3 million and $10.5 million, respectively, from us.</w:t>
      </w:r>
    </w:p>
    <w:p>
      <w:pPr>
        <w:spacing w:after="0" w:line="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and foreign currencies,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six months ended March 31, 2014, the Investment Adviser earned an incentive fee on net investment income as calculated under the Investment Management Agreement of $5.0 million and $9.5 million, respectively, from us. For the three and six months ended March 31, 2013, the Investment Adviser earned an incentive fee on net investment income as calculated under the Investment Management Agreement of $3.6 million and $8.1 million, respectively, from us.</w:t>
      </w:r>
    </w:p>
    <w:p>
      <w:pPr>
        <w:spacing w:after="0" w:line="74" w:lineRule="exact"/>
        <w:rPr>
          <w:sz w:val="20"/>
          <w:szCs w:val="20"/>
          <w:color w:val="auto"/>
        </w:rPr>
      </w:pPr>
    </w:p>
    <w:p>
      <w:pPr>
        <w:ind w:right="160" w:firstLine="562"/>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six months ended March 31, 2014 and 2013, the Investment Adviser did not earn an incentive fee on capital gains as calculated under the Investment Management Agreement (as described above).</w:t>
      </w:r>
    </w:p>
    <w:p>
      <w:pPr>
        <w:spacing w:after="0" w:line="51"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six months ended March 31, 2014 and 2013, the Investment Adviser did not accrue an incentive fee on capital gains as calculated under GAAP.</w:t>
      </w:r>
    </w:p>
    <w:p>
      <w:pPr>
        <w:spacing w:after="0" w:line="78" w:lineRule="exact"/>
        <w:rPr>
          <w:sz w:val="20"/>
          <w:szCs w:val="20"/>
          <w:color w:val="auto"/>
        </w:rPr>
      </w:pPr>
    </w:p>
    <w:p>
      <w:pPr>
        <w:ind w:right="80" w:firstLine="562"/>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six months ended March 31, 2014, the Investment Adviser was reimbursed $1.5 million and $2.0 million, respectively, from us, including expenses incurred on behalf of the Administrator, for the services described above. For the three and six months ended March 31, 2013, the Investment Adviser was reimbursed $1.5 million and $2.0 million, respectively, from us, including expenses incurred on behalf of the Administrator, for the services described above.</w:t>
      </w:r>
    </w:p>
    <w:p>
      <w:pPr>
        <w:spacing w:after="0" w:line="77"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six months ended March 31, 2014, PennantPark Investment was reimbursed $0.2 million and $0.3 million, respectively, for the services described above. For the three and six months ended March 31, 2013, PennantPark Investment was reimbursed $0.1 million and $0.2 million, respectively, for the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right="140" w:firstLine="562"/>
        <w:spacing w:after="0" w:line="264" w:lineRule="auto"/>
        <w:rPr>
          <w:sz w:val="20"/>
          <w:szCs w:val="20"/>
          <w:color w:val="auto"/>
        </w:rPr>
      </w:pPr>
      <w:r>
        <w:rPr>
          <w:rFonts w:ascii="Arial" w:cs="Arial" w:eastAsia="Arial" w:hAnsi="Arial"/>
          <w:sz w:val="13"/>
          <w:szCs w:val="13"/>
          <w:color w:val="auto"/>
        </w:rPr>
        <w:t>Purchases of investments, including PIK, for the three and six months ended March 31, 2014 totaled $144.5 million and $374.7 million, respectively. For the same periods in the prior year, purchases of investments, including PIK, totaled $77.7 million and $250.2 million, respectively. Sales and repayments of investments for the three and six months ended March 31, 2014 totaled $116.8 million and $260.8 million, respectively. For the same periods in the prior year, sales and repayments of investments totaled $42.5 million and $153.4 million, respectively.</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4"/>
          </w:tcPr>
          <w:p>
            <w:pPr>
              <w:jc w:val="right"/>
              <w:ind w:right="589"/>
              <w:spacing w:after="0"/>
              <w:rPr>
                <w:sz w:val="20"/>
                <w:szCs w:val="20"/>
                <w:color w:val="auto"/>
              </w:rPr>
            </w:pPr>
            <w:r>
              <w:rPr>
                <w:rFonts w:ascii="Arial" w:cs="Arial" w:eastAsia="Arial" w:hAnsi="Arial"/>
                <w:sz w:val="13"/>
                <w:szCs w:val="13"/>
                <w:b w:val="1"/>
                <w:bCs w:val="1"/>
                <w:color w:val="auto"/>
              </w:rPr>
              <w:t>March 31, 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ind w:left="420"/>
              <w:spacing w:after="0"/>
              <w:rPr>
                <w:sz w:val="20"/>
                <w:szCs w:val="20"/>
                <w:color w:val="auto"/>
              </w:rPr>
            </w:pPr>
            <w:r>
              <w:rPr>
                <w:rFonts w:ascii="Arial" w:cs="Arial" w:eastAsia="Arial" w:hAnsi="Arial"/>
                <w:sz w:val="13"/>
                <w:szCs w:val="13"/>
                <w:b w:val="1"/>
                <w:bCs w:val="1"/>
                <w:color w:val="auto"/>
              </w:rPr>
              <w:t>September 30, 2013</w:t>
            </w: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 Classification</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270"/>
              <w:spacing w:after="0" w:line="142" w:lineRule="exact"/>
              <w:rPr>
                <w:sz w:val="20"/>
                <w:szCs w:val="20"/>
                <w:color w:val="auto"/>
              </w:rPr>
            </w:pPr>
            <w:r>
              <w:rPr>
                <w:rFonts w:ascii="Arial" w:cs="Arial" w:eastAsia="Arial" w:hAnsi="Arial"/>
                <w:sz w:val="13"/>
                <w:szCs w:val="13"/>
                <w:b w:val="1"/>
                <w:bCs w:val="1"/>
                <w:color w:val="auto"/>
              </w:rPr>
              <w:t>Cost</w:t>
            </w: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129"/>
              <w:spacing w:after="0" w:line="142" w:lineRule="exact"/>
              <w:rPr>
                <w:sz w:val="20"/>
                <w:szCs w:val="20"/>
                <w:color w:val="auto"/>
              </w:rPr>
            </w:pPr>
            <w:r>
              <w:rPr>
                <w:rFonts w:ascii="Arial" w:cs="Arial" w:eastAsia="Arial" w:hAnsi="Arial"/>
                <w:sz w:val="13"/>
                <w:szCs w:val="13"/>
                <w:b w:val="1"/>
                <w:bCs w:val="1"/>
                <w:color w:val="auto"/>
              </w:rPr>
              <w:t>Fair Value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290"/>
              <w:spacing w:after="0" w:line="142" w:lineRule="exact"/>
              <w:rPr>
                <w:sz w:val="20"/>
                <w:szCs w:val="20"/>
                <w:color w:val="auto"/>
              </w:rPr>
            </w:pPr>
            <w:r>
              <w:rPr>
                <w:rFonts w:ascii="Arial" w:cs="Arial" w:eastAsia="Arial" w:hAnsi="Arial"/>
                <w:sz w:val="13"/>
                <w:szCs w:val="13"/>
                <w:b w:val="1"/>
                <w:bCs w:val="1"/>
                <w:color w:val="auto"/>
              </w:rPr>
              <w:t>Cost</w:t>
            </w: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109"/>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line="142" w:lineRule="exact"/>
              <w:rPr>
                <w:sz w:val="20"/>
                <w:szCs w:val="20"/>
                <w:color w:val="auto"/>
              </w:rPr>
            </w:pPr>
            <w:r>
              <w:rPr>
                <w:rFonts w:ascii="Arial" w:cs="Arial" w:eastAsia="Arial" w:hAnsi="Arial"/>
                <w:sz w:val="14"/>
                <w:szCs w:val="14"/>
                <w:color w:val="auto"/>
              </w:rPr>
              <w:t>First lien</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311,670,003</w:t>
            </w:r>
          </w:p>
        </w:tc>
        <w:tc>
          <w:tcPr>
            <w:tcW w:w="16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322,152,428</w:t>
            </w:r>
          </w:p>
        </w:tc>
        <w:tc>
          <w:tcPr>
            <w:tcW w:w="16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290,000,430</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299,516,291</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396,100,326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407,017,981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346,717,448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357,543,217</w:t>
            </w:r>
          </w:p>
        </w:tc>
        <w:tc>
          <w:tcPr>
            <w:tcW w:w="8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368,586,142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378,068,472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311,240,637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302,447,308</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equity and partnership interests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69,012,552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28,631,297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65,943,244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12,830,669</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Common equity and partnership interests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86,442,413</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121,103,995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77,616,126</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105,838,068</w:t>
            </w:r>
          </w:p>
        </w:tc>
        <w:tc>
          <w:tcPr>
            <w:tcW w:w="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1,231,811,436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1,256,974,173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1,091,517,885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1,078,175,553</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56,300,349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56,302,305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1,288,111,785</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1,313,276,478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1,149,958,714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1,136,616,382</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41"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March 31, 2014</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88"/>
              </w:rPr>
              <w:t>September 30, 2013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Oil and Gas</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w:t>
            </w:r>
          </w:p>
        </w:tc>
        <w:tc>
          <w:tcPr>
            <w:tcW w:w="1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Printing and Publishing</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Insurance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Buildings Materials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220" w:type="dxa"/>
            <w:vAlign w:val="bottom"/>
            <w:gridSpan w:val="2"/>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80" w:type="dxa"/>
            <w:vAlign w:val="bottom"/>
            <w:vMerge w:val="restart"/>
          </w:tcPr>
          <w:p>
            <w:pPr>
              <w:jc w:val="right"/>
              <w:ind w:right="74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6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580" w:right="740" w:hanging="100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23" w:lineRule="exact"/>
        <w:rPr>
          <w:sz w:val="20"/>
          <w:szCs w:val="20"/>
          <w:color w:val="auto"/>
        </w:rPr>
      </w:pPr>
    </w:p>
    <w:p>
      <w:pPr>
        <w:ind w:left="1580" w:right="740" w:hanging="100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47" w:lineRule="exact"/>
        <w:rPr>
          <w:sz w:val="20"/>
          <w:szCs w:val="20"/>
          <w:color w:val="auto"/>
        </w:rPr>
      </w:pPr>
    </w:p>
    <w:p>
      <w:pPr>
        <w:ind w:right="18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20" w:firstLine="562"/>
        <w:spacing w:after="0" w:line="228"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77"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2014, our ability to observe valuation inputs has resulted in no reclassification of assets between any levels. This compares to the six months ended March 31, 2013, which resulted in the reclassification of one asset from Level 3 to 2 and no other transfers between levels.</w:t>
      </w:r>
    </w:p>
    <w:p>
      <w:pPr>
        <w:spacing w:after="0" w:line="67"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80" w:firstLine="562"/>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 at</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March 31, 2014</w:t>
            </w: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Unobservable Input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413,508,592</w:t>
            </w:r>
          </w:p>
        </w:tc>
        <w:tc>
          <w:tcPr>
            <w:tcW w:w="1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Market Comparable</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632,144,286</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Market Comparable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9.5% – 20.4% (12.9%)</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6,053,232</w:t>
            </w: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Market Comparable</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Broker/Dealer bid quotes</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20"/>
                <w:szCs w:val="20"/>
                <w:color w:val="auto"/>
              </w:rPr>
            </w:pPr>
            <w:r>
              <w:rPr>
                <w:rFonts w:ascii="Arial" w:cs="Arial" w:eastAsia="Arial" w:hAnsi="Arial"/>
                <w:sz w:val="14"/>
                <w:szCs w:val="14"/>
                <w:color w:val="auto"/>
              </w:rPr>
              <w:t>Equity investments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132,975,492</w:t>
            </w:r>
          </w:p>
        </w:tc>
        <w:tc>
          <w:tcPr>
            <w:tcW w:w="16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Enterprise Market Value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rPr>
              <w:t>EBITDA multiple</w:t>
            </w: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3.3x – 13.0x (8.5x)</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Level 3 investments</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1,184,681,602</w:t>
            </w: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2"/>
              </w:rPr>
              <w:t>Market Comparable</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Discount rate</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303,686,977</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500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 at</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5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September 30, 2013</w:t>
            </w:r>
          </w:p>
        </w:tc>
        <w:tc>
          <w:tcPr>
            <w:tcW w:w="15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5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Unobservable Input</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56"/>
        </w:trPr>
        <w:tc>
          <w:tcPr>
            <w:tcW w:w="50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Debt investments</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448,842,468</w:t>
            </w:r>
          </w:p>
        </w:tc>
        <w:tc>
          <w:tcPr>
            <w:tcW w:w="16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2"/>
              </w:rPr>
              <w:t>Market Comparable</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Debt 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466,571,947</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Market Comparable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9.5% – 21.5% (13.5%)</w:t>
            </w:r>
          </w:p>
        </w:tc>
        <w:tc>
          <w:tcPr>
            <w:tcW w:w="0" w:type="dxa"/>
            <w:vAlign w:val="bottom"/>
          </w:tcPr>
          <w:p>
            <w:pPr>
              <w:spacing w:after="0"/>
              <w:rPr>
                <w:sz w:val="1"/>
                <w:szCs w:val="1"/>
                <w:color w:val="auto"/>
              </w:rPr>
            </w:pPr>
          </w:p>
        </w:tc>
      </w:tr>
      <w:tr>
        <w:trPr>
          <w:trHeight w:val="162"/>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110,923,751</w:t>
            </w: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Enterprise Market Value</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EBITDA multiple</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6.0x – 15.0x (9.0x)</w:t>
            </w:r>
          </w:p>
        </w:tc>
        <w:tc>
          <w:tcPr>
            <w:tcW w:w="0" w:type="dxa"/>
            <w:vAlign w:val="bottom"/>
          </w:tcPr>
          <w:p>
            <w:pPr>
              <w:spacing w:after="0"/>
              <w:rPr>
                <w:sz w:val="1"/>
                <w:szCs w:val="1"/>
                <w:color w:val="auto"/>
              </w:rPr>
            </w:pPr>
          </w:p>
        </w:tc>
      </w:tr>
      <w:tr>
        <w:trPr>
          <w:trHeight w:val="155"/>
        </w:trPr>
        <w:tc>
          <w:tcPr>
            <w:tcW w:w="5000" w:type="dxa"/>
            <w:vAlign w:val="bottom"/>
          </w:tcPr>
          <w:p>
            <w:pPr>
              <w:ind w:left="360"/>
              <w:spacing w:after="0" w:line="155" w:lineRule="exact"/>
              <w:rPr>
                <w:sz w:val="20"/>
                <w:szCs w:val="20"/>
                <w:color w:val="auto"/>
              </w:rPr>
            </w:pPr>
            <w:r>
              <w:rPr>
                <w:rFonts w:ascii="Arial" w:cs="Arial" w:eastAsia="Arial" w:hAnsi="Arial"/>
                <w:sz w:val="14"/>
                <w:szCs w:val="14"/>
                <w:color w:val="auto"/>
              </w:rPr>
              <w:t>Total Level 3 investments</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1,026,338,166</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117,500,000</w:t>
            </w:r>
          </w:p>
        </w:tc>
        <w:tc>
          <w:tcPr>
            <w:tcW w:w="1500" w:type="dxa"/>
            <w:vAlign w:val="bottom"/>
            <w:gridSpan w:val="2"/>
            <w:shd w:val="clear" w:color="auto" w:fill="CCEEFF"/>
          </w:tcPr>
          <w:p>
            <w:pPr>
              <w:jc w:val="center"/>
              <w:ind w:right="80"/>
              <w:spacing w:after="0" w:line="143" w:lineRule="exact"/>
              <w:rPr>
                <w:sz w:val="20"/>
                <w:szCs w:val="20"/>
                <w:color w:val="auto"/>
              </w:rPr>
            </w:pPr>
            <w:r>
              <w:rPr>
                <w:rFonts w:ascii="Arial" w:cs="Arial" w:eastAsia="Arial" w:hAnsi="Arial"/>
                <w:sz w:val="14"/>
                <w:szCs w:val="14"/>
                <w:color w:val="auto"/>
                <w:w w:val="92"/>
              </w:rPr>
              <w:t>Market Comparable</w:t>
            </w:r>
          </w:p>
        </w:tc>
        <w:tc>
          <w:tcPr>
            <w:tcW w:w="156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Discount rate</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cash equivalents, investments, the 2025 Notes and Credit Facility were categorized as follows in the fair value hierarchy for ASC 820 purposes: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3"/>
                <w:szCs w:val="13"/>
                <w:b w:val="1"/>
                <w:bCs w:val="1"/>
                <w:color w:val="auto"/>
                <w:w w:val="95"/>
              </w:rPr>
              <w:t>Fair Value at March 31, 2014</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100"/>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2"/>
                <w:szCs w:val="12"/>
                <w:color w:val="auto"/>
              </w:rPr>
            </w:pPr>
          </w:p>
        </w:tc>
        <w:tc>
          <w:tcPr>
            <w:tcW w:w="860" w:type="dxa"/>
            <w:vAlign w:val="bottom"/>
          </w:tcPr>
          <w:p>
            <w:pPr>
              <w:jc w:val="right"/>
              <w:ind w:right="209"/>
              <w:spacing w:after="0" w:line="142"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Debt investments</w:t>
            </w: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1,107,238,881</w:t>
            </w: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61,586,003</w:t>
            </w: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1,045,652,878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Equity investments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149,735,292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10,386,422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320,146</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139,028,724</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1,256,974,173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10,386,422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61,906,149</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1,184,681,602</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56,302,305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56,302,305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32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1,313,276,478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66,688,727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61,906,149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1,184,681,602</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color w:val="auto"/>
              </w:rPr>
              <w:t>Long-Term Credit Facility (excluding a temporary draw of $10,000,000)</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303,686,977</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303,686,977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70,566,000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70,566,000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880" w:type="dxa"/>
            <w:vAlign w:val="bottom"/>
          </w:tcPr>
          <w:p>
            <w:pPr>
              <w:ind w:left="360"/>
              <w:spacing w:after="0" w:line="155" w:lineRule="exact"/>
              <w:rPr>
                <w:sz w:val="20"/>
                <w:szCs w:val="20"/>
                <w:color w:val="auto"/>
              </w:rPr>
            </w:pPr>
            <w:r>
              <w:rPr>
                <w:rFonts w:ascii="Arial" w:cs="Arial" w:eastAsia="Arial" w:hAnsi="Arial"/>
                <w:sz w:val="14"/>
                <w:szCs w:val="14"/>
                <w:color w:val="auto"/>
              </w:rPr>
              <w:t>Total debt</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374,252,977</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70,566,000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303,686,977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88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3"/>
                <w:szCs w:val="13"/>
                <w:b w:val="1"/>
                <w:bCs w:val="1"/>
                <w:color w:val="auto"/>
                <w:w w:val="86"/>
              </w:rPr>
              <w:t>Fair Value at September 30, 2013</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ind w:left="80"/>
              <w:spacing w:after="0" w:line="142"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2"/>
                <w:szCs w:val="12"/>
                <w:color w:val="auto"/>
              </w:rPr>
            </w:pPr>
          </w:p>
        </w:tc>
        <w:tc>
          <w:tcPr>
            <w:tcW w:w="94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2"/>
                <w:szCs w:val="12"/>
                <w:color w:val="auto"/>
              </w:rPr>
            </w:pPr>
          </w:p>
        </w:tc>
        <w:tc>
          <w:tcPr>
            <w:tcW w:w="860" w:type="dxa"/>
            <w:vAlign w:val="bottom"/>
          </w:tcPr>
          <w:p>
            <w:pPr>
              <w:jc w:val="right"/>
              <w:ind w:right="209"/>
              <w:spacing w:after="0" w:line="142"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959,506,815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44,092,400</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Equity investments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118,668,738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7,539,320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205,667</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110,923,751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1,078,175,553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7,539,320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44,298,067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1,026,338,166</w:t>
            </w:r>
          </w:p>
        </w:tc>
        <w:tc>
          <w:tcPr>
            <w:tcW w:w="0" w:type="dxa"/>
            <w:vAlign w:val="bottom"/>
          </w:tcPr>
          <w:p>
            <w:pPr>
              <w:spacing w:after="0"/>
              <w:rPr>
                <w:sz w:val="1"/>
                <w:szCs w:val="1"/>
                <w:color w:val="auto"/>
              </w:rPr>
            </w:pPr>
          </w:p>
        </w:tc>
      </w:tr>
      <w:tr>
        <w:trPr>
          <w:trHeight w:val="148"/>
        </w:trPr>
        <w:tc>
          <w:tcPr>
            <w:tcW w:w="48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8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32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1,136,616,382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65,980,149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44,298,067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1,026,338,166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4"/>
                <w:szCs w:val="14"/>
                <w:color w:val="auto"/>
              </w:rPr>
              <w:t>Long-Term Credit Facility (excluding temporary draws of $28,000,000)</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117,500,000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68,400,000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68,400,000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880" w:type="dxa"/>
            <w:vAlign w:val="bottom"/>
          </w:tcPr>
          <w:p>
            <w:pPr>
              <w:ind w:left="360"/>
              <w:spacing w:after="0" w:line="155" w:lineRule="exact"/>
              <w:rPr>
                <w:sz w:val="20"/>
                <w:szCs w:val="20"/>
                <w:color w:val="auto"/>
              </w:rPr>
            </w:pPr>
            <w:r>
              <w:rPr>
                <w:rFonts w:ascii="Arial" w:cs="Arial" w:eastAsia="Arial" w:hAnsi="Arial"/>
                <w:sz w:val="14"/>
                <w:szCs w:val="14"/>
                <w:color w:val="auto"/>
              </w:rPr>
              <w:t>Total debt</w:t>
            </w: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185,900,000</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68,400,000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vMerge w:val="restart"/>
          </w:tcPr>
          <w:p>
            <w:pPr>
              <w:jc w:val="right"/>
              <w:ind w:right="20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8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Six Months Ended March 31, 2014</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3"/>
          </w:tcPr>
          <w:p>
            <w:pPr>
              <w:jc w:val="center"/>
              <w:ind w:right="380"/>
              <w:spacing w:after="0" w:line="110" w:lineRule="exact"/>
              <w:rPr>
                <w:sz w:val="20"/>
                <w:szCs w:val="20"/>
                <w:color w:val="auto"/>
              </w:rPr>
            </w:pPr>
            <w:r>
              <w:rPr>
                <w:rFonts w:ascii="Arial" w:cs="Arial" w:eastAsia="Arial" w:hAnsi="Arial"/>
                <w:sz w:val="12"/>
                <w:szCs w:val="12"/>
                <w:b w:val="1"/>
                <w:bCs w:val="1"/>
                <w:color w:val="auto"/>
                <w:w w:val="97"/>
              </w:rPr>
              <w:t>Debt</w:t>
            </w:r>
          </w:p>
        </w:tc>
        <w:tc>
          <w:tcPr>
            <w:tcW w:w="160" w:type="dxa"/>
            <w:vAlign w:val="bottom"/>
          </w:tcPr>
          <w:p>
            <w:pPr>
              <w:spacing w:after="0"/>
              <w:rPr>
                <w:sz w:val="9"/>
                <w:szCs w:val="9"/>
                <w:color w:val="auto"/>
              </w:rPr>
            </w:pPr>
          </w:p>
        </w:tc>
        <w:tc>
          <w:tcPr>
            <w:tcW w:w="11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8"/>
              </w:rPr>
              <w:t>Equity</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2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8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Realized gains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6,972,974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27,860</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7,000,834</w:t>
            </w:r>
          </w:p>
        </w:tc>
        <w:tc>
          <w:tcPr>
            <w:tcW w:w="0" w:type="dxa"/>
            <w:vAlign w:val="bottom"/>
          </w:tcPr>
          <w:p>
            <w:pPr>
              <w:spacing w:after="0"/>
              <w:rPr>
                <w:sz w:val="1"/>
                <w:szCs w:val="1"/>
                <w:color w:val="auto"/>
              </w:rPr>
            </w:pPr>
          </w:p>
        </w:tc>
      </w:tr>
      <w:tr>
        <w:trPr>
          <w:trHeight w:val="148"/>
        </w:trPr>
        <w:tc>
          <w:tcPr>
            <w:tcW w:w="7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Unrealized appreciation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4,938,500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16,103,682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21,042,182</w:t>
            </w:r>
          </w:p>
        </w:tc>
        <w:tc>
          <w:tcPr>
            <w:tcW w:w="0" w:type="dxa"/>
            <w:vAlign w:val="bottom"/>
          </w:tcPr>
          <w:p>
            <w:pPr>
              <w:spacing w:after="0"/>
              <w:rPr>
                <w:sz w:val="1"/>
                <w:szCs w:val="1"/>
                <w:color w:val="auto"/>
              </w:rPr>
            </w:pPr>
          </w:p>
        </w:tc>
      </w:tr>
      <w:tr>
        <w:trPr>
          <w:trHeight w:val="148"/>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363,427,427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14,530,077</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377,957,504</w:t>
            </w:r>
          </w:p>
        </w:tc>
        <w:tc>
          <w:tcPr>
            <w:tcW w:w="0" w:type="dxa"/>
            <w:vAlign w:val="bottom"/>
          </w:tcPr>
          <w:p>
            <w:pPr>
              <w:spacing w:after="0"/>
              <w:rPr>
                <w:sz w:val="1"/>
                <w:szCs w:val="1"/>
                <w:color w:val="auto"/>
              </w:rPr>
            </w:pPr>
          </w:p>
        </w:tc>
      </w:tr>
      <w:tr>
        <w:trPr>
          <w:trHeight w:val="148"/>
        </w:trPr>
        <w:tc>
          <w:tcPr>
            <w:tcW w:w="7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(245,100,438)</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(2,556,646)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(247,657,084)</w:t>
            </w:r>
          </w:p>
        </w:tc>
        <w:tc>
          <w:tcPr>
            <w:tcW w:w="0" w:type="dxa"/>
            <w:vAlign w:val="bottom"/>
          </w:tcPr>
          <w:p>
            <w:pPr>
              <w:spacing w:after="0"/>
              <w:rPr>
                <w:sz w:val="1"/>
                <w:szCs w:val="1"/>
                <w:color w:val="auto"/>
              </w:rPr>
            </w:pPr>
          </w:p>
        </w:tc>
      </w:tr>
      <w:tr>
        <w:trPr>
          <w:trHeight w:val="149"/>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1,045,652,878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139,028,724</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1,184,681,602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w w:val="99"/>
              </w:rPr>
              <w:t>Net change in unrealized appreciation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240" w:type="dxa"/>
            <w:vAlign w:val="bottom"/>
            <w:gridSpan w:val="2"/>
          </w:tcPr>
          <w:p>
            <w:pPr>
              <w:ind w:left="300"/>
              <w:spacing w:after="0"/>
              <w:rPr>
                <w:sz w:val="20"/>
                <w:szCs w:val="20"/>
                <w:color w:val="auto"/>
              </w:rPr>
            </w:pPr>
            <w:r>
              <w:rPr>
                <w:rFonts w:ascii="Arial" w:cs="Arial" w:eastAsia="Arial" w:hAnsi="Arial"/>
                <w:sz w:val="14"/>
                <w:szCs w:val="14"/>
                <w:color w:val="auto"/>
              </w:rPr>
              <w:t>Consolidated Statement of Operations attributable to our Level 3 assets still held at the reporting date.</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13,689,264</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16,103,681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29,792,945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Six Months Ended March 31, 2013</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3"/>
          </w:tcPr>
          <w:p>
            <w:pPr>
              <w:jc w:val="center"/>
              <w:ind w:right="380"/>
              <w:spacing w:after="0" w:line="110" w:lineRule="exact"/>
              <w:rPr>
                <w:sz w:val="20"/>
                <w:szCs w:val="20"/>
                <w:color w:val="auto"/>
              </w:rPr>
            </w:pPr>
            <w:r>
              <w:rPr>
                <w:rFonts w:ascii="Arial" w:cs="Arial" w:eastAsia="Arial" w:hAnsi="Arial"/>
                <w:sz w:val="12"/>
                <w:szCs w:val="12"/>
                <w:b w:val="1"/>
                <w:bCs w:val="1"/>
                <w:color w:val="auto"/>
                <w:w w:val="97"/>
              </w:rPr>
              <w:t>Debt</w:t>
            </w:r>
          </w:p>
        </w:tc>
        <w:tc>
          <w:tcPr>
            <w:tcW w:w="160" w:type="dxa"/>
            <w:vAlign w:val="bottom"/>
          </w:tcPr>
          <w:p>
            <w:pPr>
              <w:spacing w:after="0"/>
              <w:rPr>
                <w:sz w:val="9"/>
                <w:szCs w:val="9"/>
                <w:color w:val="auto"/>
              </w:rPr>
            </w:pPr>
          </w:p>
        </w:tc>
        <w:tc>
          <w:tcPr>
            <w:tcW w:w="11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8"/>
              </w:rPr>
              <w:t>Equity</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2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8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848,424,071</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101,323,123</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949,747,194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Realized gains (losses)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2,376,015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(3,335,647)</w:t>
            </w: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(959,632)</w:t>
            </w:r>
          </w:p>
        </w:tc>
        <w:tc>
          <w:tcPr>
            <w:tcW w:w="0" w:type="dxa"/>
            <w:vAlign w:val="bottom"/>
          </w:tcPr>
          <w:p>
            <w:pPr>
              <w:spacing w:after="0"/>
              <w:rPr>
                <w:sz w:val="1"/>
                <w:szCs w:val="1"/>
                <w:color w:val="auto"/>
              </w:rPr>
            </w:pPr>
          </w:p>
        </w:tc>
      </w:tr>
      <w:tr>
        <w:trPr>
          <w:trHeight w:val="148"/>
        </w:trPr>
        <w:tc>
          <w:tcPr>
            <w:tcW w:w="7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Unrealized appreciation (depreciation)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40,321,756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(22,179,968)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18,141,788</w:t>
            </w:r>
          </w:p>
        </w:tc>
        <w:tc>
          <w:tcPr>
            <w:tcW w:w="0" w:type="dxa"/>
            <w:vAlign w:val="bottom"/>
          </w:tcPr>
          <w:p>
            <w:pPr>
              <w:spacing w:after="0"/>
              <w:rPr>
                <w:sz w:val="1"/>
                <w:szCs w:val="1"/>
                <w:color w:val="auto"/>
              </w:rPr>
            </w:pPr>
          </w:p>
        </w:tc>
      </w:tr>
      <w:tr>
        <w:trPr>
          <w:trHeight w:val="148"/>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net discount accretion and non-cash exchanges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243,962,981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46,548,450</w:t>
            </w:r>
          </w:p>
        </w:tc>
        <w:tc>
          <w:tcPr>
            <w:tcW w:w="18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290,511,431</w:t>
            </w:r>
          </w:p>
        </w:tc>
        <w:tc>
          <w:tcPr>
            <w:tcW w:w="0" w:type="dxa"/>
            <w:vAlign w:val="bottom"/>
          </w:tcPr>
          <w:p>
            <w:pPr>
              <w:spacing w:after="0"/>
              <w:rPr>
                <w:sz w:val="1"/>
                <w:szCs w:val="1"/>
                <w:color w:val="auto"/>
              </w:rPr>
            </w:pPr>
          </w:p>
        </w:tc>
      </w:tr>
      <w:tr>
        <w:trPr>
          <w:trHeight w:val="148"/>
        </w:trPr>
        <w:tc>
          <w:tcPr>
            <w:tcW w:w="72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(200,813,827)</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(700,040)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(201,513,867)</w:t>
            </w:r>
          </w:p>
        </w:tc>
        <w:tc>
          <w:tcPr>
            <w:tcW w:w="0" w:type="dxa"/>
            <w:vAlign w:val="bottom"/>
          </w:tcPr>
          <w:p>
            <w:pPr>
              <w:spacing w:after="0"/>
              <w:rPr>
                <w:sz w:val="1"/>
                <w:szCs w:val="1"/>
                <w:color w:val="auto"/>
              </w:rPr>
            </w:pPr>
          </w:p>
        </w:tc>
      </w:tr>
      <w:tr>
        <w:trPr>
          <w:trHeight w:val="149"/>
        </w:trPr>
        <w:tc>
          <w:tcPr>
            <w:tcW w:w="72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(12,840,000)</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(12,840,000)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60" w:type="dxa"/>
            <w:vAlign w:val="bottom"/>
            <w:gridSpan w:val="2"/>
            <w:shd w:val="clear" w:color="auto" w:fill="CCEEFF"/>
          </w:tcPr>
          <w:p>
            <w:pPr>
              <w:jc w:val="right"/>
              <w:ind w:right="74"/>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921,430,996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121,655,918</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1,043,086,914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 appreciation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2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4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5"/>
              </w:rPr>
              <w:t>(depreciation) on investments in our Consolidated Statement of Operations attributable to our Level 3 assets still held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240" w:type="dxa"/>
            <w:vAlign w:val="bottom"/>
            <w:gridSpan w:val="2"/>
          </w:tcPr>
          <w:p>
            <w:pPr>
              <w:ind w:left="300"/>
              <w:spacing w:after="0"/>
              <w:rPr>
                <w:sz w:val="20"/>
                <w:szCs w:val="20"/>
                <w:color w:val="auto"/>
              </w:rPr>
            </w:pPr>
            <w:r>
              <w:rPr>
                <w:rFonts w:ascii="Arial" w:cs="Arial" w:eastAsia="Arial" w:hAnsi="Arial"/>
                <w:sz w:val="14"/>
                <w:szCs w:val="14"/>
                <w:color w:val="auto"/>
              </w:rPr>
              <w:t>at the reporting date.</w:t>
            </w:r>
          </w:p>
        </w:tc>
        <w:tc>
          <w:tcPr>
            <w:tcW w:w="160" w:type="dxa"/>
            <w:vAlign w:val="bottom"/>
            <w:gridSpan w:val="2"/>
          </w:tcPr>
          <w:p>
            <w:pPr>
              <w:jc w:val="right"/>
              <w:ind w:right="74"/>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41,392,812</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(23,529,968)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17,862,844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28"/>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Long –Term Credit Facility</w:t>
            </w:r>
          </w:p>
        </w:tc>
        <w:tc>
          <w:tcPr>
            <w:tcW w:w="50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180" w:type="dxa"/>
            <w:vAlign w:val="bottom"/>
            <w:tcBorders>
              <w:top w:val="single" w:sz="8" w:color="auto"/>
              <w:bottom w:val="single" w:sz="8" w:color="auto"/>
            </w:tcBorders>
            <w:gridSpan w:val="5"/>
          </w:tcPr>
          <w:p>
            <w:pPr>
              <w:jc w:val="right"/>
              <w:ind w:right="328"/>
              <w:spacing w:after="0" w:line="129" w:lineRule="exact"/>
              <w:rPr>
                <w:sz w:val="20"/>
                <w:szCs w:val="20"/>
                <w:color w:val="auto"/>
              </w:rPr>
            </w:pPr>
            <w:r>
              <w:rPr>
                <w:rFonts w:ascii="Arial" w:cs="Arial" w:eastAsia="Arial" w:hAnsi="Arial"/>
                <w:sz w:val="13"/>
                <w:szCs w:val="13"/>
                <w:b w:val="1"/>
                <w:bCs w:val="1"/>
                <w:color w:val="auto"/>
                <w:w w:val="99"/>
              </w:rPr>
              <w:t>Six Months Ended 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auto"/>
            </w:tcBorders>
            <w:vMerge w:val="continue"/>
          </w:tcPr>
          <w:p>
            <w:pPr>
              <w:spacing w:after="0"/>
              <w:rPr>
                <w:sz w:val="12"/>
                <w:szCs w:val="12"/>
                <w:color w:val="auto"/>
              </w:rPr>
            </w:pPr>
          </w:p>
        </w:tc>
        <w:tc>
          <w:tcPr>
            <w:tcW w:w="50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$117,500,000 and $109,500,000, respectively)</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117,500,000</w:t>
            </w:r>
          </w:p>
        </w:tc>
        <w:tc>
          <w:tcPr>
            <w:tcW w:w="20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108,952,500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change in fair value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(122,223)</w:t>
            </w:r>
          </w:p>
        </w:tc>
        <w:tc>
          <w:tcPr>
            <w:tcW w:w="20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547,500</w:t>
            </w:r>
          </w:p>
        </w:tc>
        <w:tc>
          <w:tcPr>
            <w:tcW w:w="0" w:type="dxa"/>
            <w:vAlign w:val="bottom"/>
          </w:tcPr>
          <w:p>
            <w:pPr>
              <w:spacing w:after="0"/>
              <w:rPr>
                <w:sz w:val="1"/>
                <w:szCs w:val="1"/>
                <w:color w:val="auto"/>
              </w:rPr>
            </w:pPr>
          </w:p>
        </w:tc>
      </w:tr>
      <w:tr>
        <w:trPr>
          <w:trHeight w:val="149"/>
        </w:trPr>
        <w:tc>
          <w:tcPr>
            <w:tcW w:w="8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Borrowings</w:t>
            </w:r>
            <w:r>
              <w:rPr>
                <w:rFonts w:ascii="Arial" w:cs="Arial" w:eastAsia="Arial" w:hAnsi="Arial"/>
                <w:sz w:val="12"/>
                <w:szCs w:val="12"/>
                <w:color w:val="auto"/>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380,309,200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311,000,000</w:t>
            </w:r>
          </w:p>
        </w:tc>
        <w:tc>
          <w:tcPr>
            <w:tcW w:w="0" w:type="dxa"/>
            <w:vAlign w:val="bottom"/>
          </w:tcPr>
          <w:p>
            <w:pPr>
              <w:spacing w:after="0"/>
              <w:rPr>
                <w:sz w:val="1"/>
                <w:szCs w:val="1"/>
                <w:color w:val="auto"/>
              </w:rPr>
            </w:pPr>
          </w:p>
        </w:tc>
      </w:tr>
      <w:tr>
        <w:trPr>
          <w:trHeight w:val="148"/>
        </w:trPr>
        <w:tc>
          <w:tcPr>
            <w:tcW w:w="8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Repayments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(194,000,000)</w:t>
            </w:r>
          </w:p>
        </w:tc>
        <w:tc>
          <w:tcPr>
            <w:tcW w:w="20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(252,300,000)</w:t>
            </w:r>
          </w:p>
        </w:tc>
        <w:tc>
          <w:tcPr>
            <w:tcW w:w="0" w:type="dxa"/>
            <w:vAlign w:val="bottom"/>
          </w:tcPr>
          <w:p>
            <w:pPr>
              <w:spacing w:after="0"/>
              <w:rPr>
                <w:sz w:val="1"/>
                <w:szCs w:val="1"/>
                <w:color w:val="auto"/>
              </w:rPr>
            </w:pPr>
          </w:p>
        </w:tc>
      </w:tr>
      <w:tr>
        <w:trPr>
          <w:trHeight w:val="148"/>
        </w:trPr>
        <w:tc>
          <w:tcPr>
            <w:tcW w:w="8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$303,809,200 and $168,200,000, respectively)</w:t>
            </w:r>
          </w:p>
        </w:tc>
        <w:tc>
          <w:tcPr>
            <w:tcW w:w="20" w:type="dxa"/>
            <w:vAlign w:val="bottom"/>
          </w:tcPr>
          <w:p>
            <w:pPr>
              <w:spacing w:after="0"/>
              <w:rPr>
                <w:sz w:val="13"/>
                <w:szCs w:val="13"/>
                <w:color w:val="auto"/>
              </w:rPr>
            </w:pPr>
          </w:p>
        </w:tc>
        <w:tc>
          <w:tcPr>
            <w:tcW w:w="160" w:type="dxa"/>
            <w:vAlign w:val="bottom"/>
            <w:tcBorders>
              <w:top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303,686,977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168,200,000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Temporary draws outstanding, at cost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10,000,000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0" w:type="dxa"/>
            <w:vAlign w:val="bottom"/>
          </w:tcPr>
          <w:p>
            <w:pPr>
              <w:spacing w:after="0"/>
              <w:rPr>
                <w:sz w:val="1"/>
                <w:szCs w:val="1"/>
                <w:color w:val="auto"/>
              </w:rPr>
            </w:pPr>
          </w:p>
        </w:tc>
      </w:tr>
      <w:tr>
        <w:trPr>
          <w:trHeight w:val="155"/>
        </w:trPr>
        <w:tc>
          <w:tcPr>
            <w:tcW w:w="83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$313,809,200 and $171,700,000, respectively)</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313,686,977</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171,700,000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499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4"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March 31, 2014, we had outstanding non-USD borrowing on our Credit Facility denominated in British Pounds. Net change in fair value on these outstanding borrowings is listed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Foreign Currency</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Original</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Net Change in</w:t>
            </w:r>
          </w:p>
        </w:tc>
        <w:tc>
          <w:tcPr>
            <w:tcW w:w="0" w:type="dxa"/>
            <w:vAlign w:val="bottom"/>
          </w:tcPr>
          <w:p>
            <w:pPr>
              <w:spacing w:after="0"/>
              <w:rPr>
                <w:sz w:val="1"/>
                <w:szCs w:val="1"/>
                <w:color w:val="auto"/>
              </w:rPr>
            </w:pPr>
          </w:p>
        </w:tc>
      </w:tr>
      <w:tr>
        <w:trPr>
          <w:trHeight w:val="153"/>
        </w:trPr>
        <w:tc>
          <w:tcPr>
            <w:tcW w:w="3620" w:type="dxa"/>
            <w:vAlign w:val="bottom"/>
            <w:gridSpan w:val="2"/>
            <w:vMerge w:val="continue"/>
          </w:tcPr>
          <w:p>
            <w:pPr>
              <w:spacing w:after="0"/>
              <w:rPr>
                <w:sz w:val="13"/>
                <w:szCs w:val="13"/>
                <w:color w:val="auto"/>
              </w:rPr>
            </w:pPr>
          </w:p>
        </w:tc>
        <w:tc>
          <w:tcPr>
            <w:tcW w:w="11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Local Currency</w:t>
            </w:r>
          </w:p>
        </w:tc>
        <w:tc>
          <w:tcPr>
            <w:tcW w:w="420" w:type="dxa"/>
            <w:vAlign w:val="bottom"/>
          </w:tcPr>
          <w:p>
            <w:pPr>
              <w:spacing w:after="0"/>
              <w:rPr>
                <w:sz w:val="13"/>
                <w:szCs w:val="13"/>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92"/>
              </w:rPr>
              <w:t>Borrowing Cost</w:t>
            </w:r>
          </w:p>
        </w:tc>
        <w:tc>
          <w:tcPr>
            <w:tcW w:w="440" w:type="dxa"/>
            <w:vAlign w:val="bottom"/>
          </w:tcPr>
          <w:p>
            <w:pPr>
              <w:spacing w:after="0"/>
              <w:rPr>
                <w:sz w:val="13"/>
                <w:szCs w:val="13"/>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Current Value</w:t>
            </w:r>
          </w:p>
        </w:tc>
        <w:tc>
          <w:tcPr>
            <w:tcW w:w="44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Reset Date</w:t>
            </w:r>
          </w:p>
        </w:tc>
        <w:tc>
          <w:tcPr>
            <w:tcW w:w="16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British Pound</w:t>
            </w:r>
          </w:p>
        </w:tc>
        <w:tc>
          <w:tcPr>
            <w:tcW w:w="3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16,000,000</w:t>
            </w:r>
          </w:p>
        </w:tc>
        <w:tc>
          <w:tcPr>
            <w:tcW w:w="4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26,654,400</w:t>
            </w:r>
          </w:p>
        </w:tc>
        <w:tc>
          <w:tcPr>
            <w:tcW w:w="4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26,674,224</w:t>
            </w:r>
          </w:p>
        </w:tc>
        <w:tc>
          <w:tcPr>
            <w:tcW w:w="44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May 1, 2014</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19,824</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British Pound</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27,000,000</w:t>
            </w: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45,154,800</w:t>
            </w: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45,012,753</w:t>
            </w:r>
          </w:p>
        </w:tc>
        <w:tc>
          <w:tcPr>
            <w:tcW w:w="440" w:type="dxa"/>
            <w:vAlign w:val="bottom"/>
          </w:tcPr>
          <w:p>
            <w:pPr>
              <w:spacing w:after="0"/>
              <w:rPr>
                <w:sz w:val="13"/>
                <w:szCs w:val="13"/>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April 30, 2014</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(142,047)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71"/>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43,000,000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71,809,200</w:t>
            </w:r>
          </w:p>
        </w:tc>
        <w:tc>
          <w:tcPr>
            <w:tcW w:w="680" w:type="dxa"/>
            <w:vAlign w:val="bottom"/>
            <w:gridSpan w:val="2"/>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71,686,977</w:t>
            </w:r>
          </w:p>
        </w:tc>
        <w:tc>
          <w:tcPr>
            <w:tcW w:w="4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(122,223)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4"/>
                <w:szCs w:val="14"/>
                <w:color w:val="auto"/>
              </w:rPr>
              <w:t>23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to our Credit Facility and our 2025 Notes. We elected to use the fair value option for the Credit Facility and the 2025 Notes to align the measurement attributes of both our assets and liabilities</w:t>
      </w:r>
    </w:p>
    <w:p>
      <w:pPr>
        <w:spacing w:after="0"/>
        <w:rPr>
          <w:sz w:val="20"/>
          <w:szCs w:val="20"/>
          <w:color w:val="auto"/>
        </w:rPr>
      </w:pPr>
      <w:r>
        <w:rPr>
          <w:rFonts w:ascii="Arial" w:cs="Arial" w:eastAsia="Arial" w:hAnsi="Arial"/>
          <w:sz w:val="13"/>
          <w:szCs w:val="13"/>
          <w:color w:val="auto"/>
        </w:rPr>
        <w:t>while mitigating volatility in earnings from using different measurement attributes. ASC 825-10 establishes presentation and disclosure requirements designed to facilitate comparisons between</w:t>
      </w:r>
    </w:p>
    <w:p>
      <w:pPr>
        <w:spacing w:after="0"/>
        <w:rPr>
          <w:sz w:val="20"/>
          <w:szCs w:val="20"/>
          <w:color w:val="auto"/>
        </w:rPr>
      </w:pPr>
      <w:r>
        <w:rPr>
          <w:rFonts w:ascii="Arial" w:cs="Arial" w:eastAsia="Arial" w:hAnsi="Arial"/>
          <w:sz w:val="13"/>
          <w:szCs w:val="13"/>
          <w:color w:val="auto"/>
        </w:rPr>
        <w:t>companies that choose different measurement attributes for similar types of assets and liabilities and to more easily understand the effect on earnings of a company’s choice to use fair value. ASC</w:t>
      </w:r>
    </w:p>
    <w:p>
      <w:pPr>
        <w:spacing w:after="0"/>
        <w:rPr>
          <w:sz w:val="20"/>
          <w:szCs w:val="20"/>
          <w:color w:val="auto"/>
        </w:rPr>
      </w:pPr>
      <w:r>
        <w:rPr>
          <w:rFonts w:ascii="Arial" w:cs="Arial" w:eastAsia="Arial" w:hAnsi="Arial"/>
          <w:sz w:val="13"/>
          <w:szCs w:val="13"/>
          <w:color w:val="auto"/>
        </w:rPr>
        <w:t>825-10 also requires entities to display the fair value of the selected assets and liabilities on the face of the Consolidated Statement of Assets and Liabilities and changes in fair value of the Credit</w:t>
      </w:r>
    </w:p>
    <w:p>
      <w:pPr>
        <w:spacing w:after="0" w:line="221" w:lineRule="auto"/>
        <w:rPr>
          <w:sz w:val="20"/>
          <w:szCs w:val="20"/>
          <w:color w:val="auto"/>
        </w:rPr>
      </w:pPr>
      <w:r>
        <w:rPr>
          <w:rFonts w:ascii="Arial" w:cs="Arial" w:eastAsia="Arial" w:hAnsi="Arial"/>
          <w:sz w:val="14"/>
          <w:szCs w:val="14"/>
          <w:color w:val="auto"/>
        </w:rPr>
        <w:t>Facility and 2025 Notes are reported in our Consolidated Statement of Operations. We elected not to apply ASC 825-10 to any other financial assets or liabilities, including the SBA</w:t>
      </w:r>
    </w:p>
    <w:p>
      <w:pPr>
        <w:spacing w:after="0"/>
        <w:rPr>
          <w:sz w:val="20"/>
          <w:szCs w:val="20"/>
          <w:color w:val="auto"/>
        </w:rPr>
      </w:pPr>
      <w:r>
        <w:rPr>
          <w:rFonts w:ascii="Arial" w:cs="Arial" w:eastAsia="Arial" w:hAnsi="Arial"/>
          <w:sz w:val="13"/>
          <w:szCs w:val="13"/>
          <w:color w:val="auto"/>
        </w:rPr>
        <w:t>debentures. For the three and six months ended March 31, 2014, our Credit Facility and 2025 Notes had a net change in unrealized appreciation of $6.1 million and $2.0 million, respectively. For</w:t>
      </w:r>
    </w:p>
    <w:p>
      <w:pPr>
        <w:spacing w:after="0"/>
        <w:rPr>
          <w:sz w:val="20"/>
          <w:szCs w:val="20"/>
          <w:color w:val="auto"/>
        </w:rPr>
      </w:pPr>
      <w:r>
        <w:rPr>
          <w:rFonts w:ascii="Arial" w:cs="Arial" w:eastAsia="Arial" w:hAnsi="Arial"/>
          <w:sz w:val="13"/>
          <w:szCs w:val="13"/>
          <w:color w:val="auto"/>
        </w:rPr>
        <w:t>the three and six months ended March 31, 2013, our Credit Facility and 2025 Notes had a net change in unrealized appreciation of $0.4 million and $1.0 million, respectively. As of March 31,</w:t>
      </w:r>
    </w:p>
    <w:p>
      <w:pPr>
        <w:spacing w:after="0"/>
        <w:rPr>
          <w:sz w:val="20"/>
          <w:szCs w:val="20"/>
          <w:color w:val="auto"/>
        </w:rPr>
      </w:pPr>
      <w:r>
        <w:rPr>
          <w:rFonts w:ascii="Arial" w:cs="Arial" w:eastAsia="Arial" w:hAnsi="Arial"/>
          <w:sz w:val="13"/>
          <w:szCs w:val="13"/>
          <w:color w:val="auto"/>
        </w:rPr>
        <w:t>2014 and September 30, 2013, net unrealized depreciation on our Credit Facility and 2025 Notes totaled $0.8 million and $2.9 million, respectively. We use a nationally recognized independent</w:t>
      </w:r>
    </w:p>
    <w:p>
      <w:pPr>
        <w:spacing w:after="0"/>
        <w:rPr>
          <w:sz w:val="20"/>
          <w:szCs w:val="20"/>
          <w:color w:val="auto"/>
        </w:rPr>
      </w:pPr>
      <w:r>
        <w:rPr>
          <w:rFonts w:ascii="Arial" w:cs="Arial" w:eastAsia="Arial" w:hAnsi="Arial"/>
          <w:sz w:val="13"/>
          <w:szCs w:val="13"/>
          <w:color w:val="auto"/>
        </w:rPr>
        <w:t>valuation service to measure the fair value of our Credit Facility in a manner consistent with the valuation process that the board of directors uses to value our investments. Our 2025 Notes trade</w:t>
      </w:r>
    </w:p>
    <w:p>
      <w:pPr>
        <w:spacing w:after="0"/>
        <w:rPr>
          <w:sz w:val="20"/>
          <w:szCs w:val="20"/>
          <w:color w:val="auto"/>
        </w:rPr>
      </w:pPr>
      <w:r>
        <w:rPr>
          <w:rFonts w:ascii="Arial" w:cs="Arial" w:eastAsia="Arial" w:hAnsi="Arial"/>
          <w:sz w:val="14"/>
          <w:szCs w:val="14"/>
          <w:color w:val="auto"/>
        </w:rPr>
        <w:t>on the NYSE, under the ticker “PNTA” and we use the closing price on the exchange to determine their fair value.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six months ended March 31, 2014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Purchases of /</w:t>
            </w: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Sale of /</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60" w:type="dxa"/>
            <w:vAlign w:val="bottom"/>
          </w:tcPr>
          <w:p>
            <w:pPr>
              <w:spacing w:after="0"/>
              <w:rPr>
                <w:sz w:val="11"/>
                <w:szCs w:val="11"/>
                <w:color w:val="auto"/>
              </w:rPr>
            </w:pPr>
          </w:p>
        </w:tc>
        <w:tc>
          <w:tcPr>
            <w:tcW w:w="112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2"/>
              </w:rPr>
              <w:t>Advances to</w:t>
            </w:r>
          </w:p>
        </w:tc>
        <w:tc>
          <w:tcPr>
            <w:tcW w:w="8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14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0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8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w w:val="99"/>
              </w:rPr>
              <w:t>Net Realized Gains</w:t>
            </w:r>
          </w:p>
        </w:tc>
        <w:tc>
          <w:tcPr>
            <w:tcW w:w="0" w:type="dxa"/>
            <w:vAlign w:val="bottom"/>
          </w:tcPr>
          <w:p>
            <w:pPr>
              <w:spacing w:after="0"/>
              <w:rPr>
                <w:sz w:val="1"/>
                <w:szCs w:val="1"/>
                <w:color w:val="auto"/>
              </w:rPr>
            </w:pPr>
          </w:p>
        </w:tc>
      </w:tr>
      <w:tr>
        <w:trPr>
          <w:trHeight w:val="153"/>
        </w:trPr>
        <w:tc>
          <w:tcPr>
            <w:tcW w:w="3980" w:type="dxa"/>
            <w:vAlign w:val="bottom"/>
            <w:gridSpan w:val="2"/>
            <w:vMerge w:val="continue"/>
          </w:tcPr>
          <w:p>
            <w:pPr>
              <w:spacing w:after="0"/>
              <w:rPr>
                <w:sz w:val="13"/>
                <w:szCs w:val="13"/>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0"/>
              </w:rPr>
              <w:t>September 30, 2013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Affiliates</w:t>
            </w: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from Affiliates</w:t>
            </w:r>
          </w:p>
        </w:tc>
        <w:tc>
          <w:tcPr>
            <w:tcW w:w="14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Accrued</w:t>
            </w:r>
          </w:p>
        </w:tc>
        <w:tc>
          <w:tcPr>
            <w:tcW w:w="120" w:type="dxa"/>
            <w:vAlign w:val="bottom"/>
          </w:tcPr>
          <w:p>
            <w:pPr>
              <w:spacing w:after="0"/>
              <w:rPr>
                <w:sz w:val="13"/>
                <w:szCs w:val="1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March 31, 2014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42"/>
        </w:trPr>
        <w:tc>
          <w:tcPr>
            <w:tcW w:w="3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13,500,000</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794,694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16,000,001</w:t>
            </w:r>
          </w:p>
        </w:tc>
        <w:tc>
          <w:tcPr>
            <w:tcW w:w="300" w:type="dxa"/>
            <w:vAlign w:val="bottom"/>
            <w:gridSpan w:val="2"/>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17,552,044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9,435,438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(99,999)</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2,567,321</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41,047,984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15,298,220</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563,451</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15,065,352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17,805,936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662,198</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(1,126,015)</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660,801</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14,458,468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21,265,345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9,127,448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248,745</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29,731,432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1,694,296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836,968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NCP-Performance, L.P.</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2,500,165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1,180,037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33,470,058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1,808,067</w:t>
            </w:r>
          </w:p>
        </w:tc>
        <w:tc>
          <w:tcPr>
            <w:tcW w:w="1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34,815,103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and Non-Controlled Affiliates</w:t>
            </w: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107,787,844</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38,023,303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(2,226,014)</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6,643,079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153,135,345</w:t>
            </w:r>
          </w:p>
        </w:tc>
        <w:tc>
          <w:tcPr>
            <w:tcW w:w="300" w:type="dxa"/>
            <w:vAlign w:val="bottom"/>
            <w:gridSpan w:val="2"/>
            <w:shd w:val="clear" w:color="auto" w:fill="CCEEFF"/>
          </w:tcPr>
          <w:p>
            <w:pPr>
              <w:jc w:val="right"/>
              <w:ind w:right="77"/>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w w:val="91"/>
              </w:rPr>
              <w:t>Three Months Ended March 31,</w:t>
            </w:r>
          </w:p>
        </w:tc>
        <w:tc>
          <w:tcPr>
            <w:tcW w:w="160" w:type="dxa"/>
            <w:vAlign w:val="bottom"/>
          </w:tcPr>
          <w:p>
            <w:pPr>
              <w:spacing w:after="0"/>
              <w:rPr>
                <w:sz w:val="13"/>
                <w:szCs w:val="13"/>
                <w:color w:val="auto"/>
              </w:rPr>
            </w:pPr>
          </w:p>
        </w:tc>
        <w:tc>
          <w:tcPr>
            <w:tcW w:w="2060" w:type="dxa"/>
            <w:vAlign w:val="bottom"/>
            <w:gridSpan w:val="6"/>
          </w:tcPr>
          <w:p>
            <w:pPr>
              <w:ind w:left="12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62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3"/>
                <w:szCs w:val="13"/>
                <w:b w:val="1"/>
                <w:bCs w:val="1"/>
                <w:color w:val="auto"/>
              </w:rPr>
              <w:t>2013</w:t>
            </w: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42"/>
        </w:trPr>
        <w:tc>
          <w:tcPr>
            <w:tcW w:w="6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in net assets resulting from operations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40,681,151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26,972,329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80,136,104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55,513,515</w:t>
            </w:r>
          </w:p>
        </w:tc>
        <w:tc>
          <w:tcPr>
            <w:tcW w:w="80" w:type="dxa"/>
            <w:vAlign w:val="bottom"/>
            <w:shd w:val="clear" w:color="auto" w:fill="CCEEFF"/>
          </w:tcPr>
          <w:p>
            <w:pPr>
              <w:spacing w:after="0"/>
              <w:rPr>
                <w:sz w:val="12"/>
                <w:szCs w:val="12"/>
                <w:color w:val="auto"/>
              </w:rPr>
            </w:pPr>
          </w:p>
        </w:tc>
      </w:tr>
      <w:tr>
        <w:trPr>
          <w:trHeight w:val="148"/>
        </w:trPr>
        <w:tc>
          <w:tcPr>
            <w:tcW w:w="652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66,569,036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66,400,755</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66,557,762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66,286,285</w:t>
            </w:r>
          </w:p>
        </w:tc>
      </w:tr>
      <w:tr>
        <w:trPr>
          <w:trHeight w:val="149"/>
        </w:trPr>
        <w:tc>
          <w:tcPr>
            <w:tcW w:w="6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resulting from operations per share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0.61</w:t>
            </w:r>
          </w:p>
        </w:tc>
        <w:tc>
          <w:tcPr>
            <w:tcW w:w="3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3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0.84</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2014 and September 30, 2013, cash and cash equivalents consisted of $56.3 million and $58.4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9. FINANCIAL HIGHLIGHTS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5140" w:type="dxa"/>
            <w:vAlign w:val="bottom"/>
          </w:tcPr>
          <w:p>
            <w:pPr>
              <w:ind w:left="560"/>
              <w:spacing w:after="0"/>
              <w:rPr>
                <w:sz w:val="20"/>
                <w:szCs w:val="20"/>
                <w:color w:val="auto"/>
              </w:rPr>
            </w:pPr>
            <w:r>
              <w:rPr>
                <w:rFonts w:ascii="Arial" w:cs="Arial" w:eastAsia="Arial" w:hAnsi="Arial"/>
                <w:sz w:val="14"/>
                <w:szCs w:val="14"/>
                <w:color w:val="auto"/>
              </w:rPr>
              <w:t>Below are the financial highlights:</w:t>
            </w:r>
          </w:p>
        </w:tc>
        <w:tc>
          <w:tcPr>
            <w:tcW w:w="340" w:type="dxa"/>
            <w:vAlign w:val="bottom"/>
          </w:tcPr>
          <w:p>
            <w:pPr>
              <w:spacing w:after="0"/>
              <w:rPr>
                <w:sz w:val="24"/>
                <w:szCs w:val="24"/>
                <w:color w:val="auto"/>
              </w:rPr>
            </w:pPr>
          </w:p>
        </w:tc>
        <w:tc>
          <w:tcPr>
            <w:tcW w:w="304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34"/>
        </w:trPr>
        <w:tc>
          <w:tcPr>
            <w:tcW w:w="13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60" w:type="dxa"/>
            <w:vAlign w:val="bottom"/>
          </w:tcPr>
          <w:p>
            <w:pPr>
              <w:spacing w:after="0"/>
              <w:rPr>
                <w:sz w:val="11"/>
                <w:szCs w:val="11"/>
                <w:color w:val="auto"/>
              </w:rPr>
            </w:pPr>
          </w:p>
        </w:tc>
        <w:tc>
          <w:tcPr>
            <w:tcW w:w="51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Net asset value, beginning of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10.49</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0.57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Net realized and unrealized gain </w:t>
            </w:r>
            <w:r>
              <w:rPr>
                <w:rFonts w:ascii="Arial" w:cs="Arial" w:eastAsia="Arial" w:hAnsi="Arial"/>
                <w:sz w:val="12"/>
                <w:szCs w:val="12"/>
                <w:color w:val="auto"/>
              </w:rPr>
              <w:t>(1)</w:t>
            </w:r>
          </w:p>
        </w:tc>
        <w:tc>
          <w:tcPr>
            <w:tcW w:w="3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0.63</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1.20</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4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(0.56)</w:t>
            </w:r>
          </w:p>
        </w:tc>
        <w:tc>
          <w:tcPr>
            <w:tcW w:w="34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asset value, end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11.13</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Per share market value, end of period</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11.05</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Shares outstanding at end of period</w:t>
            </w:r>
          </w:p>
        </w:tc>
        <w:tc>
          <w:tcPr>
            <w:tcW w:w="3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66,569,036</w:t>
            </w:r>
          </w:p>
        </w:tc>
        <w:tc>
          <w:tcPr>
            <w:tcW w:w="3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66,401,248</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Ratios** / Supplemental Data:</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4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6.81%</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Ratio of total expenses to average net assets</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9.48%</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10.49%</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Net assets at end of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741,162,812</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697,376,308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(6)</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479,832,798</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352,917,857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vMerge w:val="restart"/>
          </w:tcPr>
          <w:p>
            <w:pPr>
              <w:ind w:left="40"/>
              <w:spacing w:after="0"/>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(6)</w:t>
            </w: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4"/>
                <w:szCs w:val="14"/>
                <w:color w:val="auto"/>
              </w:rPr>
              <w:t>7.21</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Asset coverage per unit at end of period </w:t>
            </w:r>
            <w:r>
              <w:rPr>
                <w:rFonts w:ascii="Arial" w:cs="Arial" w:eastAsia="Arial" w:hAnsi="Arial"/>
                <w:sz w:val="12"/>
                <w:szCs w:val="12"/>
                <w:color w:val="auto"/>
              </w:rPr>
              <w:t>(7)</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2,929</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3,865</w:t>
            </w:r>
          </w:p>
        </w:tc>
        <w:tc>
          <w:tcPr>
            <w:tcW w:w="0" w:type="dxa"/>
            <w:vAlign w:val="bottom"/>
          </w:tcPr>
          <w:p>
            <w:pPr>
              <w:spacing w:after="0"/>
              <w:rPr>
                <w:sz w:val="1"/>
                <w:szCs w:val="1"/>
                <w:color w:val="auto"/>
              </w:rPr>
            </w:pPr>
          </w:p>
        </w:tc>
      </w:tr>
      <w:tr>
        <w:trPr>
          <w:trHeight w:val="218"/>
        </w:trPr>
        <w:tc>
          <w:tcPr>
            <w:tcW w:w="136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4"/>
                <w:szCs w:val="14"/>
                <w:color w:val="auto"/>
              </w:rPr>
              <w:t>Portfolio turnover ratio</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43.67%</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1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22" w:lineRule="exact"/>
        <w:rPr>
          <w:sz w:val="20"/>
          <w:szCs w:val="20"/>
          <w:color w:val="auto"/>
        </w:rPr>
      </w:pPr>
    </w:p>
    <w:p>
      <w:pPr>
        <w:ind w:left="80" w:right="8160"/>
        <w:spacing w:after="0" w:line="303" w:lineRule="auto"/>
        <w:tabs>
          <w:tab w:leader="none" w:pos="453"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1" w:lineRule="exact"/>
        <w:rPr>
          <w:sz w:val="20"/>
          <w:szCs w:val="20"/>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Operating expenses exclude debt related costs.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Ratio does not annualize the 2025 Notes offering costs.</w:t>
      </w:r>
    </w:p>
    <w:p>
      <w:pPr>
        <w:spacing w:after="0" w:line="28" w:lineRule="exact"/>
        <w:rPr>
          <w:rFonts w:ascii="Arial" w:cs="Arial" w:eastAsia="Arial" w:hAnsi="Arial"/>
          <w:sz w:val="14"/>
          <w:szCs w:val="14"/>
          <w:color w:val="auto"/>
        </w:rPr>
      </w:pPr>
    </w:p>
    <w:p>
      <w:pPr>
        <w:ind w:left="460" w:hanging="380"/>
        <w:spacing w:after="0"/>
        <w:tabs>
          <w:tab w:leader="none" w:pos="46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4"/>
          <w:szCs w:val="14"/>
          <w:color w:val="auto"/>
        </w:rPr>
      </w:pPr>
    </w:p>
    <w:p>
      <w:pPr>
        <w:jc w:val="both"/>
        <w:ind w:left="460" w:right="340" w:hanging="380"/>
        <w:spacing w:after="0" w:line="264" w:lineRule="auto"/>
        <w:tabs>
          <w:tab w:leader="none" w:pos="460" w:val="left"/>
        </w:tabs>
        <w:numPr>
          <w:ilvl w:val="1"/>
          <w:numId w:val="9"/>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rFonts w:ascii="Arial" w:cs="Arial" w:eastAsia="Arial" w:hAnsi="Arial"/>
          <w:sz w:val="13"/>
          <w:szCs w:val="13"/>
          <w:color w:val="auto"/>
        </w:rPr>
      </w:pPr>
    </w:p>
    <w:p>
      <w:pPr>
        <w:ind w:left="220" w:hanging="212"/>
        <w:spacing w:after="0"/>
        <w:tabs>
          <w:tab w:leader="none" w:pos="2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100" w:lineRule="exact"/>
        <w:rPr>
          <w:sz w:val="20"/>
          <w:szCs w:val="20"/>
          <w:color w:val="auto"/>
        </w:rPr>
      </w:pPr>
    </w:p>
    <w:p>
      <w:pPr>
        <w:jc w:val="both"/>
        <w:ind w:firstLine="562"/>
        <w:spacing w:after="0" w:line="264" w:lineRule="auto"/>
        <w:rPr>
          <w:sz w:val="20"/>
          <w:szCs w:val="20"/>
          <w:color w:val="auto"/>
        </w:rPr>
      </w:pPr>
      <w:r>
        <w:rPr>
          <w:rFonts w:ascii="Arial" w:cs="Arial" w:eastAsia="Arial" w:hAnsi="Arial"/>
          <w:sz w:val="13"/>
          <w:szCs w:val="13"/>
          <w:color w:val="auto"/>
        </w:rPr>
        <w:t>Our annualized weighted average cost of debt for the six months ended March 31, 2014 and 2013, inclusive of the fee on the undrawn commitment on the Credit Facility and amortized upfront fees on SBA debentures, was 4.03% and 4.01%,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In March 2014, we increased the amount available for borrowing under our multi-currency Credit Facility by $15.0 million, bringing its size to $445.0 million. This multi-currency Credit Facility is with certain lenders and SunTrust Bank, acting as administrative agent, and JPMorgan Chase Bank, N.A., acting as syndication agent for the lenders. As of March 31, 2014 and September 30, 2013, there was $313.8 million (including a temporary draw of $10.0 million) and $145.5 million (including a temporary draw of $28.0 million), respectively, in outstanding borrowings under the Credit Facility, with a weighted average interest rate at the time of 3.07% and 3.33%, exclusive of the fee on undrawn commitments of 0.50%. The Credit Facility is a four-year revolving facility with a stated maturity date of February 21, 2016, a one-year term-out period following its third year and pricing set at 275 basis points over LIBOR. The Credit Facility is secured by substantially all of our assets excluding assets held by our SBIC Funds.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2014. We have funded SBIC II with $37.5 million of equity capital and we received a commitment from the SBA to allow SBIC II to access $75.0 million in SBA debentures.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As of March 31, 2014 and September 30, 2013, our SBIC Funds had $225.0 million and $150.0 million in debt commitments, respectively, and $150.0 million was drawn for each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period.</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March 31, 2014 and September 30, 2013 were as follows:</w:t>
      </w:r>
    </w:p>
    <w:p>
      <w:pPr>
        <w:spacing w:after="0" w:line="230"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180" w:type="dxa"/>
            <w:vAlign w:val="bottom"/>
            <w:vMerge w:val="restart"/>
          </w:tcPr>
          <w:p>
            <w:pPr>
              <w:jc w:val="right"/>
              <w:ind w:right="630"/>
              <w:spacing w:after="0"/>
              <w:rPr>
                <w:sz w:val="20"/>
                <w:szCs w:val="20"/>
                <w:color w:val="auto"/>
              </w:rPr>
            </w:pPr>
            <w:r>
              <w:rPr>
                <w:rFonts w:ascii="Arial" w:cs="Arial" w:eastAsia="Arial" w:hAnsi="Arial"/>
                <w:sz w:val="13"/>
                <w:szCs w:val="13"/>
                <w:b w:val="1"/>
                <w:bCs w:val="1"/>
                <w:color w:val="auto"/>
              </w:rPr>
              <w:t>Issuance Dates</w:t>
            </w:r>
          </w:p>
        </w:tc>
        <w:tc>
          <w:tcPr>
            <w:tcW w:w="620" w:type="dxa"/>
            <w:vAlign w:val="bottom"/>
            <w:vMerge w:val="restart"/>
          </w:tcPr>
          <w:p>
            <w:pPr>
              <w:spacing w:after="0"/>
              <w:rPr>
                <w:sz w:val="13"/>
                <w:szCs w:val="13"/>
                <w:color w:val="auto"/>
              </w:rPr>
            </w:pPr>
          </w:p>
        </w:tc>
        <w:tc>
          <w:tcPr>
            <w:tcW w:w="2180" w:type="dxa"/>
            <w:vAlign w:val="bottom"/>
            <w:gridSpan w:val="2"/>
          </w:tcPr>
          <w:p>
            <w:pPr>
              <w:ind w:left="740"/>
              <w:spacing w:after="0"/>
              <w:rPr>
                <w:sz w:val="20"/>
                <w:szCs w:val="20"/>
                <w:color w:val="auto"/>
              </w:rPr>
            </w:pPr>
            <w:r>
              <w:rPr>
                <w:rFonts w:ascii="Arial" w:cs="Arial" w:eastAsia="Arial" w:hAnsi="Arial"/>
                <w:sz w:val="13"/>
                <w:szCs w:val="13"/>
                <w:b w:val="1"/>
                <w:bCs w:val="1"/>
                <w:color w:val="auto"/>
              </w:rPr>
              <w:t>Maturity</w:t>
            </w:r>
          </w:p>
        </w:tc>
        <w:tc>
          <w:tcPr>
            <w:tcW w:w="2140" w:type="dxa"/>
            <w:vAlign w:val="bottom"/>
            <w:gridSpan w:val="2"/>
          </w:tcPr>
          <w:p>
            <w:pPr>
              <w:ind w:left="120"/>
              <w:spacing w:after="0"/>
              <w:rPr>
                <w:sz w:val="20"/>
                <w:szCs w:val="20"/>
                <w:color w:val="auto"/>
              </w:rPr>
            </w:pPr>
            <w:r>
              <w:rPr>
                <w:rFonts w:ascii="Arial" w:cs="Arial" w:eastAsia="Arial" w:hAnsi="Arial"/>
                <w:sz w:val="13"/>
                <w:szCs w:val="13"/>
                <w:b w:val="1"/>
                <w:bCs w:val="1"/>
                <w:color w:val="auto"/>
              </w:rPr>
              <w:t>Fixed All-In Coupon</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8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CCEEFF"/>
            </w:tcBorders>
            <w:vMerge w:val="continue"/>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Rate</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88"/>
              </w:rPr>
              <w:t>Principal Balance</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62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64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ind w:left="112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29, 2011</w:t>
            </w:r>
          </w:p>
        </w:tc>
        <w:tc>
          <w:tcPr>
            <w:tcW w:w="21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March 1, 2021</w:t>
            </w:r>
          </w:p>
        </w:tc>
        <w:tc>
          <w:tcPr>
            <w:tcW w:w="2140" w:type="dxa"/>
            <w:vAlign w:val="bottom"/>
            <w:gridSpan w:val="2"/>
          </w:tcPr>
          <w:p>
            <w:pPr>
              <w:ind w:left="112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September 21, 2011</w:t>
            </w:r>
          </w:p>
        </w:tc>
        <w:tc>
          <w:tcPr>
            <w:tcW w:w="21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September 1, 2021</w:t>
            </w:r>
          </w:p>
        </w:tc>
        <w:tc>
          <w:tcPr>
            <w:tcW w:w="2140" w:type="dxa"/>
            <w:vAlign w:val="bottom"/>
            <w:gridSpan w:val="2"/>
            <w:shd w:val="clear" w:color="auto" w:fill="CCEEFF"/>
          </w:tcPr>
          <w:p>
            <w:pPr>
              <w:ind w:left="1120"/>
              <w:spacing w:after="0" w:line="149" w:lineRule="exact"/>
              <w:rPr>
                <w:sz w:val="20"/>
                <w:szCs w:val="20"/>
                <w:color w:val="auto"/>
              </w:rPr>
            </w:pPr>
            <w:r>
              <w:rPr>
                <w:rFonts w:ascii="Arial" w:cs="Arial" w:eastAsia="Arial" w:hAnsi="Arial"/>
                <w:sz w:val="14"/>
                <w:szCs w:val="14"/>
                <w:color w:val="auto"/>
              </w:rPr>
              <w:t>3.38</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jc w:val="right"/>
              <w:ind w:right="700"/>
              <w:spacing w:after="0"/>
              <w:rPr>
                <w:sz w:val="20"/>
                <w:szCs w:val="20"/>
                <w:color w:val="auto"/>
              </w:rPr>
            </w:pPr>
            <w:r>
              <w:rPr>
                <w:rFonts w:ascii="Arial" w:cs="Arial" w:eastAsia="Arial" w:hAnsi="Arial"/>
                <w:sz w:val="14"/>
                <w:szCs w:val="14"/>
                <w:color w:val="auto"/>
              </w:rPr>
              <w:t>Weighted Average Rate / Total</w:t>
            </w: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gridSpan w:val="2"/>
            <w:vMerge w:val="continue"/>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40" w:type="dxa"/>
            <w:vAlign w:val="bottom"/>
            <w:gridSpan w:val="2"/>
          </w:tcPr>
          <w:p>
            <w:pPr>
              <w:ind w:left="112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March 31, 2014 and September 30, 2013, we had $71.3 million in aggregate principal amount of 2025 Notes. Interest on the 2025 Notes is paid quarterly on</w:t>
      </w:r>
    </w:p>
    <w:p>
      <w:pPr>
        <w:ind w:right="4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w:t>
      </w:r>
    </w:p>
    <w:p>
      <w:pPr>
        <w:spacing w:after="0" w:line="7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We, in the ordinary course of business, have guaranteed certain obligations of SPH. The guaranties are only triggered if there were administrative errors in acquiring assets which SPH subsequently sold or securitized. As of March 31, 2014 and September 30, 2013, our maximum guaranty was $13.6 million and $13.0 million, respectively. Based on SPH’s and industry historical loss rates we believe the risk of loss is remote, thus, we have not recorded a liability associated with the guaranties. The current guaranties will decline over time.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jc w:val="both"/>
        <w:ind w:right="120"/>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Investment Corporation and its Subsidiaries (the “Company”), including the consolidated schedule of investments, as of March 31, 2014, the consolidated statements of operations for the three and six months ended March 31, 2014, and the consolidated statements of changes in net assets, and cash flows for the six months ended March 31, 2014. These consolidated financial statements are the responsibility of the Company’s management.</w:t>
      </w:r>
    </w:p>
    <w:p>
      <w:pPr>
        <w:spacing w:after="0" w:line="60"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Based on our review, we are not aware of any material modifications that should be made to the consolidated financial statements referred to above for them to be in conformity with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128587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May 7, 2014</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96" w:lineRule="exact"/>
        <w:rPr>
          <w:sz w:val="20"/>
          <w:szCs w:val="20"/>
          <w:color w:val="auto"/>
        </w:rPr>
      </w:pPr>
    </w:p>
    <w:p>
      <w:pPr>
        <w:jc w:val="both"/>
        <w:ind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in our annual report on Form 10-K for the fiscal year-ended September 30, 2013 and elsewhere in this Report.</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ectPr>
          <w:pgSz w:w="11900" w:h="16838" w:orient="portrait"/>
          <w:cols w:equalWidth="0" w:num="1">
            <w:col w:w="11240"/>
          </w:cols>
          <w:pgMar w:left="320" w:top="459"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84"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7"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and foreign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40" w:firstLine="562"/>
        <w:spacing w:after="0" w:line="255" w:lineRule="auto"/>
        <w:rPr>
          <w:sz w:val="20"/>
          <w:szCs w:val="20"/>
          <w:color w:val="auto"/>
        </w:rPr>
      </w:pPr>
      <w:r>
        <w:rPr>
          <w:rFonts w:ascii="Arial" w:cs="Arial" w:eastAsia="Arial" w:hAnsi="Arial"/>
          <w:sz w:val="13"/>
          <w:szCs w:val="13"/>
          <w:color w:val="auto"/>
        </w:rPr>
        <w:t>As of March 31, 2014, our portfolio totaled $1,257.0 million and consisted of $322.2 million of senior secured loans, $407.0 million of second lien secured debt, $378.1 million of subordinated debt and $149.7 million of preferred and common equity investments. Our debt portfolio consisted of 44% fixed-rate and 56% variable-rate investments (including 48% with a LIBOR or prime floor). Our overall portfolio consisted of 68 companies with an average investment size of $18.5 million, had a weighted average yield on debt investments of 12.7% and was invested 26% in senior secured loans, 32% in second lien secured debt, 30% in subordinated debt and 12% in preferred and common equity investments.</w:t>
      </w:r>
    </w:p>
    <w:p>
      <w:pPr>
        <w:spacing w:after="0" w:line="67" w:lineRule="exact"/>
        <w:rPr>
          <w:sz w:val="20"/>
          <w:szCs w:val="20"/>
          <w:color w:val="auto"/>
        </w:rPr>
      </w:pPr>
    </w:p>
    <w:p>
      <w:pPr>
        <w:ind w:right="140" w:firstLine="562"/>
        <w:spacing w:after="0" w:line="255" w:lineRule="auto"/>
        <w:rPr>
          <w:sz w:val="20"/>
          <w:szCs w:val="20"/>
          <w:color w:val="auto"/>
        </w:rPr>
      </w:pPr>
      <w:r>
        <w:rPr>
          <w:rFonts w:ascii="Arial" w:cs="Arial" w:eastAsia="Arial" w:hAnsi="Arial"/>
          <w:sz w:val="13"/>
          <w:szCs w:val="13"/>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67" w:lineRule="exact"/>
        <w:rPr>
          <w:sz w:val="20"/>
          <w:szCs w:val="20"/>
          <w:color w:val="auto"/>
        </w:rPr>
      </w:pPr>
    </w:p>
    <w:p>
      <w:pPr>
        <w:jc w:val="both"/>
        <w:ind w:right="120" w:firstLine="562"/>
        <w:spacing w:after="0" w:line="264" w:lineRule="auto"/>
        <w:rPr>
          <w:sz w:val="20"/>
          <w:szCs w:val="20"/>
          <w:color w:val="auto"/>
        </w:rPr>
      </w:pPr>
      <w:r>
        <w:rPr>
          <w:rFonts w:ascii="Arial" w:cs="Arial" w:eastAsia="Arial" w:hAnsi="Arial"/>
          <w:sz w:val="13"/>
          <w:szCs w:val="13"/>
          <w:color w:val="auto"/>
        </w:rPr>
        <w:t>For the three months ended March 31, 2014, we invested $142.0 million in four new and six existing portfolio companies with a weighted average yield on debt investments of 12.0%. Sales and repayments of investments for the three months ended March 31, 2014 totaled $116.8 million. For the six months ended March 31, 2014, we invested $370.0 million in 13 new and 13 existing portfolio companies with a weighted average yield on debt investments of 12.2%. Sales and repayments of investments for the six months ended March 31, 2014 totaled $260.8 million.</w:t>
      </w:r>
    </w:p>
    <w:p>
      <w:pPr>
        <w:spacing w:after="0" w:line="6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For the three months ended March 31, 2013, we invested $75.4 million in one new and seven existing portfolio companies with a weighted average yield on debt investments of 13.5%. Sales and repayments of investments for the three months ended March 31, 2013 totaled $42.5 million. During the three months ended March 31, 2013, we had one investment restructured after going on non-accrual status. For the six months ended March 31, 2013, we invested $243.8 million in six new and 14 existing portfolio companies with a weighted average yield on debt investments of 12.9%. Sales and repayments of investments for the six months ended March 31, 2013 totaled $153.4 million.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firstLine="562"/>
        <w:spacing w:after="0" w:line="228" w:lineRule="auto"/>
        <w:rPr>
          <w:sz w:val="20"/>
          <w:szCs w:val="20"/>
          <w:color w:val="auto"/>
        </w:rPr>
      </w:pPr>
      <w:r>
        <w:rPr>
          <w:rFonts w:ascii="Arial" w:cs="Arial" w:eastAsia="Arial" w:hAnsi="Arial"/>
          <w:sz w:val="14"/>
          <w:szCs w:val="14"/>
          <w:color w:val="auto"/>
        </w:rPr>
        <w:t>The discussion of our financial condition and results of operations are based upon our Consolidated Financial Statements, which have been prepared in accordance with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71"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201"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6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24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6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7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55" w:lineRule="exact"/>
        <w:rPr>
          <w:sz w:val="20"/>
          <w:szCs w:val="20"/>
          <w:color w:val="auto"/>
        </w:rPr>
      </w:pPr>
    </w:p>
    <w:p>
      <w:pPr>
        <w:ind w:left="1540" w:right="100" w:hanging="849"/>
        <w:spacing w:after="0" w:line="290"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312" w:lineRule="exact"/>
        <w:rPr>
          <w:sz w:val="20"/>
          <w:szCs w:val="20"/>
          <w:color w:val="auto"/>
        </w:rPr>
      </w:pPr>
    </w:p>
    <w:p>
      <w:pPr>
        <w:jc w:val="both"/>
        <w:ind w:right="26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75"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six months ended March 31, 2014, our Credit Facility and 2025 Notes had a net change in unrealized appreciation of $6.1 million and $2.0 million, respectively. For the three and six months ended March 31, 2013, our Credit Facility and 2025 Notes had a net change in unrealized appreciation of $0.4 million and $1.0 million, respectively. As of March 31, 2014 and September 30, 2013, net unrealized depreciation on our Credit Facility and 2025 Notes totaled $0.8 million and $2.9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8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jc w:val="both"/>
        <w:ind w:right="4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firstLine="8"/>
        <w:spacing w:after="0" w:line="249"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7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and six months ended March 31, 2014 and 2013.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jc w:val="both"/>
        <w:ind w:right="40" w:firstLine="562"/>
        <w:spacing w:after="0" w:line="229" w:lineRule="auto"/>
        <w:rPr>
          <w:sz w:val="20"/>
          <w:szCs w:val="20"/>
          <w:color w:val="auto"/>
        </w:rPr>
      </w:pPr>
      <w:r>
        <w:rPr>
          <w:rFonts w:ascii="Arial" w:cs="Arial" w:eastAsia="Arial" w:hAnsi="Arial"/>
          <w:sz w:val="14"/>
          <w:szCs w:val="14"/>
          <w:color w:val="auto"/>
        </w:rPr>
        <w:t>Investment income for the three and six months ended March 31, 2014 was $37.9 million and $72.3 million, respectively, and was attributable to $10.6 million and $20.2 million from senior secured loans, $14.3 million and $26.6 million from second lien secured debt investments, $12.7 million and $24.1 million from subordinated debt investments, and $0.3 million and $1.4 million from equity investments, respectively. This compares to investment income for the three and six months ended March 31, 2013, which was $31.0 million and $64.0 million, respectively, and was attributable to $9.2 million and $18.0 million from senior secured loans, $8.6 million and $15.0 million from second lien secured debt investments, $13.2 million and $29.7 million from subordinated debt investments, and zero and $1.3 million from equity investments, respectively. The increase in investment income compared with the same period in the prior year was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40" w:firstLine="562"/>
        <w:spacing w:after="0" w:line="229" w:lineRule="auto"/>
        <w:rPr>
          <w:sz w:val="20"/>
          <w:szCs w:val="20"/>
          <w:color w:val="auto"/>
        </w:rPr>
      </w:pPr>
      <w:r>
        <w:rPr>
          <w:rFonts w:ascii="Arial" w:cs="Arial" w:eastAsia="Arial" w:hAnsi="Arial"/>
          <w:sz w:val="14"/>
          <w:szCs w:val="14"/>
          <w:color w:val="auto"/>
        </w:rPr>
        <w:t>Expenses for the three and six months ended March 31, 2014 totaled $17.8 million and $34.3 million, respectively. Base management fee for the same periods totaled $6.0 million and $11.8 million, incentive fees totaled $5.0 million and $9.5 million, debt related interest and expenses totaled $5.1 million and $9.7 million and general and administrative expenses totaled $1.7 million and $3.3 million, respectively. This compares to expenses for the three and six months ended March 31, 2013, which totaled $17.0 million and $31.8 million, respectively. Base management fee for the same periods totaled $5.3 million and $10.5 million, incentive fees totaled $3.6 million and $8.1 million, debt related interest and expenses (excluding the $2.4 million debt issuance expenses associated with our 2025 Notes) totaled $4.0 million and $7.1 million and general and administrative expenses and excise tax totaled $1.7 million and $3.7 million, respectively. The increase in expenses was primarily due to the higher financing costs.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jc w:val="both"/>
        <w:ind w:right="100" w:firstLine="562"/>
        <w:spacing w:after="0" w:line="264" w:lineRule="auto"/>
        <w:rPr>
          <w:sz w:val="20"/>
          <w:szCs w:val="20"/>
          <w:color w:val="auto"/>
        </w:rPr>
      </w:pPr>
      <w:r>
        <w:rPr>
          <w:rFonts w:ascii="Arial" w:cs="Arial" w:eastAsia="Arial" w:hAnsi="Arial"/>
          <w:sz w:val="13"/>
          <w:szCs w:val="13"/>
          <w:color w:val="auto"/>
        </w:rPr>
        <w:t>Net investment income totaled $20.0 million and $38.0 million, or $0.30 and $0.57 per share, for the three and six months ended March 31, 2014, respectively. Net investment income totaled $14.1 million and $32.2 million, or $0.21 and $0.49 per share, for the three and six months ended March 31, 2013, respectively. The increase in net investment income over the prior year was due to the growth of our portfolio and the absence of debt issuance costs during the most recent periods, which savings were partially offset by higher financing costs.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Sales and repayments of investments for the three and six months ended March 31, 2014 totaled $116.8 million and $260.8 million, respectively, and realized gains totaled $3.0 million and $5.7 million, respectively. Sales and repayments of investments for the three and six months ended March 31, 2013 totaled $42.5 million and $153.4 million, respectively, and realized losses totaled $1.8 million and $1.0 million, respectively. The increase in realized gains was driven by changes in market conditions of our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2025 Notes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For the three and six months ended March 31, 2014, we reported net unrealized appreciation on investments of $23.8 million and $38.5 million, respectively. For the three and six months ended March 31, 2013, we reported a net unrealized appreciation on investments of $15.2 million and $25.2 million, respectively. As of March 31, 2014 and September 30, 2013, our net unrealized appreciation (depreciation) on investments totaled $25.2 million and $(13.3) million, respectively. The increase over the prior year was the result of changes in the market values of our investments offset by reversals of unrealized appreciation upon exiting our investments.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 the three and six months ended March 31, 2014, we reported net unrealized appreciation on our Credit Facility and 2025 Notes of $6.1 million and $2.0 million, respectively. For the three and six months ended March 31, 2013, we reported a net unrealized appreciation on our Credit Facility and 2025 Notes of $0.4 million and $1.0 million, respectively. Net change in unrealized appreciation on the Credit Facility and 2025 Notes over the prior year was due to changes in the capital markets.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Increase in Net Assets Resulting from Operations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Net increase in net assets resulting from operations totaled $40.7 million and $80.1 million, or $0.61 and $1.20 per share, for the three and six months ended March 31, 2014, respectively. This compares to a net increase in net assets resulting from operations of $27.0 million and $55.5 million, or $0.41 and $0.84 per share, for the three and six months ended March 31, 2013, respectively. The increase compared to the prior periods was due to the continued growth of our portfolio and appreciation of our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60"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In March 2014, we increased the amount available for borrowing under our multi-currency Credit Facility by $15.0 million, bringing its size to $445.0 million. This multi-currency Credit Facility is with certain lenders and SunTrust Bank, acting as administrative agent, and JPMorgan Chase Bank, N.A., acting as syndication agent for the lenders. As of March 31, 2014 and September 30, 2013, there was $313.8 million (including a temporary draw of $10.0 million) and $145.5 million (including a temporary draw of $28.0 million), respectively, in outstanding borrowings under the Credit Facility, with a weighted average interest rate at the time of 3.07% and 3.33%, exclusive of the fee on undrawn commitments of 0.50%. The Credit Facility is a four-year revolving facility with a stated maturity date of February 21, 2016, a one-year term-out period following its third year and pricing set at 275 basis points over LIBOR. The Credit Facility is secured by substantially all of our assets excluding assets held by our SBIC Funds. As of March 31, 2014 and September 30, 2013, we had $131.2 million and $284.5 million of unused borrowing capacity, respectively, subject to the regulatory restrictions that the 1940 Act imposes on us as a BDC. The Credit Facility is secured by substantially all of our assets excluding assets held by our SBIC Funds.</w:t>
      </w:r>
    </w:p>
    <w:p>
      <w:pPr>
        <w:spacing w:after="0" w:line="78" w:lineRule="exact"/>
        <w:rPr>
          <w:sz w:val="20"/>
          <w:szCs w:val="20"/>
          <w:color w:val="auto"/>
        </w:rPr>
      </w:pPr>
    </w:p>
    <w:p>
      <w:pPr>
        <w:ind w:right="40" w:firstLine="562"/>
        <w:spacing w:after="0" w:line="248" w:lineRule="auto"/>
        <w:rPr>
          <w:sz w:val="20"/>
          <w:szCs w:val="20"/>
          <w:color w:val="auto"/>
        </w:rPr>
      </w:pPr>
      <w:r>
        <w:rPr>
          <w:rFonts w:ascii="Arial" w:cs="Arial" w:eastAsia="Arial" w:hAnsi="Arial"/>
          <w:sz w:val="13"/>
          <w:szCs w:val="13"/>
          <w:color w:val="auto"/>
        </w:rPr>
        <w:t>The Credit Facility contains customary affirmative and restrictive covenants, including maintenance of a minimum stockholders’ equity of the sum of (a) $220.0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2:1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March 31, 2014, we were in compliance with the terms of our Credit Facility.</w:t>
      </w:r>
    </w:p>
    <w:p>
      <w:pPr>
        <w:spacing w:after="0" w:line="18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the six months ended March 31, 2014, we did not issue shares of common stock in connection with an equity offering.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75"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March 31, 2014. We have funded SBIC II with $37.5 million of equity capital and we received a commitment from the SBA to allow SBIC II to access $75.0 million in SBA debentures.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2"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As of March 31,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March 31, 2014 and September 30, 2013 were as follows: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2160" w:type="dxa"/>
            <w:vAlign w:val="bottom"/>
            <w:vMerge w:val="restart"/>
          </w:tcPr>
          <w:p>
            <w:pPr>
              <w:jc w:val="right"/>
              <w:ind w:right="610"/>
              <w:spacing w:after="0"/>
              <w:rPr>
                <w:sz w:val="20"/>
                <w:szCs w:val="20"/>
                <w:color w:val="auto"/>
              </w:rPr>
            </w:pPr>
            <w:r>
              <w:rPr>
                <w:rFonts w:ascii="Arial" w:cs="Arial" w:eastAsia="Arial" w:hAnsi="Arial"/>
                <w:sz w:val="13"/>
                <w:szCs w:val="13"/>
                <w:b w:val="1"/>
                <w:bCs w:val="1"/>
                <w:color w:val="auto"/>
              </w:rPr>
              <w:t>Issuance Dates</w:t>
            </w:r>
          </w:p>
        </w:tc>
        <w:tc>
          <w:tcPr>
            <w:tcW w:w="480" w:type="dxa"/>
            <w:vAlign w:val="bottom"/>
            <w:vMerge w:val="restart"/>
          </w:tcPr>
          <w:p>
            <w:pPr>
              <w:spacing w:after="0"/>
              <w:rPr>
                <w:sz w:val="14"/>
                <w:szCs w:val="14"/>
                <w:color w:val="auto"/>
              </w:rPr>
            </w:pPr>
          </w:p>
        </w:tc>
        <w:tc>
          <w:tcPr>
            <w:tcW w:w="2020" w:type="dxa"/>
            <w:vAlign w:val="bottom"/>
            <w:gridSpan w:val="2"/>
          </w:tcPr>
          <w:p>
            <w:pPr>
              <w:ind w:left="680"/>
              <w:spacing w:after="0"/>
              <w:rPr>
                <w:sz w:val="20"/>
                <w:szCs w:val="20"/>
                <w:color w:val="auto"/>
              </w:rPr>
            </w:pPr>
            <w:r>
              <w:rPr>
                <w:rFonts w:ascii="Arial" w:cs="Arial" w:eastAsia="Arial" w:hAnsi="Arial"/>
                <w:sz w:val="13"/>
                <w:szCs w:val="13"/>
                <w:b w:val="1"/>
                <w:bCs w:val="1"/>
                <w:color w:val="auto"/>
              </w:rPr>
              <w:t>Maturity</w:t>
            </w:r>
          </w:p>
        </w:tc>
        <w:tc>
          <w:tcPr>
            <w:tcW w:w="17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Fixed All-In Coupon Rate</w:t>
            </w:r>
          </w:p>
        </w:tc>
        <w:tc>
          <w:tcPr>
            <w:tcW w:w="6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0"/>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6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CCEEFF"/>
            </w:tcBorders>
            <w:vMerge w:val="continue"/>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78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jc w:val="right"/>
              <w:ind w:right="10"/>
              <w:spacing w:after="0" w:line="142" w:lineRule="exact"/>
              <w:rPr>
                <w:sz w:val="20"/>
                <w:szCs w:val="20"/>
                <w:color w:val="auto"/>
              </w:rPr>
            </w:pPr>
            <w:r>
              <w:rPr>
                <w:rFonts w:ascii="Arial" w:cs="Arial" w:eastAsia="Arial" w:hAnsi="Arial"/>
                <w:sz w:val="14"/>
                <w:szCs w:val="14"/>
                <w:color w:val="auto"/>
              </w:rPr>
              <w:t>September 22, 2010</w:t>
            </w:r>
          </w:p>
        </w:tc>
        <w:tc>
          <w:tcPr>
            <w:tcW w:w="4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5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152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29, 2011</w:t>
            </w:r>
          </w:p>
        </w:tc>
        <w:tc>
          <w:tcPr>
            <w:tcW w:w="2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1, 2021</w:t>
            </w:r>
          </w:p>
        </w:tc>
        <w:tc>
          <w:tcPr>
            <w:tcW w:w="2420" w:type="dxa"/>
            <w:vAlign w:val="bottom"/>
            <w:gridSpan w:val="2"/>
          </w:tcPr>
          <w:p>
            <w:pPr>
              <w:ind w:left="152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21, 2011</w:t>
            </w:r>
          </w:p>
        </w:tc>
        <w:tc>
          <w:tcPr>
            <w:tcW w:w="2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1, 2021</w:t>
            </w:r>
          </w:p>
        </w:tc>
        <w:tc>
          <w:tcPr>
            <w:tcW w:w="1780" w:type="dxa"/>
            <w:vAlign w:val="bottom"/>
            <w:tcBorders>
              <w:bottom w:val="single" w:sz="8" w:color="auto"/>
            </w:tcBorders>
            <w:shd w:val="clear" w:color="auto" w:fill="CCEEFF"/>
          </w:tcPr>
          <w:p>
            <w:pPr>
              <w:ind w:left="1520"/>
              <w:spacing w:after="0" w:line="149" w:lineRule="exact"/>
              <w:rPr>
                <w:sz w:val="20"/>
                <w:szCs w:val="20"/>
                <w:color w:val="auto"/>
              </w:rPr>
            </w:pPr>
            <w:r>
              <w:rPr>
                <w:rFonts w:ascii="Arial" w:cs="Arial" w:eastAsia="Arial" w:hAnsi="Arial"/>
                <w:sz w:val="14"/>
                <w:szCs w:val="14"/>
                <w:color w:val="auto"/>
                <w:w w:val="87"/>
              </w:rPr>
              <w:t>3.38</w:t>
            </w:r>
          </w:p>
        </w:tc>
        <w:tc>
          <w:tcPr>
            <w:tcW w:w="6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4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Weighted Average Rate / Total</w:t>
            </w: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gridSpan w:val="2"/>
          </w:tcPr>
          <w:p>
            <w:pPr>
              <w:ind w:left="152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March 31, 2014, our SBIC Funds were in compliance with their regulatory requirements.</w:t>
      </w:r>
    </w:p>
    <w:p>
      <w:pPr>
        <w:spacing w:after="0" w:line="76"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asset coverage ratio is met after such borrowing. As of March 31,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At March, 31, 2014 and September 30, 2013, we had cash and cash equivalents of $56.3 million and $58.4 million, respectively, available for investing and general corporate purposes.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84" w:lineRule="exact"/>
        <w:rPr>
          <w:sz w:val="20"/>
          <w:szCs w:val="20"/>
          <w:color w:val="auto"/>
        </w:rPr>
      </w:pPr>
    </w:p>
    <w:p>
      <w:pPr>
        <w:ind w:right="340" w:firstLine="562"/>
        <w:spacing w:after="0" w:line="253" w:lineRule="auto"/>
        <w:rPr>
          <w:sz w:val="20"/>
          <w:szCs w:val="20"/>
          <w:color w:val="auto"/>
        </w:rPr>
      </w:pPr>
      <w:r>
        <w:rPr>
          <w:rFonts w:ascii="Arial" w:cs="Arial" w:eastAsia="Arial" w:hAnsi="Arial"/>
          <w:sz w:val="14"/>
          <w:szCs w:val="14"/>
          <w:color w:val="auto"/>
        </w:rPr>
        <w:t>Our operating activities used cash of $133.2 million for the six months ended March 31, 2014, primarily for net purchases of investments. Our financing activities provided cash of $131.1 million for the same period, primarily from net borrowings under our Credit Facility.</w:t>
      </w:r>
    </w:p>
    <w:p>
      <w:pPr>
        <w:spacing w:after="0" w:line="6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Our operating activities used cash of $63.1 million for the six months ended March 31, 2013, primarily for net purchases of investments. Our financing activities provided cash of $72.9 million for the same period, primarily from the proceeds of the issuance of the 2025 Notes.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March 31, 2014,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3"/>
                <w:szCs w:val="13"/>
                <w:b w:val="1"/>
                <w:bCs w:val="1"/>
                <w:color w:val="auto"/>
              </w:rPr>
              <w:t>Payments due by period (in millions)</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8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w w:val="88"/>
              </w:rPr>
              <w:t>Less than 1 year</w:t>
            </w:r>
          </w:p>
        </w:tc>
        <w:tc>
          <w:tcPr>
            <w:tcW w:w="200" w:type="dxa"/>
            <w:vAlign w:val="bottom"/>
          </w:tcPr>
          <w:p>
            <w:pPr>
              <w:spacing w:after="0"/>
              <w:rPr>
                <w:sz w:val="12"/>
                <w:szCs w:val="12"/>
                <w:color w:val="auto"/>
              </w:rPr>
            </w:pPr>
          </w:p>
        </w:tc>
        <w:tc>
          <w:tcPr>
            <w:tcW w:w="1340" w:type="dxa"/>
            <w:vAlign w:val="bottom"/>
            <w:gridSpan w:val="2"/>
          </w:tcPr>
          <w:p>
            <w:pPr>
              <w:jc w:val="right"/>
              <w:ind w:right="720"/>
              <w:spacing w:after="0" w:line="142" w:lineRule="exact"/>
              <w:rPr>
                <w:sz w:val="20"/>
                <w:szCs w:val="20"/>
                <w:color w:val="auto"/>
              </w:rPr>
            </w:pPr>
            <w:r>
              <w:rPr>
                <w:rFonts w:ascii="Arial" w:cs="Arial" w:eastAsia="Arial" w:hAnsi="Arial"/>
                <w:sz w:val="13"/>
                <w:szCs w:val="13"/>
                <w:b w:val="1"/>
                <w:bCs w:val="1"/>
                <w:color w:val="auto"/>
              </w:rPr>
              <w:t>1-3 years</w:t>
            </w:r>
          </w:p>
        </w:tc>
        <w:tc>
          <w:tcPr>
            <w:tcW w:w="220" w:type="dxa"/>
            <w:vAlign w:val="bottom"/>
          </w:tcPr>
          <w:p>
            <w:pPr>
              <w:spacing w:after="0"/>
              <w:rPr>
                <w:sz w:val="12"/>
                <w:szCs w:val="12"/>
                <w:color w:val="auto"/>
              </w:rPr>
            </w:pPr>
          </w:p>
        </w:tc>
        <w:tc>
          <w:tcPr>
            <w:tcW w:w="1320" w:type="dxa"/>
            <w:vAlign w:val="bottom"/>
            <w:gridSpan w:val="2"/>
          </w:tcPr>
          <w:p>
            <w:pPr>
              <w:jc w:val="right"/>
              <w:ind w:right="740"/>
              <w:spacing w:after="0" w:line="142" w:lineRule="exact"/>
              <w:rPr>
                <w:sz w:val="20"/>
                <w:szCs w:val="20"/>
                <w:color w:val="auto"/>
              </w:rPr>
            </w:pPr>
            <w:r>
              <w:rPr>
                <w:rFonts w:ascii="Arial" w:cs="Arial" w:eastAsia="Arial" w:hAnsi="Arial"/>
                <w:sz w:val="13"/>
                <w:szCs w:val="13"/>
                <w:b w:val="1"/>
                <w:bCs w:val="1"/>
                <w:color w:val="auto"/>
              </w:rPr>
              <w:t>3-5years</w:t>
            </w:r>
          </w:p>
        </w:tc>
        <w:tc>
          <w:tcPr>
            <w:tcW w:w="80" w:type="dxa"/>
            <w:vAlign w:val="bottom"/>
          </w:tcPr>
          <w:p>
            <w:pPr>
              <w:spacing w:after="0"/>
              <w:rPr>
                <w:sz w:val="12"/>
                <w:szCs w:val="12"/>
                <w:color w:val="auto"/>
              </w:rPr>
            </w:pPr>
          </w:p>
        </w:tc>
        <w:tc>
          <w:tcPr>
            <w:tcW w:w="1080" w:type="dxa"/>
            <w:vAlign w:val="bottom"/>
          </w:tcPr>
          <w:p>
            <w:pPr>
              <w:jc w:val="right"/>
              <w:ind w:right="29"/>
              <w:spacing w:after="0" w:line="142" w:lineRule="exact"/>
              <w:rPr>
                <w:sz w:val="20"/>
                <w:szCs w:val="20"/>
                <w:color w:val="auto"/>
              </w:rPr>
            </w:pPr>
            <w:r>
              <w:rPr>
                <w:rFonts w:ascii="Arial" w:cs="Arial" w:eastAsia="Arial" w:hAnsi="Arial"/>
                <w:sz w:val="13"/>
                <w:szCs w:val="13"/>
                <w:b w:val="1"/>
                <w:bCs w:val="1"/>
                <w:color w:val="auto"/>
                <w:w w:val="86"/>
              </w:rPr>
              <w:t>More than 5 years</w:t>
            </w:r>
          </w:p>
        </w:tc>
        <w:tc>
          <w:tcPr>
            <w:tcW w:w="80" w:type="dxa"/>
            <w:vAlign w:val="bottom"/>
          </w:tcPr>
          <w:p>
            <w:pPr>
              <w:spacing w:after="0"/>
              <w:rPr>
                <w:sz w:val="12"/>
                <w:szCs w:val="12"/>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 xml:space="preserve">Credit Facility </w:t>
            </w:r>
            <w:r>
              <w:rPr>
                <w:rFonts w:ascii="Arial" w:cs="Arial" w:eastAsia="Arial" w:hAnsi="Arial"/>
                <w:sz w:val="12"/>
                <w:szCs w:val="12"/>
                <w:color w:val="auto"/>
              </w:rPr>
              <w:t>(1)</w:t>
            </w:r>
          </w:p>
        </w:tc>
        <w:tc>
          <w:tcPr>
            <w:tcW w:w="780" w:type="dxa"/>
            <w:vAlign w:val="bottom"/>
            <w:tcBorders>
              <w:top w:val="single" w:sz="8" w:color="auto"/>
            </w:tcBorders>
            <w:shd w:val="clear" w:color="auto" w:fill="CCEEFF"/>
          </w:tcPr>
          <w:p>
            <w:pPr>
              <w:jc w:val="right"/>
              <w:ind w:right="631"/>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313.8</w:t>
            </w:r>
          </w:p>
        </w:tc>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313.8</w:t>
            </w:r>
          </w:p>
        </w:tc>
        <w:tc>
          <w:tcPr>
            <w:tcW w:w="3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8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2025 Notes</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(2)</w:t>
            </w:r>
          </w:p>
        </w:tc>
        <w:tc>
          <w:tcPr>
            <w:tcW w:w="7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535.1</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313.8</w:t>
            </w:r>
          </w:p>
        </w:tc>
        <w:tc>
          <w:tcPr>
            <w:tcW w:w="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221.3</w:t>
            </w:r>
          </w:p>
        </w:tc>
        <w:tc>
          <w:tcPr>
            <w:tcW w:w="80" w:type="dxa"/>
            <w:vAlign w:val="bottom"/>
          </w:tcPr>
          <w:p>
            <w:pPr>
              <w:spacing w:after="0"/>
              <w:rPr>
                <w:sz w:val="13"/>
                <w:szCs w:val="13"/>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(3)</w:t>
            </w:r>
          </w:p>
        </w:tc>
        <w:tc>
          <w:tcPr>
            <w:tcW w:w="7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10.3</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r>
      <w:tr>
        <w:trPr>
          <w:trHeight w:val="155"/>
        </w:trPr>
        <w:tc>
          <w:tcPr>
            <w:tcW w:w="384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780" w:type="dxa"/>
            <w:vAlign w:val="bottom"/>
            <w:tcBorders>
              <w:top w:val="single" w:sz="8" w:color="auto"/>
              <w:bottom w:val="single" w:sz="8" w:color="auto"/>
            </w:tcBorders>
          </w:tcPr>
          <w:p>
            <w:pPr>
              <w:jc w:val="right"/>
              <w:ind w:right="631"/>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558.0</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w:t>
            </w:r>
          </w:p>
        </w:tc>
        <w:tc>
          <w:tcPr>
            <w:tcW w:w="3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317.3</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3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222.9</w:t>
            </w:r>
          </w:p>
        </w:tc>
        <w:tc>
          <w:tcPr>
            <w:tcW w:w="8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00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3"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borrowings denominated in British Pounds of £43.0 million, as of March 31, 2014.</w:t>
      </w:r>
    </w:p>
    <w:p>
      <w:pPr>
        <w:ind w:left="560" w:right="80" w:hanging="552"/>
        <w:spacing w:after="0" w:line="221" w:lineRule="auto"/>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weighted average cost of debt as of March 31, 2014 was 4.03% inclusive of the fee on the undrawn commitment of 0.50% on the Credit Facility and 3.43% of upfront fees on SBA debentures.</w:t>
      </w:r>
    </w:p>
    <w:p>
      <w:pPr>
        <w:ind w:left="560" w:hanging="552"/>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Unfunded debt and equity investments described in the Consolidated Statement of Assets and Liabilities represent unfunded delayed draws on investments.</w:t>
      </w:r>
    </w:p>
    <w:p>
      <w:pPr>
        <w:spacing w:after="0" w:line="84"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71"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We, in the ordinary course of business, have guaranteed certain obligations of SPH. The guaranties are only triggered if there were administrative errors in acquiring assets which SPH subsequently sold or securitized. As of March 31, 2014 and September 30, 2013, our maximum guaranty was $13.6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including any risk management of commodity pricing or other hedging practices.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Although we are not subject to tax as a RIC, we may elect to retain a portion of our calendar year income.</w:t>
      </w:r>
    </w:p>
    <w:p>
      <w:pPr>
        <w:spacing w:after="0" w:line="71"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During the three and six months ended March 31, 2014, we declared to stockholders distributions of $0.28 and $0.56 per share, respectively, for total distributions of $18.6 million and $37.3 million, respectively. For the same periods in the prior year, we declared distributions of $0.28 and $0.56 per share, respectively, for total distributions of $18.6 million and $37.2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March 31, 2014, our debt portfolio consisted of 44% fixed-rate investments and 56% variable-rate investments (including 48%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76"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8"/>
        </w:trPr>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Net Of Interest Expense (In</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1"/>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Change In Interest Rates</w:t>
            </w: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Thousands)</w:t>
            </w:r>
          </w:p>
        </w:tc>
        <w:tc>
          <w:tcPr>
            <w:tcW w:w="480" w:type="dxa"/>
            <w:vAlign w:val="bottom"/>
          </w:tcPr>
          <w:p>
            <w:pPr>
              <w:spacing w:after="0"/>
              <w:rPr>
                <w:sz w:val="15"/>
                <w:szCs w:val="15"/>
                <w:color w:val="auto"/>
              </w:rPr>
            </w:pP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Per Share</w:t>
            </w:r>
          </w:p>
        </w:tc>
      </w:tr>
      <w:tr>
        <w:trPr>
          <w:trHeight w:val="142"/>
        </w:trPr>
        <w:tc>
          <w:tcPr>
            <w:tcW w:w="21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320" w:type="dxa"/>
            <w:vAlign w:val="bottom"/>
            <w:tcBorders>
              <w:top w:val="single" w:sz="8" w:color="CEEFFF"/>
            </w:tcBorders>
            <w:shd w:val="clear" w:color="auto" w:fill="CEEFFF"/>
          </w:tcPr>
          <w:p>
            <w:pPr>
              <w:spacing w:after="0"/>
              <w:rPr>
                <w:sz w:val="12"/>
                <w:szCs w:val="12"/>
                <w:color w:val="auto"/>
              </w:rPr>
            </w:pPr>
          </w:p>
        </w:tc>
        <w:tc>
          <w:tcPr>
            <w:tcW w:w="980" w:type="dxa"/>
            <w:vAlign w:val="bottom"/>
            <w:tcBorders>
              <w:top w:val="single" w:sz="8" w:color="auto"/>
            </w:tcBorders>
            <w:shd w:val="clear" w:color="auto" w:fill="CEEF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EEFFF"/>
          </w:tcPr>
          <w:p>
            <w:pPr>
              <w:jc w:val="right"/>
              <w:ind w:right="508"/>
              <w:spacing w:after="0" w:line="142" w:lineRule="exact"/>
              <w:rPr>
                <w:sz w:val="20"/>
                <w:szCs w:val="20"/>
                <w:color w:val="auto"/>
              </w:rPr>
            </w:pPr>
            <w:r>
              <w:rPr>
                <w:rFonts w:ascii="Arial" w:cs="Arial" w:eastAsia="Arial" w:hAnsi="Arial"/>
                <w:sz w:val="14"/>
                <w:szCs w:val="14"/>
                <w:color w:val="auto"/>
              </w:rPr>
              <w:t>(2,039)</w:t>
            </w:r>
          </w:p>
        </w:tc>
        <w:tc>
          <w:tcPr>
            <w:tcW w:w="280" w:type="dxa"/>
            <w:vAlign w:val="bottom"/>
            <w:tcBorders>
              <w:top w:val="single" w:sz="8" w:color="CEEFFF"/>
            </w:tcBorders>
            <w:shd w:val="clear" w:color="auto" w:fill="CEEFFF"/>
          </w:tcPr>
          <w:p>
            <w:pPr>
              <w:spacing w:after="0"/>
              <w:rPr>
                <w:sz w:val="12"/>
                <w:szCs w:val="12"/>
                <w:color w:val="auto"/>
              </w:rPr>
            </w:pPr>
          </w:p>
        </w:tc>
        <w:tc>
          <w:tcPr>
            <w:tcW w:w="480" w:type="dxa"/>
            <w:vAlign w:val="bottom"/>
            <w:tcBorders>
              <w:top w:val="single" w:sz="8" w:color="auto"/>
            </w:tcBorders>
            <w:shd w:val="clear" w:color="auto" w:fill="CEEF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2"/>
              </w:rPr>
              <w:t>(0.03)</w:t>
            </w:r>
          </w:p>
        </w:tc>
      </w:tr>
      <w:tr>
        <w:trPr>
          <w:trHeight w:val="149"/>
        </w:trPr>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Up 2%</w:t>
            </w:r>
          </w:p>
        </w:tc>
        <w:tc>
          <w:tcPr>
            <w:tcW w:w="9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206</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888"/>
              <w:spacing w:after="0" w:line="149" w:lineRule="exact"/>
              <w:rPr>
                <w:sz w:val="20"/>
                <w:szCs w:val="20"/>
                <w:color w:val="auto"/>
              </w:rPr>
            </w:pPr>
            <w:r>
              <w:rPr>
                <w:rFonts w:ascii="Arial" w:cs="Arial" w:eastAsia="Arial" w:hAnsi="Arial"/>
                <w:sz w:val="14"/>
                <w:szCs w:val="14"/>
                <w:color w:val="auto"/>
              </w:rPr>
              <w:t>0.00</w:t>
            </w:r>
          </w:p>
        </w:tc>
      </w:tr>
      <w:tr>
        <w:trPr>
          <w:trHeight w:val="148"/>
        </w:trPr>
        <w:tc>
          <w:tcPr>
            <w:tcW w:w="2460" w:type="dxa"/>
            <w:vAlign w:val="bottom"/>
            <w:gridSpan w:val="2"/>
            <w:shd w:val="clear" w:color="auto" w:fill="CEEFFF"/>
          </w:tcPr>
          <w:p>
            <w:pPr>
              <w:jc w:val="center"/>
              <w:ind w:right="320"/>
              <w:spacing w:after="0" w:line="149" w:lineRule="exact"/>
              <w:rPr>
                <w:sz w:val="20"/>
                <w:szCs w:val="20"/>
                <w:color w:val="auto"/>
              </w:rPr>
            </w:pPr>
            <w:r>
              <w:rPr>
                <w:rFonts w:ascii="Arial" w:cs="Arial" w:eastAsia="Arial" w:hAnsi="Arial"/>
                <w:sz w:val="14"/>
                <w:szCs w:val="14"/>
                <w:color w:val="auto"/>
                <w:w w:val="99"/>
              </w:rPr>
              <w:t>Up 3%</w:t>
            </w:r>
          </w:p>
        </w:tc>
        <w:tc>
          <w:tcPr>
            <w:tcW w:w="980" w:type="dxa"/>
            <w:vAlign w:val="bottom"/>
            <w:shd w:val="clear" w:color="auto" w:fill="CEEF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EEFFF"/>
          </w:tcPr>
          <w:p>
            <w:pPr>
              <w:jc w:val="right"/>
              <w:ind w:right="668"/>
              <w:spacing w:after="0" w:line="149" w:lineRule="exact"/>
              <w:rPr>
                <w:sz w:val="20"/>
                <w:szCs w:val="20"/>
                <w:color w:val="auto"/>
              </w:rPr>
            </w:pPr>
            <w:r>
              <w:rPr>
                <w:rFonts w:ascii="Arial" w:cs="Arial" w:eastAsia="Arial" w:hAnsi="Arial"/>
                <w:sz w:val="14"/>
                <w:szCs w:val="14"/>
                <w:color w:val="auto"/>
              </w:rPr>
              <w:t>3,292</w:t>
            </w:r>
          </w:p>
        </w:tc>
        <w:tc>
          <w:tcPr>
            <w:tcW w:w="280" w:type="dxa"/>
            <w:vAlign w:val="bottom"/>
            <w:shd w:val="clear" w:color="auto" w:fill="CEEFFF"/>
          </w:tcPr>
          <w:p>
            <w:pPr>
              <w:spacing w:after="0"/>
              <w:rPr>
                <w:sz w:val="12"/>
                <w:szCs w:val="12"/>
                <w:color w:val="auto"/>
              </w:rPr>
            </w:pPr>
          </w:p>
        </w:tc>
        <w:tc>
          <w:tcPr>
            <w:tcW w:w="480" w:type="dxa"/>
            <w:vAlign w:val="bottom"/>
            <w:shd w:val="clear" w:color="auto" w:fill="CEEF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EEFFF"/>
          </w:tcPr>
          <w:p>
            <w:pPr>
              <w:jc w:val="center"/>
              <w:spacing w:after="0" w:line="149" w:lineRule="exact"/>
              <w:rPr>
                <w:sz w:val="20"/>
                <w:szCs w:val="20"/>
                <w:color w:val="auto"/>
              </w:rPr>
            </w:pPr>
            <w:r>
              <w:rPr>
                <w:rFonts w:ascii="Arial" w:cs="Arial" w:eastAsia="Arial" w:hAnsi="Arial"/>
                <w:sz w:val="14"/>
                <w:szCs w:val="14"/>
                <w:color w:val="auto"/>
                <w:w w:val="87"/>
              </w:rPr>
              <w:t>0.05</w:t>
            </w:r>
          </w:p>
        </w:tc>
      </w:tr>
      <w:tr>
        <w:trPr>
          <w:trHeight w:val="182"/>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Up 4%</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68"/>
              <w:spacing w:after="0"/>
              <w:rPr>
                <w:sz w:val="20"/>
                <w:szCs w:val="20"/>
                <w:color w:val="auto"/>
              </w:rPr>
            </w:pPr>
            <w:r>
              <w:rPr>
                <w:rFonts w:ascii="Arial" w:cs="Arial" w:eastAsia="Arial" w:hAnsi="Arial"/>
                <w:sz w:val="14"/>
                <w:szCs w:val="14"/>
                <w:color w:val="auto"/>
              </w:rPr>
              <w:t>6,378</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0.10</w:t>
            </w:r>
          </w:p>
        </w:tc>
      </w:tr>
    </w:tbl>
    <w:p>
      <w:pPr>
        <w:spacing w:after="0" w:line="5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firstLine="562"/>
        <w:spacing w:after="0" w:line="264"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70"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March 31, 2014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ectPr>
          <w:pgSz w:w="11900" w:h="16838" w:orient="portrait"/>
          <w:cols w:equalWidth="0" w:num="1">
            <w:col w:w="11220"/>
          </w:cols>
          <w:pgMar w:left="320" w:top="459" w:right="35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Unregistered Sales of Equity Securities and Use of Proceeds</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Defaults Upon Senior Securities</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w:t>
      </w:r>
    </w:p>
    <w:p>
      <w:pPr>
        <w:spacing w:after="0" w:line="122"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Not applicable.</w:t>
      </w:r>
    </w:p>
    <w:p>
      <w:pPr>
        <w:sectPr>
          <w:pgSz w:w="11900" w:h="16838" w:orient="portrait"/>
          <w:cols w:equalWidth="0" w:num="1">
            <w:col w:w="11220"/>
          </w:cols>
          <w:pgMar w:left="320" w:top="459" w:right="3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Information</w:t>
      </w:r>
    </w:p>
    <w:p>
      <w:pPr>
        <w:spacing w:after="0" w:line="111" w:lineRule="exact"/>
        <w:rPr>
          <w:sz w:val="20"/>
          <w:szCs w:val="20"/>
          <w:color w:val="auto"/>
        </w:rPr>
      </w:pPr>
    </w:p>
    <w:p>
      <w:pPr>
        <w:sectPr>
          <w:pgSz w:w="11900" w:h="16838" w:orient="portrait"/>
          <w:cols w:equalWidth="0" w:num="2">
            <w:col w:w="860" w:space="720"/>
            <w:col w:w="9640"/>
          </w:cols>
          <w:pgMar w:left="320" w:top="459" w:right="35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None.</w:t>
      </w:r>
    </w:p>
    <w:p>
      <w:pPr>
        <w:sectPr>
          <w:pgSz w:w="11900" w:h="16838" w:orient="portrait"/>
          <w:cols w:equalWidth="0" w:num="1">
            <w:col w:w="11220"/>
          </w:cols>
          <w:pgMar w:left="320" w:top="459" w:right="359" w:bottom="1440" w:gutter="0" w:footer="0" w:header="0"/>
          <w:type w:val="continuous"/>
        </w:sectPr>
      </w:pP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220"/>
          </w:cols>
          <w:pgMar w:left="320" w:top="459" w:right="3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20"/>
                <w:szCs w:val="20"/>
                <w:color w:val="auto"/>
              </w:rPr>
            </w:pPr>
            <w:r>
              <w:rPr>
                <w:rFonts w:ascii="Arial" w:cs="Arial" w:eastAsia="Arial" w:hAnsi="Arial"/>
                <w:sz w:val="14"/>
                <w:szCs w:val="14"/>
                <w:b w:val="1"/>
                <w:bCs w:val="1"/>
                <w:color w:val="auto"/>
              </w:rPr>
              <w:t>Item 6.</w:t>
            </w:r>
          </w:p>
        </w:tc>
        <w:tc>
          <w:tcPr>
            <w:tcW w:w="10580" w:type="dxa"/>
            <w:vAlign w:val="bottom"/>
          </w:tcPr>
          <w:p>
            <w:pPr>
              <w:ind w:left="960"/>
              <w:spacing w:after="0"/>
              <w:rPr>
                <w:sz w:val="20"/>
                <w:szCs w:val="20"/>
                <w:color w:val="auto"/>
              </w:rPr>
            </w:pPr>
            <w:r>
              <w:rPr>
                <w:rFonts w:ascii="Arial" w:cs="Arial" w:eastAsia="Arial" w:hAnsi="Arial"/>
                <w:sz w:val="14"/>
                <w:szCs w:val="14"/>
                <w:b w:val="1"/>
                <w:bCs w:val="1"/>
                <w:color w:val="auto"/>
              </w:rPr>
              <w:t>Exhibits</w:t>
            </w:r>
          </w:p>
        </w:tc>
      </w:tr>
      <w:tr>
        <w:trPr>
          <w:trHeight w:val="256"/>
        </w:trPr>
        <w:tc>
          <w:tcPr>
            <w:tcW w:w="11200" w:type="dxa"/>
            <w:vAlign w:val="bottom"/>
            <w:gridSpan w:val="2"/>
          </w:tcPr>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tc>
      </w:tr>
      <w:tr>
        <w:trPr>
          <w:trHeight w:val="479"/>
        </w:trPr>
        <w:tc>
          <w:tcPr>
            <w:tcW w:w="620" w:type="dxa"/>
            <w:vAlign w:val="bottom"/>
          </w:tcPr>
          <w:p>
            <w:pPr>
              <w:jc w:val="right"/>
              <w:ind w:right="288"/>
              <w:spacing w:after="0"/>
              <w:rPr>
                <w:sz w:val="20"/>
                <w:szCs w:val="20"/>
                <w:color w:val="auto"/>
              </w:rPr>
            </w:pPr>
            <w:r>
              <w:rPr>
                <w:rFonts w:ascii="Arial" w:cs="Arial" w:eastAsia="Arial" w:hAnsi="Arial"/>
                <w:sz w:val="14"/>
                <w:szCs w:val="14"/>
                <w:color w:val="auto"/>
              </w:rPr>
              <w:t>3.1</w:t>
            </w:r>
          </w:p>
        </w:tc>
        <w:tc>
          <w:tcPr>
            <w:tcW w:w="10580" w:type="dxa"/>
            <w:vAlign w:val="bottom"/>
          </w:tcPr>
          <w:p>
            <w:pPr>
              <w:ind w:left="180"/>
              <w:spacing w:after="0"/>
              <w:rPr>
                <w:sz w:val="20"/>
                <w:szCs w:val="20"/>
                <w:color w:val="auto"/>
              </w:rPr>
            </w:pPr>
            <w:r>
              <w:rPr>
                <w:rFonts w:ascii="Arial" w:cs="Arial" w:eastAsia="Arial" w:hAnsi="Arial"/>
                <w:sz w:val="14"/>
                <w:szCs w:val="14"/>
                <w:color w:val="auto"/>
                <w:w w:val="94"/>
              </w:rPr>
              <w:t>Articles of Incorporation (Incorporated by reference to Exhibit 99(a) to the Registrant’s Pre-Effective Amendment No.3 to the Registration Statement on Form N-2/A (File No. 333-</w:t>
            </w:r>
          </w:p>
        </w:tc>
      </w:tr>
      <w:tr>
        <w:trPr>
          <w:trHeight w:val="182"/>
        </w:trPr>
        <w:tc>
          <w:tcPr>
            <w:tcW w:w="620" w:type="dxa"/>
            <w:vAlign w:val="bottom"/>
          </w:tcPr>
          <w:p>
            <w:pPr>
              <w:spacing w:after="0"/>
              <w:rPr>
                <w:sz w:val="15"/>
                <w:szCs w:val="15"/>
                <w:color w:val="auto"/>
              </w:rPr>
            </w:pPr>
          </w:p>
        </w:tc>
        <w:tc>
          <w:tcPr>
            <w:tcW w:w="10580" w:type="dxa"/>
            <w:vAlign w:val="bottom"/>
          </w:tcPr>
          <w:p>
            <w:pPr>
              <w:ind w:left="180"/>
              <w:spacing w:after="0"/>
              <w:rPr>
                <w:sz w:val="20"/>
                <w:szCs w:val="20"/>
                <w:color w:val="auto"/>
              </w:rPr>
            </w:pPr>
            <w:r>
              <w:rPr>
                <w:rFonts w:ascii="Arial" w:cs="Arial" w:eastAsia="Arial" w:hAnsi="Arial"/>
                <w:sz w:val="14"/>
                <w:szCs w:val="14"/>
                <w:color w:val="auto"/>
              </w:rPr>
              <w:t>140092), filed on April 5, 2007).</w:t>
            </w:r>
          </w:p>
        </w:tc>
      </w:tr>
      <w:tr>
        <w:trPr>
          <w:trHeight w:val="290"/>
        </w:trPr>
        <w:tc>
          <w:tcPr>
            <w:tcW w:w="620" w:type="dxa"/>
            <w:vAlign w:val="bottom"/>
          </w:tcPr>
          <w:p>
            <w:pPr>
              <w:jc w:val="right"/>
              <w:ind w:right="288"/>
              <w:spacing w:after="0"/>
              <w:rPr>
                <w:sz w:val="20"/>
                <w:szCs w:val="20"/>
                <w:color w:val="auto"/>
              </w:rPr>
            </w:pPr>
            <w:r>
              <w:rPr>
                <w:rFonts w:ascii="Arial" w:cs="Arial" w:eastAsia="Arial" w:hAnsi="Arial"/>
                <w:sz w:val="14"/>
                <w:szCs w:val="14"/>
                <w:color w:val="auto"/>
              </w:rPr>
              <w:t>3.2</w:t>
            </w:r>
          </w:p>
        </w:tc>
        <w:tc>
          <w:tcPr>
            <w:tcW w:w="10580" w:type="dxa"/>
            <w:vAlign w:val="bottom"/>
          </w:tcPr>
          <w:p>
            <w:pPr>
              <w:ind w:left="180"/>
              <w:spacing w:after="0"/>
              <w:rPr>
                <w:sz w:val="20"/>
                <w:szCs w:val="20"/>
                <w:color w:val="auto"/>
              </w:rPr>
            </w:pPr>
            <w:r>
              <w:rPr>
                <w:rFonts w:ascii="Arial" w:cs="Arial" w:eastAsia="Arial" w:hAnsi="Arial"/>
                <w:sz w:val="14"/>
                <w:szCs w:val="14"/>
                <w:color w:val="auto"/>
              </w:rPr>
              <w:t>Amended and Restated Bylaws of the Registrant (Incorporated by reference to Exhibit 3.2 to the Registrant’s Annual</w:t>
            </w:r>
          </w:p>
        </w:tc>
      </w:tr>
      <w:tr>
        <w:trPr>
          <w:trHeight w:val="182"/>
        </w:trPr>
        <w:tc>
          <w:tcPr>
            <w:tcW w:w="620" w:type="dxa"/>
            <w:vAlign w:val="bottom"/>
          </w:tcPr>
          <w:p>
            <w:pPr>
              <w:spacing w:after="0"/>
              <w:rPr>
                <w:sz w:val="15"/>
                <w:szCs w:val="15"/>
                <w:color w:val="auto"/>
              </w:rPr>
            </w:pPr>
          </w:p>
        </w:tc>
        <w:tc>
          <w:tcPr>
            <w:tcW w:w="10580" w:type="dxa"/>
            <w:vAlign w:val="bottom"/>
          </w:tcPr>
          <w:p>
            <w:pPr>
              <w:ind w:left="180"/>
              <w:spacing w:after="0"/>
              <w:rPr>
                <w:sz w:val="20"/>
                <w:szCs w:val="20"/>
                <w:color w:val="auto"/>
              </w:rPr>
            </w:pPr>
            <w:r>
              <w:rPr>
                <w:rFonts w:ascii="Arial" w:cs="Arial" w:eastAsia="Arial" w:hAnsi="Arial"/>
                <w:sz w:val="14"/>
                <w:szCs w:val="14"/>
                <w:color w:val="auto"/>
              </w:rPr>
              <w:t>Report on Form 10-K (File No. 814-00736), filed on November 13, 2013).</w:t>
            </w:r>
          </w:p>
        </w:tc>
      </w:tr>
      <w:tr>
        <w:trPr>
          <w:trHeight w:val="304"/>
        </w:trPr>
        <w:tc>
          <w:tcPr>
            <w:tcW w:w="620" w:type="dxa"/>
            <w:vAlign w:val="bottom"/>
          </w:tcPr>
          <w:p>
            <w:pPr>
              <w:jc w:val="right"/>
              <w:ind w:right="288"/>
              <w:spacing w:after="0"/>
              <w:rPr>
                <w:sz w:val="20"/>
                <w:szCs w:val="20"/>
                <w:color w:val="auto"/>
              </w:rPr>
            </w:pPr>
            <w:r>
              <w:rPr>
                <w:rFonts w:ascii="Arial" w:cs="Arial" w:eastAsia="Arial" w:hAnsi="Arial"/>
                <w:sz w:val="14"/>
                <w:szCs w:val="14"/>
                <w:color w:val="auto"/>
              </w:rPr>
              <w:t>4.1</w:t>
            </w:r>
          </w:p>
        </w:tc>
        <w:tc>
          <w:tcPr>
            <w:tcW w:w="10580" w:type="dxa"/>
            <w:vAlign w:val="bottom"/>
          </w:tcPr>
          <w:p>
            <w:pPr>
              <w:ind w:left="180"/>
              <w:spacing w:after="0"/>
              <w:rPr>
                <w:sz w:val="20"/>
                <w:szCs w:val="20"/>
                <w:color w:val="auto"/>
              </w:rPr>
            </w:pPr>
            <w:r>
              <w:rPr>
                <w:rFonts w:ascii="Arial" w:cs="Arial" w:eastAsia="Arial" w:hAnsi="Arial"/>
                <w:sz w:val="14"/>
                <w:szCs w:val="14"/>
                <w:color w:val="auto"/>
              </w:rPr>
              <w:t>Form of Share Certificate (Incorporated by reference to Exhibit 99(d)(1) to the Registrant’s Registration Statement on</w:t>
            </w:r>
          </w:p>
        </w:tc>
      </w:tr>
      <w:tr>
        <w:trPr>
          <w:trHeight w:val="182"/>
        </w:trPr>
        <w:tc>
          <w:tcPr>
            <w:tcW w:w="620" w:type="dxa"/>
            <w:vAlign w:val="bottom"/>
          </w:tcPr>
          <w:p>
            <w:pPr>
              <w:spacing w:after="0"/>
              <w:rPr>
                <w:sz w:val="15"/>
                <w:szCs w:val="15"/>
                <w:color w:val="auto"/>
              </w:rPr>
            </w:pPr>
          </w:p>
        </w:tc>
        <w:tc>
          <w:tcPr>
            <w:tcW w:w="10580" w:type="dxa"/>
            <w:vAlign w:val="bottom"/>
          </w:tcPr>
          <w:p>
            <w:pPr>
              <w:ind w:left="180"/>
              <w:spacing w:after="0"/>
              <w:rPr>
                <w:sz w:val="20"/>
                <w:szCs w:val="20"/>
                <w:color w:val="auto"/>
              </w:rPr>
            </w:pPr>
            <w:r>
              <w:rPr>
                <w:rFonts w:ascii="Arial" w:cs="Arial" w:eastAsia="Arial" w:hAnsi="Arial"/>
                <w:sz w:val="14"/>
                <w:szCs w:val="14"/>
                <w:color w:val="auto"/>
              </w:rPr>
              <w:t>Form N-2 (File No. 333-150033), filed on April 2, 2008).</w:t>
            </w:r>
          </w:p>
        </w:tc>
      </w:tr>
    </w:tbl>
    <w:p>
      <w:pPr>
        <w:spacing w:after="0" w:line="155" w:lineRule="exact"/>
        <w:rPr>
          <w:sz w:val="20"/>
          <w:szCs w:val="20"/>
          <w:color w:val="auto"/>
        </w:rPr>
      </w:pPr>
    </w:p>
    <w:p>
      <w:pPr>
        <w:ind w:left="800" w:hanging="684"/>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3"/>
          <w:szCs w:val="13"/>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115570</wp:posOffset>
            </wp:positionV>
            <wp:extent cx="8001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Section 13(a) or 15(d)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p>
      <w:pPr>
        <w:ind w:left="6740"/>
        <w:spacing w:after="0"/>
        <w:rPr>
          <w:sz w:val="20"/>
          <w:szCs w:val="20"/>
          <w:color w:val="auto"/>
        </w:rPr>
      </w:pPr>
      <w:r>
        <w:rPr>
          <w:rFonts w:ascii="Arial" w:cs="Arial" w:eastAsia="Arial" w:hAnsi="Arial"/>
          <w:sz w:val="14"/>
          <w:szCs w:val="14"/>
          <w:color w:val="auto"/>
        </w:rPr>
        <w:t>PENNANTPARK INVESTMENT CORPORATION</w:t>
      </w:r>
    </w:p>
    <w:p>
      <w:pPr>
        <w:spacing w:after="0" w:line="204" w:lineRule="exact"/>
        <w:rPr>
          <w:sz w:val="20"/>
          <w:szCs w:val="20"/>
          <w:color w:val="auto"/>
        </w:rPr>
      </w:pPr>
    </w:p>
    <w:p>
      <w:pPr>
        <w:spacing w:after="0"/>
        <w:tabs>
          <w:tab w:leader="none" w:pos="5260" w:val="left"/>
          <w:tab w:leader="none" w:pos="7900" w:val="left"/>
        </w:tabs>
        <w:rPr>
          <w:sz w:val="20"/>
          <w:szCs w:val="20"/>
          <w:color w:val="auto"/>
        </w:rPr>
      </w:pPr>
      <w:r>
        <w:rPr>
          <w:rFonts w:ascii="Arial" w:cs="Arial" w:eastAsia="Arial" w:hAnsi="Arial"/>
          <w:sz w:val="14"/>
          <w:szCs w:val="14"/>
          <w:color w:val="auto"/>
        </w:rPr>
        <w:t>Date: May 7,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Arthur H. Penn</w:t>
      </w:r>
    </w:p>
    <w:p>
      <w:pPr>
        <w:jc w:val="center"/>
        <w:ind w:left="5940"/>
        <w:spacing w:after="0" w:line="221" w:lineRule="auto"/>
        <w:rPr>
          <w:sz w:val="20"/>
          <w:szCs w:val="20"/>
          <w:color w:val="auto"/>
        </w:rPr>
      </w:pPr>
      <w:r>
        <w:rPr>
          <w:rFonts w:ascii="Arial" w:cs="Arial" w:eastAsia="Arial" w:hAnsi="Arial"/>
          <w:sz w:val="14"/>
          <w:szCs w:val="14"/>
          <w:b w:val="1"/>
          <w:bCs w:val="1"/>
          <w:color w:val="auto"/>
        </w:rPr>
        <w:t>Chairman of the Board of Directors and Chief Executive Officer</w:t>
      </w:r>
    </w:p>
    <w:p>
      <w:pPr>
        <w:jc w:val="center"/>
        <w:ind w:left="5940"/>
        <w:spacing w:after="0"/>
        <w:rPr>
          <w:sz w:val="20"/>
          <w:szCs w:val="20"/>
          <w:color w:val="auto"/>
        </w:rPr>
      </w:pPr>
      <w:r>
        <w:rPr>
          <w:rFonts w:ascii="Arial" w:cs="Arial" w:eastAsia="Arial" w:hAnsi="Arial"/>
          <w:sz w:val="14"/>
          <w:szCs w:val="14"/>
          <w:b w:val="1"/>
          <w:bCs w:val="1"/>
          <w:color w:val="auto"/>
        </w:rPr>
        <w:t>(Principal Executive Officer)</w:t>
      </w:r>
    </w:p>
    <w:p>
      <w:pPr>
        <w:spacing w:after="0" w:line="205" w:lineRule="exact"/>
        <w:rPr>
          <w:sz w:val="20"/>
          <w:szCs w:val="20"/>
          <w:color w:val="auto"/>
        </w:rPr>
      </w:pPr>
    </w:p>
    <w:p>
      <w:pPr>
        <w:spacing w:after="0"/>
        <w:tabs>
          <w:tab w:leader="none" w:pos="5260" w:val="left"/>
          <w:tab w:leader="none" w:pos="8060" w:val="left"/>
        </w:tabs>
        <w:rPr>
          <w:sz w:val="20"/>
          <w:szCs w:val="20"/>
          <w:color w:val="auto"/>
        </w:rPr>
      </w:pPr>
      <w:r>
        <w:rPr>
          <w:rFonts w:ascii="Arial" w:cs="Arial" w:eastAsia="Arial" w:hAnsi="Arial"/>
          <w:sz w:val="14"/>
          <w:szCs w:val="14"/>
          <w:color w:val="auto"/>
        </w:rPr>
        <w:t>Date: May 7,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Aviv Efrat</w:t>
      </w:r>
    </w:p>
    <w:p>
      <w:pPr>
        <w:spacing w:after="0" w:line="4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160"/>
          </w:cols>
          <w:pgMar w:left="320" w:top="459"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May 7, 2014</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Arthur H. Penn</w:t>
      </w:r>
    </w:p>
    <w:p>
      <w:pPr>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May 7, 2014</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Aviv Efrat</w:t>
      </w:r>
    </w:p>
    <w:p>
      <w:pPr>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and six months ended March 31, 2014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Arthur H. Penn</w:t>
      </w:r>
    </w:p>
    <w:p>
      <w:pPr>
        <w:spacing w:after="0"/>
        <w:rPr>
          <w:sz w:val="20"/>
          <w:szCs w:val="20"/>
          <w:color w:val="auto"/>
        </w:rPr>
      </w:pPr>
      <w:r>
        <w:rPr>
          <w:rFonts w:ascii="Arial" w:cs="Arial" w:eastAsia="Arial" w:hAnsi="Arial"/>
          <w:sz w:val="14"/>
          <w:szCs w:val="14"/>
          <w:color w:val="auto"/>
        </w:rPr>
        <w:t>May 7, 2014</w:t>
      </w:r>
    </w:p>
    <w:p>
      <w:pPr>
        <w:sectPr>
          <w:pgSz w:w="11900" w:h="16838" w:orient="portrait"/>
          <w:cols w:equalWidth="0" w:num="1">
            <w:col w:w="11240"/>
          </w:cols>
          <w:pgMar w:left="320" w:top="11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right="20" w:firstLine="562"/>
        <w:spacing w:after="0" w:line="253" w:lineRule="auto"/>
        <w:rPr>
          <w:sz w:val="20"/>
          <w:szCs w:val="20"/>
          <w:color w:val="auto"/>
        </w:rPr>
      </w:pPr>
      <w:r>
        <w:rPr>
          <w:rFonts w:ascii="Arial" w:cs="Arial" w:eastAsia="Arial" w:hAnsi="Arial"/>
          <w:sz w:val="14"/>
          <w:szCs w:val="14"/>
          <w:color w:val="auto"/>
        </w:rPr>
        <w:t>In connection with this Report on Form 10-Q for the three and six months ended March 31, 2014 (the “Report”) of PennantPark Investment Corporation (the “Registrant”), as filed with the Securities and Exchange Commission on the date hereof, I, Aviv Efrat, Chief Financial Officer of the Registrant, hereby certify, to the best of my knowledge, that:</w:t>
      </w:r>
    </w:p>
    <w:p>
      <w:pPr>
        <w:spacing w:after="0" w:line="106" w:lineRule="exact"/>
        <w:rPr>
          <w:sz w:val="20"/>
          <w:szCs w:val="20"/>
          <w:color w:val="auto"/>
        </w:rPr>
      </w:pPr>
    </w:p>
    <w:p>
      <w:pPr>
        <w:ind w:left="880" w:hanging="319"/>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880" w:hanging="319"/>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769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Aviv Efrat</w:t>
      </w:r>
    </w:p>
    <w:p>
      <w:pPr>
        <w:spacing w:after="0"/>
        <w:rPr>
          <w:sz w:val="20"/>
          <w:szCs w:val="20"/>
          <w:color w:val="auto"/>
        </w:rPr>
      </w:pPr>
      <w:r>
        <w:rPr>
          <w:rFonts w:ascii="Arial" w:cs="Arial" w:eastAsia="Arial" w:hAnsi="Arial"/>
          <w:sz w:val="14"/>
          <w:szCs w:val="14"/>
          <w:color w:val="auto"/>
        </w:rPr>
        <w:t>May 7, 2014</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lvl w:ilvl="1">
      <w:lvlJc w:val="left"/>
      <w:lvlText w:val="(%2)"/>
      <w:numFmt w:val="decimal"/>
      <w:start w:val="1"/>
    </w:lvl>
  </w:abstractNum>
  <w:abstractNum w:abstractNumId="9">
    <w:nsid w:val="41A7C4C9"/>
    <w:multiLevelType w:val="hybridMultilevel"/>
    <w:lvl w:ilvl="0">
      <w:lvlJc w:val="left"/>
      <w:lvlText w:val="%1."/>
      <w:numFmt w:val="decimal"/>
      <w:start w:val="10"/>
    </w:lvl>
    <w:lvl w:ilvl="1">
      <w:lvlJc w:val="left"/>
      <w:lvlText w:val="%2"/>
      <w:numFmt w:val="decimal"/>
      <w:start w:val="1"/>
    </w:lvl>
  </w:abstractNum>
  <w:abstractNum w:abstractNumId="10">
    <w:nsid w:val="6B68079A"/>
    <w:multiLevelType w:val="hybridMultilevel"/>
    <w:lvl w:ilvl="0">
      <w:lvlJc w:val="left"/>
      <w:lvlText w:val="Ÿ"/>
      <w:numFmt w:val="bullet"/>
      <w:start w:val="1"/>
    </w:lvl>
  </w:abstractNum>
  <w:abstractNum w:abstractNumId="11">
    <w:nsid w:val="4E6AFB66"/>
    <w:multiLevelType w:val="hybridMultilevel"/>
    <w:lvl w:ilvl="0">
      <w:lvlJc w:val="left"/>
      <w:lvlText w:val="Ÿ"/>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2020-05-05T15:18:41Z</dcterms:created>
  <dcterms:modified xsi:type="dcterms:W3CDTF">2020-05-05T15:18:41Z</dcterms:modified>
</cp:coreProperties>
</file>