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22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-7620</wp:posOffset>
            </wp:positionV>
            <wp:extent cx="905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551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jc w:val="center"/>
              <w:ind w:left="759"/>
              <w:spacing w:after="0"/>
              <w:rPr>
                <w:sz w:val="20"/>
                <w:szCs w:val="20"/>
                <w:color w:val="auto"/>
              </w:rPr>
            </w:pPr>
            <w:r>
              <w:rPr>
                <w:rFonts w:ascii="Arial" w:cs="Arial" w:eastAsia="Arial" w:hAnsi="Arial"/>
                <w:sz w:val="18"/>
                <w:szCs w:val="18"/>
                <w:b w:val="1"/>
                <w:bCs w:val="1"/>
                <w:color w:val="auto"/>
              </w:rPr>
              <w:t>MARYLAND</w:t>
            </w:r>
          </w:p>
        </w:tc>
        <w:tc>
          <w:tcPr>
            <w:tcW w:w="2560" w:type="dxa"/>
            <w:vAlign w:val="bottom"/>
          </w:tcPr>
          <w:p>
            <w:pPr>
              <w:spacing w:after="0"/>
              <w:rPr>
                <w:sz w:val="20"/>
                <w:szCs w:val="20"/>
                <w:color w:val="auto"/>
              </w:rPr>
            </w:pPr>
          </w:p>
        </w:tc>
        <w:tc>
          <w:tcPr>
            <w:tcW w:w="3860" w:type="dxa"/>
            <w:vAlign w:val="bottom"/>
          </w:tcPr>
          <w:p>
            <w:pPr>
              <w:jc w:val="right"/>
              <w:ind w:right="2179"/>
              <w:spacing w:after="0"/>
              <w:rPr>
                <w:sz w:val="20"/>
                <w:szCs w:val="20"/>
                <w:color w:val="auto"/>
              </w:rPr>
            </w:pPr>
            <w:r>
              <w:rPr>
                <w:rFonts w:ascii="Arial" w:cs="Arial" w:eastAsia="Arial" w:hAnsi="Arial"/>
                <w:sz w:val="18"/>
                <w:szCs w:val="18"/>
                <w:b w:val="1"/>
                <w:bCs w:val="1"/>
                <w:color w:val="auto"/>
              </w:rPr>
              <w:t>20-8250744</w:t>
            </w:r>
          </w:p>
        </w:tc>
      </w:tr>
      <w:tr>
        <w:trPr>
          <w:trHeight w:val="190"/>
        </w:trPr>
        <w:tc>
          <w:tcPr>
            <w:tcW w:w="4820" w:type="dxa"/>
            <w:vAlign w:val="bottom"/>
          </w:tcPr>
          <w:p>
            <w:pPr>
              <w:jc w:val="center"/>
              <w:ind w:left="73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560" w:type="dxa"/>
            <w:vAlign w:val="bottom"/>
          </w:tcPr>
          <w:p>
            <w:pPr>
              <w:spacing w:after="0"/>
              <w:rPr>
                <w:sz w:val="16"/>
                <w:szCs w:val="16"/>
                <w:color w:val="auto"/>
              </w:rPr>
            </w:pPr>
          </w:p>
        </w:tc>
        <w:tc>
          <w:tcPr>
            <w:tcW w:w="3860" w:type="dxa"/>
            <w:vAlign w:val="bottom"/>
          </w:tcPr>
          <w:p>
            <w:pPr>
              <w:jc w:val="center"/>
              <w:ind w:right="14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12"/>
        </w:trPr>
        <w:tc>
          <w:tcPr>
            <w:tcW w:w="4820" w:type="dxa"/>
            <w:vAlign w:val="bottom"/>
          </w:tcPr>
          <w:p>
            <w:pPr>
              <w:jc w:val="center"/>
              <w:ind w:left="739"/>
              <w:spacing w:after="0"/>
              <w:rPr>
                <w:sz w:val="20"/>
                <w:szCs w:val="20"/>
                <w:color w:val="auto"/>
              </w:rPr>
            </w:pPr>
            <w:r>
              <w:rPr>
                <w:rFonts w:ascii="Arial" w:cs="Arial" w:eastAsia="Arial" w:hAnsi="Arial"/>
                <w:sz w:val="18"/>
                <w:szCs w:val="18"/>
                <w:b w:val="1"/>
                <w:bCs w:val="1"/>
                <w:color w:val="auto"/>
                <w:w w:val="91"/>
              </w:rPr>
              <w:t>590 Madison Avenue, 15</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5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2"/>
        </w:trPr>
        <w:tc>
          <w:tcPr>
            <w:tcW w:w="4820" w:type="dxa"/>
            <w:vAlign w:val="bottom"/>
          </w:tcPr>
          <w:p>
            <w:pPr>
              <w:jc w:val="center"/>
              <w:ind w:left="739"/>
              <w:spacing w:after="0"/>
              <w:rPr>
                <w:sz w:val="20"/>
                <w:szCs w:val="20"/>
                <w:color w:val="auto"/>
              </w:rPr>
            </w:pPr>
            <w:r>
              <w:rPr>
                <w:rFonts w:ascii="Arial" w:cs="Arial" w:eastAsia="Arial" w:hAnsi="Arial"/>
                <w:sz w:val="18"/>
                <w:szCs w:val="18"/>
                <w:b w:val="1"/>
                <w:bCs w:val="1"/>
                <w:color w:val="auto"/>
                <w:w w:val="94"/>
              </w:rPr>
              <w:t>New York, N.Y.</w:t>
            </w:r>
          </w:p>
        </w:tc>
        <w:tc>
          <w:tcPr>
            <w:tcW w:w="2560" w:type="dxa"/>
            <w:vAlign w:val="bottom"/>
          </w:tcPr>
          <w:p>
            <w:pPr>
              <w:spacing w:after="0"/>
              <w:rPr>
                <w:sz w:val="18"/>
                <w:szCs w:val="18"/>
                <w:color w:val="auto"/>
              </w:rPr>
            </w:pPr>
          </w:p>
        </w:tc>
        <w:tc>
          <w:tcPr>
            <w:tcW w:w="3860" w:type="dxa"/>
            <w:vAlign w:val="bottom"/>
          </w:tcPr>
          <w:p>
            <w:pPr>
              <w:jc w:val="right"/>
              <w:ind w:right="2379"/>
              <w:spacing w:after="0"/>
              <w:rPr>
                <w:sz w:val="20"/>
                <w:szCs w:val="20"/>
                <w:color w:val="auto"/>
              </w:rPr>
            </w:pPr>
            <w:r>
              <w:rPr>
                <w:rFonts w:ascii="Arial" w:cs="Arial" w:eastAsia="Arial" w:hAnsi="Arial"/>
                <w:sz w:val="18"/>
                <w:szCs w:val="18"/>
                <w:b w:val="1"/>
                <w:bCs w:val="1"/>
                <w:color w:val="auto"/>
              </w:rPr>
              <w:t>10022</w:t>
            </w:r>
          </w:p>
        </w:tc>
      </w:tr>
      <w:tr>
        <w:trPr>
          <w:trHeight w:val="186"/>
        </w:trPr>
        <w:tc>
          <w:tcPr>
            <w:tcW w:w="4820" w:type="dxa"/>
            <w:vAlign w:val="bottom"/>
          </w:tcPr>
          <w:p>
            <w:pPr>
              <w:jc w:val="center"/>
              <w:ind w:left="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60" w:type="dxa"/>
            <w:vAlign w:val="bottom"/>
          </w:tcPr>
          <w:p>
            <w:pPr>
              <w:spacing w:after="0"/>
              <w:rPr>
                <w:sz w:val="16"/>
                <w:szCs w:val="16"/>
                <w:color w:val="auto"/>
              </w:rPr>
            </w:pPr>
          </w:p>
        </w:tc>
        <w:tc>
          <w:tcPr>
            <w:tcW w:w="3860" w:type="dxa"/>
            <w:vAlign w:val="bottom"/>
          </w:tcPr>
          <w:p>
            <w:pPr>
              <w:jc w:val="center"/>
              <w:ind w:right="1439"/>
              <w:spacing w:after="0"/>
              <w:rPr>
                <w:sz w:val="20"/>
                <w:szCs w:val="20"/>
                <w:color w:val="auto"/>
              </w:rPr>
            </w:pPr>
            <w:r>
              <w:rPr>
                <w:rFonts w:ascii="Arial" w:cs="Arial" w:eastAsia="Arial" w:hAnsi="Arial"/>
                <w:sz w:val="14"/>
                <w:szCs w:val="14"/>
                <w:b w:val="1"/>
                <w:bCs w:val="1"/>
                <w:color w:val="auto"/>
                <w:w w:val="95"/>
              </w:rPr>
              <w:t>(Zip Code)</w:t>
            </w:r>
          </w:p>
        </w:tc>
      </w:tr>
      <w:tr>
        <w:trPr>
          <w:trHeight w:val="192"/>
        </w:trPr>
        <w:tc>
          <w:tcPr>
            <w:tcW w:w="4820" w:type="dxa"/>
            <w:vAlign w:val="bottom"/>
          </w:tcPr>
          <w:p>
            <w:pPr>
              <w:spacing w:after="0"/>
              <w:rPr>
                <w:sz w:val="16"/>
                <w:szCs w:val="16"/>
                <w:color w:val="auto"/>
              </w:rPr>
            </w:pPr>
          </w:p>
        </w:tc>
        <w:tc>
          <w:tcPr>
            <w:tcW w:w="2560" w:type="dxa"/>
            <w:vAlign w:val="bottom"/>
          </w:tcPr>
          <w:p>
            <w:pPr>
              <w:jc w:val="center"/>
              <w:ind w:right="862"/>
              <w:spacing w:after="0"/>
              <w:rPr>
                <w:sz w:val="20"/>
                <w:szCs w:val="20"/>
                <w:color w:val="auto"/>
              </w:rPr>
            </w:pPr>
            <w:r>
              <w:rPr>
                <w:rFonts w:ascii="Arial" w:cs="Arial" w:eastAsia="Arial" w:hAnsi="Arial"/>
                <w:sz w:val="14"/>
                <w:szCs w:val="14"/>
                <w:b w:val="1"/>
                <w:bCs w:val="1"/>
                <w:color w:val="auto"/>
                <w:w w:val="93"/>
              </w:rPr>
              <w:t>(212) 905-1000</w:t>
            </w:r>
          </w:p>
        </w:tc>
        <w:tc>
          <w:tcPr>
            <w:tcW w:w="3860" w:type="dxa"/>
            <w:vAlign w:val="bottom"/>
          </w:tcPr>
          <w:p>
            <w:pPr>
              <w:spacing w:after="0"/>
              <w:rPr>
                <w:sz w:val="16"/>
                <w:szCs w:val="16"/>
                <w:color w:val="auto"/>
              </w:rPr>
            </w:pPr>
          </w:p>
        </w:tc>
      </w:tr>
      <w:tr>
        <w:trPr>
          <w:trHeight w:val="186"/>
        </w:trPr>
        <w:tc>
          <w:tcPr>
            <w:tcW w:w="7380" w:type="dxa"/>
            <w:vAlign w:val="bottom"/>
            <w:gridSpan w:val="2"/>
          </w:tcPr>
          <w:p>
            <w:pPr>
              <w:jc w:val="center"/>
              <w:ind w:left="377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3860" w:type="dxa"/>
            <w:vAlign w:val="bottom"/>
          </w:tcPr>
          <w:p>
            <w:pPr>
              <w:spacing w:after="0"/>
              <w:rPr>
                <w:sz w:val="16"/>
                <w:szCs w:val="16"/>
                <w:color w:val="auto"/>
              </w:rPr>
            </w:pPr>
          </w:p>
        </w:tc>
      </w:tr>
      <w:tr>
        <w:trPr>
          <w:trHeight w:val="66"/>
        </w:trPr>
        <w:tc>
          <w:tcPr>
            <w:tcW w:w="482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r>
      <w:tr>
        <w:trPr>
          <w:trHeight w:val="200"/>
        </w:trPr>
        <w:tc>
          <w:tcPr>
            <w:tcW w:w="4820" w:type="dxa"/>
            <w:vAlign w:val="bottom"/>
          </w:tcPr>
          <w:p>
            <w:pPr>
              <w:ind w:left="500"/>
              <w:spacing w:after="0"/>
              <w:rPr>
                <w:sz w:val="20"/>
                <w:szCs w:val="20"/>
                <w:color w:val="auto"/>
              </w:rPr>
            </w:pPr>
            <w:r>
              <w:rPr>
                <w:rFonts w:ascii="Arial" w:cs="Arial" w:eastAsia="Arial" w:hAnsi="Arial"/>
                <w:sz w:val="16"/>
                <w:szCs w:val="16"/>
                <w:color w:val="auto"/>
              </w:rPr>
              <w:t>Securities registered pursuant to Section 12(b) of the Act:</w:t>
            </w:r>
          </w:p>
        </w:tc>
        <w:tc>
          <w:tcPr>
            <w:tcW w:w="256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70"/>
        </w:trPr>
        <w:tc>
          <w:tcPr>
            <w:tcW w:w="4820" w:type="dxa"/>
            <w:vAlign w:val="bottom"/>
          </w:tcPr>
          <w:p>
            <w:pPr>
              <w:jc w:val="center"/>
              <w:ind w:right="999"/>
              <w:spacing w:after="0"/>
              <w:rPr>
                <w:sz w:val="20"/>
                <w:szCs w:val="20"/>
                <w:color w:val="auto"/>
              </w:rPr>
            </w:pPr>
            <w:r>
              <w:rPr>
                <w:rFonts w:ascii="Arial" w:cs="Arial" w:eastAsia="Arial" w:hAnsi="Arial"/>
                <w:sz w:val="16"/>
                <w:szCs w:val="16"/>
                <w:b w:val="1"/>
                <w:bCs w:val="1"/>
                <w:color w:val="auto"/>
                <w:w w:val="91"/>
              </w:rPr>
              <w:t>Title of Each Class</w:t>
            </w:r>
          </w:p>
        </w:tc>
        <w:tc>
          <w:tcPr>
            <w:tcW w:w="2560" w:type="dxa"/>
            <w:vAlign w:val="bottom"/>
          </w:tcPr>
          <w:p>
            <w:pPr>
              <w:jc w:val="center"/>
              <w:ind w:right="882"/>
              <w:spacing w:after="0"/>
              <w:rPr>
                <w:sz w:val="20"/>
                <w:szCs w:val="20"/>
                <w:color w:val="auto"/>
              </w:rPr>
            </w:pPr>
            <w:r>
              <w:rPr>
                <w:rFonts w:ascii="Arial" w:cs="Arial" w:eastAsia="Arial" w:hAnsi="Arial"/>
                <w:sz w:val="16"/>
                <w:szCs w:val="16"/>
                <w:b w:val="1"/>
                <w:bCs w:val="1"/>
                <w:color w:val="auto"/>
                <w:w w:val="91"/>
              </w:rPr>
              <w:t>Trading Symbol(s)</w:t>
            </w:r>
          </w:p>
        </w:tc>
        <w:tc>
          <w:tcPr>
            <w:tcW w:w="386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6"/>
        </w:trPr>
        <w:tc>
          <w:tcPr>
            <w:tcW w:w="4820" w:type="dxa"/>
            <w:vAlign w:val="bottom"/>
          </w:tcPr>
          <w:p>
            <w:pPr>
              <w:jc w:val="center"/>
              <w:ind w:right="979"/>
              <w:spacing w:after="0"/>
              <w:rPr>
                <w:sz w:val="20"/>
                <w:szCs w:val="20"/>
                <w:color w:val="auto"/>
              </w:rPr>
            </w:pPr>
            <w:r>
              <w:rPr>
                <w:rFonts w:ascii="Arial" w:cs="Arial" w:eastAsia="Arial" w:hAnsi="Arial"/>
                <w:sz w:val="16"/>
                <w:szCs w:val="16"/>
                <w:color w:val="auto"/>
                <w:w w:val="90"/>
              </w:rPr>
              <w:t>Common Stock, par value $0.001 per share</w:t>
            </w:r>
          </w:p>
        </w:tc>
        <w:tc>
          <w:tcPr>
            <w:tcW w:w="2560" w:type="dxa"/>
            <w:vAlign w:val="bottom"/>
          </w:tcPr>
          <w:p>
            <w:pPr>
              <w:jc w:val="center"/>
              <w:ind w:right="902"/>
              <w:spacing w:after="0"/>
              <w:rPr>
                <w:sz w:val="20"/>
                <w:szCs w:val="20"/>
                <w:color w:val="auto"/>
              </w:rPr>
            </w:pPr>
            <w:r>
              <w:rPr>
                <w:rFonts w:ascii="Arial" w:cs="Arial" w:eastAsia="Arial" w:hAnsi="Arial"/>
                <w:sz w:val="16"/>
                <w:szCs w:val="16"/>
                <w:color w:val="auto"/>
                <w:w w:val="96"/>
              </w:rPr>
              <w:t>PNNT</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3"/>
              </w:rPr>
              <w:t>The Nasdaq Stock Market LLC</w:t>
            </w:r>
          </w:p>
        </w:tc>
      </w:tr>
    </w:tbl>
    <w:p>
      <w:pPr>
        <w:spacing w:after="0" w:line="77" w:lineRule="exact"/>
        <w:rPr>
          <w:sz w:val="24"/>
          <w:szCs w:val="24"/>
          <w:color w:val="auto"/>
        </w:rPr>
      </w:pPr>
    </w:p>
    <w:p>
      <w:pPr>
        <w:ind w:right="180" w:firstLine="496"/>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firstLine="496"/>
        <w:spacing w:after="0" w:line="32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spacing w:after="0" w:line="1" w:lineRule="exact"/>
        <w:rPr>
          <w:sz w:val="24"/>
          <w:szCs w:val="24"/>
          <w:color w:val="auto"/>
        </w:rPr>
      </w:pPr>
    </w:p>
    <w:p>
      <w:pPr>
        <w:jc w:val="both"/>
        <w:ind w:right="260" w:firstLine="496"/>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59" w:lineRule="exact"/>
        <w:rPr>
          <w:sz w:val="24"/>
          <w:szCs w:val="24"/>
          <w:color w:val="auto"/>
        </w:rPr>
      </w:pPr>
    </w:p>
    <w:p>
      <w:pPr>
        <w:jc w:val="both"/>
        <w:ind w:right="80" w:firstLine="49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00" w:right="2040"/>
        <w:spacing w:after="0" w:line="26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the registrant’s common stock, $0.001 par value per share, outstanding as of August 7, 2019 was 67,045,105.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jc w:val="center"/>
        <w:ind w:left="460"/>
        <w:spacing w:after="0" w:line="226" w:lineRule="auto"/>
        <w:rPr>
          <w:sz w:val="20"/>
          <w:szCs w:val="20"/>
          <w:color w:val="auto"/>
        </w:rPr>
      </w:pPr>
      <w:r>
        <w:rPr>
          <w:rFonts w:ascii="Arial" w:cs="Arial" w:eastAsia="Arial" w:hAnsi="Arial"/>
          <w:sz w:val="14"/>
          <w:szCs w:val="14"/>
          <w:b w:val="1"/>
          <w:bCs w:val="1"/>
          <w:color w:val="auto"/>
        </w:rPr>
        <w:t>FORM 10-Q FOR THE QUARTER ENDED JUNE 30, 2019</w:t>
      </w: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00" w:type="dxa"/>
            <w:vAlign w:val="bottom"/>
          </w:tcPr>
          <w:p>
            <w:pPr>
              <w:ind w:left="35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1960" w:type="dxa"/>
            <w:vAlign w:val="bottom"/>
          </w:tcPr>
          <w:p>
            <w:pPr>
              <w:spacing w:after="0"/>
              <w:rPr>
                <w:sz w:val="16"/>
                <w:szCs w:val="16"/>
                <w:color w:val="auto"/>
              </w:rPr>
            </w:pP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1960" w:type="dxa"/>
            <w:vAlign w:val="bottom"/>
          </w:tcPr>
          <w:p>
            <w:pPr>
              <w:spacing w:after="0"/>
              <w:rPr>
                <w:sz w:val="24"/>
                <w:szCs w:val="24"/>
                <w:color w:val="auto"/>
              </w:rPr>
            </w:pPr>
          </w:p>
        </w:tc>
      </w:tr>
      <w:tr>
        <w:trPr>
          <w:trHeight w:val="459"/>
        </w:trPr>
        <w:tc>
          <w:tcPr>
            <w:tcW w:w="930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June 30, 2019 (unaudited) and September 30, 2018</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459"/>
        </w:trPr>
        <w:tc>
          <w:tcPr>
            <w:tcW w:w="930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nine months ended June 30, 2019 and 2018 (unaudited)</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459"/>
        </w:trPr>
        <w:tc>
          <w:tcPr>
            <w:tcW w:w="930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and nine months ended June 30, 2019 and 2018 (unaudited)</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459"/>
        </w:trPr>
        <w:tc>
          <w:tcPr>
            <w:tcW w:w="930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nine months ended June 30, 2019 and 2018 (unaudited)</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499"/>
        </w:trPr>
        <w:tc>
          <w:tcPr>
            <w:tcW w:w="930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June 30, 2019 (unaudited) and September 30, 2018</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459"/>
        </w:trPr>
        <w:tc>
          <w:tcPr>
            <w:tcW w:w="9300" w:type="dxa"/>
            <w:vAlign w:val="bottom"/>
          </w:tcPr>
          <w:p>
            <w:pPr>
              <w:ind w:left="3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459"/>
        </w:trPr>
        <w:tc>
          <w:tcPr>
            <w:tcW w:w="9300" w:type="dxa"/>
            <w:vAlign w:val="bottom"/>
          </w:tcPr>
          <w:p>
            <w:pPr>
              <w:ind w:left="360"/>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Report of Independent Registered Public Accounting Firm</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26">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Quantitative and Qualitative Disclosures About Market Risk</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4. Controls and Procedures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459"/>
        </w:trPr>
        <w:tc>
          <w:tcPr>
            <w:tcW w:w="9300" w:type="dxa"/>
            <w:vAlign w:val="bottom"/>
          </w:tcPr>
          <w:p>
            <w:pPr>
              <w:ind w:left="4300"/>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PART II. OTHER INFORMATION</w:t>
              </w:r>
            </w:hyperlink>
          </w:p>
        </w:tc>
        <w:tc>
          <w:tcPr>
            <w:tcW w:w="1960" w:type="dxa"/>
            <w:vAlign w:val="bottom"/>
          </w:tcPr>
          <w:p>
            <w:pPr>
              <w:spacing w:after="0"/>
              <w:rPr>
                <w:sz w:val="24"/>
                <w:szCs w:val="24"/>
                <w:color w:val="auto"/>
              </w:rPr>
            </w:pP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1. Legal Proceedings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1A. Risk Factors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2. Unregistered Sales of Equity Securities and Use of Proceeds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3. Defaults Upon Senior Securities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4. Mine Safety Disclosures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5. Other Information</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6. Exhibits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459"/>
        </w:trPr>
        <w:tc>
          <w:tcPr>
            <w:tcW w:w="9300" w:type="dxa"/>
            <w:vAlign w:val="bottom"/>
          </w:tcPr>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SIGNATURES</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743"/>
        </w:trPr>
        <w:tc>
          <w:tcPr>
            <w:tcW w:w="9300" w:type="dxa"/>
            <w:vAlign w:val="bottom"/>
          </w:tcPr>
          <w:p>
            <w:pPr>
              <w:ind w:left="5580"/>
              <w:spacing w:after="0"/>
              <w:rPr>
                <w:sz w:val="20"/>
                <w:szCs w:val="20"/>
                <w:color w:val="auto"/>
              </w:rPr>
            </w:pPr>
            <w:r>
              <w:rPr>
                <w:rFonts w:ascii="Arial" w:cs="Arial" w:eastAsia="Arial" w:hAnsi="Arial"/>
                <w:sz w:val="14"/>
                <w:szCs w:val="14"/>
                <w:color w:val="auto"/>
              </w:rPr>
              <w:t>2</w:t>
            </w:r>
          </w:p>
        </w:tc>
        <w:tc>
          <w:tcPr>
            <w:tcW w:w="1960" w:type="dxa"/>
            <w:vAlign w:val="bottom"/>
          </w:tcPr>
          <w:p>
            <w:pPr>
              <w:spacing w:after="0"/>
              <w:rPr>
                <w:sz w:val="24"/>
                <w:szCs w:val="24"/>
                <w:color w:val="auto"/>
              </w:rPr>
            </w:pPr>
          </w:p>
        </w:tc>
      </w:tr>
      <w:tr>
        <w:trPr>
          <w:trHeight w:val="100"/>
        </w:trPr>
        <w:tc>
          <w:tcPr>
            <w:tcW w:w="930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00" w:lineRule="exact"/>
        <w:rPr>
          <w:sz w:val="20"/>
          <w:szCs w:val="20"/>
          <w:color w:val="auto"/>
        </w:rPr>
      </w:pPr>
    </w:p>
    <w:p>
      <w:pPr>
        <w:spacing w:after="0" w:line="251" w:lineRule="exact"/>
        <w:rPr>
          <w:sz w:val="20"/>
          <w:szCs w:val="20"/>
          <w:color w:val="auto"/>
        </w:rPr>
      </w:pPr>
    </w:p>
    <w:p>
      <w:pPr>
        <w:ind w:firstLine="438"/>
        <w:spacing w:after="0" w:line="225" w:lineRule="auto"/>
        <w:rPr>
          <w:sz w:val="20"/>
          <w:szCs w:val="20"/>
          <w:color w:val="auto"/>
        </w:rPr>
      </w:pPr>
      <w:r>
        <w:rPr>
          <w:rFonts w:ascii="Arial" w:cs="Arial" w:eastAsia="Arial" w:hAnsi="Arial"/>
          <w:sz w:val="14"/>
          <w:szCs w:val="14"/>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 to PennantPark Investment Corporation and its consolidated subsidiaries; “PennantPark Investment” refers to only PennantPark Investment Corporation; “our SBIC Funds” refers collectively to our consolidated subsidiaries, PennantPark SBIC LP, or SBIC I, and its general partner, PennantPark SBIC GP, LLC, and PennantPark SBIC II LP, or SBIC II, and its general partner, PennantPark SBIC GP II, LLC; “Funding I” refers to PennantPark Investment Funding 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“SunTrust Credit Facility” refers to our multi-currency, senior secured revolving credit facility with SunTrust Bank, as amended and restated; “Credit Facilities” refers to the BNP Credit Facility and SunTrust Credit Facility collectively; “2019 Notes” refers to our 4.50% notes due 2019, which we redeemed in March 2019; “BDC” refers to a business development company under the Investment Company Act of 1940, as amended, or the “1940 Act”; “Code” refers to the Internal Revenue Code of 1986, as amended; and “RIC” refers to a regulated investment company under the Code. References to our portfolio, our investments and our business include investments we make through our SBIC Funds and other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2018</w:t>
            </w:r>
          </w:p>
        </w:tc>
      </w:tr>
      <w:tr>
        <w:trPr>
          <w:trHeight w:val="171"/>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8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CFF"/>
          </w:tcPr>
          <w:p>
            <w:pPr>
              <w:spacing w:after="0"/>
              <w:rPr>
                <w:sz w:val="13"/>
                <w:szCs w:val="13"/>
                <w:color w:val="auto"/>
              </w:rPr>
            </w:pPr>
          </w:p>
        </w:tc>
        <w:tc>
          <w:tcPr>
            <w:tcW w:w="130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(cost—$1,002,864,286 and $896,720,950, respectively)</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1,001,919,866</w:t>
            </w:r>
          </w:p>
        </w:tc>
        <w:tc>
          <w:tcPr>
            <w:tcW w:w="16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905,271,258</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ind w:left="260"/>
              <w:spacing w:after="0"/>
              <w:rPr>
                <w:sz w:val="20"/>
                <w:szCs w:val="20"/>
                <w:color w:val="auto"/>
              </w:rPr>
            </w:pPr>
            <w:r>
              <w:rPr>
                <w:rFonts w:ascii="Arial" w:cs="Arial" w:eastAsia="Arial" w:hAnsi="Arial"/>
                <w:sz w:val="14"/>
                <w:szCs w:val="14"/>
                <w:color w:val="auto"/>
              </w:rPr>
              <w:t>Non-controlled, affiliated investments (cost—$37,446,796 and $91,520,908, respectively)</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30,753,466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78,078,331</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(cost—$293,382,082 and $255,574,317, respectively)</w:t>
            </w:r>
          </w:p>
        </w:tc>
        <w:tc>
          <w:tcPr>
            <w:tcW w:w="200" w:type="dxa"/>
            <w:vAlign w:val="bottom"/>
            <w:tcBorders>
              <w:bottom w:val="single" w:sz="8" w:color="auto"/>
            </w:tcBorders>
            <w:shd w:val="clear" w:color="auto" w:fill="CCECFF"/>
          </w:tcPr>
          <w:p>
            <w:pPr>
              <w:spacing w:after="0"/>
              <w:rPr>
                <w:sz w:val="14"/>
                <w:szCs w:val="14"/>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242,162,582</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148,735,885</w:t>
            </w:r>
          </w:p>
        </w:tc>
        <w:tc>
          <w:tcPr>
            <w:tcW w:w="120" w:type="dxa"/>
            <w:vAlign w:val="bottom"/>
            <w:shd w:val="clear" w:color="auto" w:fill="CCECFF"/>
          </w:tcPr>
          <w:p>
            <w:pPr>
              <w:spacing w:after="0"/>
              <w:rPr>
                <w:sz w:val="14"/>
                <w:szCs w:val="14"/>
                <w:color w:val="auto"/>
              </w:rPr>
            </w:pPr>
          </w:p>
        </w:tc>
      </w:tr>
      <w:tr>
        <w:trPr>
          <w:trHeight w:val="156"/>
        </w:trPr>
        <w:tc>
          <w:tcPr>
            <w:tcW w:w="7820" w:type="dxa"/>
            <w:vAlign w:val="bottom"/>
          </w:tcPr>
          <w:p>
            <w:pPr>
              <w:ind w:left="260"/>
              <w:spacing w:after="0" w:line="155" w:lineRule="exact"/>
              <w:rPr>
                <w:sz w:val="20"/>
                <w:szCs w:val="20"/>
                <w:color w:val="auto"/>
              </w:rPr>
            </w:pPr>
            <w:r>
              <w:rPr>
                <w:rFonts w:ascii="Arial" w:cs="Arial" w:eastAsia="Arial" w:hAnsi="Arial"/>
                <w:sz w:val="14"/>
                <w:szCs w:val="14"/>
                <w:color w:val="auto"/>
              </w:rPr>
              <w:t>Total of investments (cost—$1,333,693,164 and $1,243,816,175, respectively)</w:t>
            </w:r>
          </w:p>
        </w:tc>
        <w:tc>
          <w:tcPr>
            <w:tcW w:w="2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1,274,835,914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1,132,085,474</w:t>
            </w:r>
          </w:p>
        </w:tc>
        <w:tc>
          <w:tcPr>
            <w:tcW w:w="120" w:type="dxa"/>
            <w:vAlign w:val="bottom"/>
          </w:tcPr>
          <w:p>
            <w:pPr>
              <w:spacing w:after="0"/>
              <w:rPr>
                <w:sz w:val="13"/>
                <w:szCs w:val="13"/>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Cash and cash equivalents (cost—$21,754,580 and $19,543,625, respectively)</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21,744,836</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19,506,154</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Interest receivable</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7,219,742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7,606,964</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Borders>
              <w:bottom w:val="single" w:sz="8" w:color="auto"/>
            </w:tcBorders>
            <w:shd w:val="clear" w:color="auto" w:fill="CCECFF"/>
          </w:tcPr>
          <w:p>
            <w:pPr>
              <w:spacing w:after="0"/>
              <w:rPr>
                <w:sz w:val="14"/>
                <w:szCs w:val="14"/>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373,782</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920,235</w:t>
            </w:r>
          </w:p>
        </w:tc>
        <w:tc>
          <w:tcPr>
            <w:tcW w:w="120" w:type="dxa"/>
            <w:vAlign w:val="bottom"/>
            <w:shd w:val="clear" w:color="auto" w:fill="CCECFF"/>
          </w:tcPr>
          <w:p>
            <w:pPr>
              <w:spacing w:after="0"/>
              <w:rPr>
                <w:sz w:val="14"/>
                <w:szCs w:val="14"/>
                <w:color w:val="auto"/>
              </w:rPr>
            </w:pPr>
          </w:p>
        </w:tc>
      </w:tr>
      <w:tr>
        <w:trPr>
          <w:trHeight w:val="155"/>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1,304,174,274</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1,160,118,827</w:t>
            </w:r>
          </w:p>
        </w:tc>
        <w:tc>
          <w:tcPr>
            <w:tcW w:w="120" w:type="dxa"/>
            <w:vAlign w:val="bottom"/>
            <w:tcBorders>
              <w:bottom w:val="single" w:sz="8" w:color="CCECFF"/>
            </w:tcBorders>
          </w:tcPr>
          <w:p>
            <w:pPr>
              <w:spacing w:after="0"/>
              <w:rPr>
                <w:sz w:val="13"/>
                <w:szCs w:val="13"/>
                <w:color w:val="auto"/>
              </w:rPr>
            </w:pPr>
          </w:p>
        </w:tc>
      </w:tr>
      <w:tr>
        <w:trPr>
          <w:trHeight w:val="156"/>
        </w:trPr>
        <w:tc>
          <w:tcPr>
            <w:tcW w:w="78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CFF"/>
          </w:tcPr>
          <w:p>
            <w:pPr>
              <w:spacing w:after="0"/>
              <w:rPr>
                <w:sz w:val="13"/>
                <w:szCs w:val="13"/>
                <w:color w:val="auto"/>
              </w:rPr>
            </w:pPr>
          </w:p>
        </w:tc>
        <w:tc>
          <w:tcPr>
            <w:tcW w:w="13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Distributions payable</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12,068,118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12,429,712</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BNP Credit Facility payable (cost—$178,000,000 and zero, respectively) (See Notes 5 and 10)</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177,110,000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SunTrust Credit Facility payable (cost—$382,636,000 and $80,520,000, respectively) (See Notes 5 and 10)</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372,060,191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77,645,830</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2019 Notes payable (par— zero and $250,000,000, respectively) (See Notes 5 and 10)</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251,322,500</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SBA debentures payable, net (par—$150,000,000 and $180,000,000, respectively) (See Notes 5 and 10)</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146,001,990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175,373,229</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Base management fee payable, net (See Note 3)</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4,653,657</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4,086,831</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Performance-based incentive fee payable, net (See Note 3)</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2,471,086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2,964,265</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debt</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4,007,743</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6,576,393</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Accrued other expenses</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91,965</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818,172</w:t>
            </w:r>
          </w:p>
        </w:tc>
        <w:tc>
          <w:tcPr>
            <w:tcW w:w="120" w:type="dxa"/>
            <w:vAlign w:val="bottom"/>
            <w:tcBorders>
              <w:bottom w:val="single" w:sz="8" w:color="CCECFF"/>
            </w:tcBorders>
          </w:tcPr>
          <w:p>
            <w:pPr>
              <w:spacing w:after="0"/>
              <w:rPr>
                <w:sz w:val="14"/>
                <w:szCs w:val="14"/>
                <w:color w:val="auto"/>
              </w:rPr>
            </w:pPr>
          </w:p>
        </w:tc>
      </w:tr>
      <w:tr>
        <w:trPr>
          <w:trHeight w:val="156"/>
        </w:trPr>
        <w:tc>
          <w:tcPr>
            <w:tcW w:w="7820" w:type="dxa"/>
            <w:vAlign w:val="bottom"/>
            <w:shd w:val="clear" w:color="auto" w:fill="CCECFF"/>
          </w:tcPr>
          <w:p>
            <w:pPr>
              <w:ind w:left="1000"/>
              <w:spacing w:after="0" w:line="155"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shd w:val="clear" w:color="auto" w:fill="CCECFF"/>
          </w:tcPr>
          <w:p>
            <w:pPr>
              <w:spacing w:after="0"/>
              <w:rPr>
                <w:sz w:val="13"/>
                <w:szCs w:val="13"/>
                <w:color w:val="auto"/>
              </w:rPr>
            </w:pPr>
          </w:p>
        </w:tc>
        <w:tc>
          <w:tcPr>
            <w:tcW w:w="13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718,464,750</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531,216,932</w:t>
            </w:r>
          </w:p>
        </w:tc>
        <w:tc>
          <w:tcPr>
            <w:tcW w:w="120" w:type="dxa"/>
            <w:vAlign w:val="bottom"/>
            <w:shd w:val="clear" w:color="auto" w:fill="CCECFF"/>
          </w:tcPr>
          <w:p>
            <w:pPr>
              <w:spacing w:after="0"/>
              <w:rPr>
                <w:sz w:val="13"/>
                <w:szCs w:val="13"/>
                <w:color w:val="auto"/>
              </w:rPr>
            </w:pPr>
          </w:p>
        </w:tc>
      </w:tr>
      <w:tr>
        <w:trPr>
          <w:trHeight w:val="156"/>
        </w:trPr>
        <w:tc>
          <w:tcPr>
            <w:tcW w:w="782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Net assets</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43"/>
        </w:trPr>
        <w:tc>
          <w:tcPr>
            <w:tcW w:w="7820" w:type="dxa"/>
            <w:vAlign w:val="bottom"/>
          </w:tcPr>
          <w:p>
            <w:pPr>
              <w:spacing w:after="0" w:line="143" w:lineRule="exact"/>
              <w:rPr>
                <w:sz w:val="20"/>
                <w:szCs w:val="20"/>
                <w:color w:val="auto"/>
              </w:rPr>
            </w:pPr>
            <w:r>
              <w:rPr>
                <w:rFonts w:ascii="Arial" w:cs="Arial" w:eastAsia="Arial" w:hAnsi="Arial"/>
                <w:sz w:val="14"/>
                <w:szCs w:val="14"/>
                <w:color w:val="auto"/>
              </w:rPr>
              <w:t>Common stock, 67,045,105 and 69,053,958 shares issued and outstanding, respectively</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7820" w:type="dxa"/>
            <w:vAlign w:val="bottom"/>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67,045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69,054</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Paid-in capital in excess of par value</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789,259,509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803,729,220</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Accumulated distributable net loss</w:t>
            </w:r>
          </w:p>
        </w:tc>
        <w:tc>
          <w:tcPr>
            <w:tcW w:w="200" w:type="dxa"/>
            <w:vAlign w:val="bottom"/>
          </w:tcPr>
          <w:p>
            <w:pPr>
              <w:spacing w:after="0"/>
              <w:rPr>
                <w:sz w:val="14"/>
                <w:szCs w:val="1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(203,617,030)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(174,896,379)</w:t>
            </w:r>
          </w:p>
        </w:tc>
      </w:tr>
      <w:tr>
        <w:trPr>
          <w:trHeight w:val="156"/>
        </w:trPr>
        <w:tc>
          <w:tcPr>
            <w:tcW w:w="7820" w:type="dxa"/>
            <w:vAlign w:val="bottom"/>
            <w:tcBorders>
              <w:top w:val="single" w:sz="8" w:color="CCECFF"/>
            </w:tcBorders>
            <w:shd w:val="clear" w:color="auto" w:fill="CCECFF"/>
          </w:tcPr>
          <w:p>
            <w:pPr>
              <w:ind w:left="1000"/>
              <w:spacing w:after="0" w:line="155" w:lineRule="exact"/>
              <w:rPr>
                <w:sz w:val="20"/>
                <w:szCs w:val="20"/>
                <w:color w:val="auto"/>
              </w:rPr>
            </w:pPr>
            <w:r>
              <w:rPr>
                <w:rFonts w:ascii="Arial" w:cs="Arial" w:eastAsia="Arial" w:hAnsi="Arial"/>
                <w:sz w:val="14"/>
                <w:szCs w:val="14"/>
                <w:b w:val="1"/>
                <w:bCs w:val="1"/>
                <w:color w:val="auto"/>
              </w:rPr>
              <w:t>Total net assets</w:t>
            </w: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585,709,524</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628,901,895</w:t>
            </w:r>
          </w:p>
        </w:tc>
        <w:tc>
          <w:tcPr>
            <w:tcW w:w="120" w:type="dxa"/>
            <w:vAlign w:val="bottom"/>
            <w:tcBorders>
              <w:top w:val="single" w:sz="8" w:color="CCECFF"/>
            </w:tcBorders>
            <w:shd w:val="clear" w:color="auto" w:fill="CCECFF"/>
          </w:tcPr>
          <w:p>
            <w:pPr>
              <w:spacing w:after="0"/>
              <w:rPr>
                <w:sz w:val="13"/>
                <w:szCs w:val="13"/>
                <w:color w:val="auto"/>
              </w:rPr>
            </w:pPr>
          </w:p>
        </w:tc>
      </w:tr>
      <w:tr>
        <w:trPr>
          <w:trHeight w:val="195"/>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1,304,174,274</w:t>
            </w:r>
          </w:p>
        </w:tc>
        <w:tc>
          <w:tcPr>
            <w:tcW w:w="16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1,160,118,827</w:t>
            </w:r>
          </w:p>
        </w:tc>
        <w:tc>
          <w:tcPr>
            <w:tcW w:w="120" w:type="dxa"/>
            <w:vAlign w:val="bottom"/>
            <w:tcBorders>
              <w:bottom w:val="single" w:sz="8" w:color="CCECFF"/>
            </w:tcBorders>
          </w:tcPr>
          <w:p>
            <w:pPr>
              <w:spacing w:after="0"/>
              <w:rPr>
                <w:sz w:val="17"/>
                <w:szCs w:val="17"/>
                <w:color w:val="auto"/>
              </w:rPr>
            </w:pPr>
          </w:p>
        </w:tc>
      </w:tr>
      <w:tr>
        <w:trPr>
          <w:trHeight w:val="143"/>
        </w:trPr>
        <w:tc>
          <w:tcPr>
            <w:tcW w:w="78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200" w:type="dxa"/>
            <w:vAlign w:val="bottom"/>
            <w:tcBorders>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8.74</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9.11</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4"/>
                <w:szCs w:val="14"/>
                <w:color w:val="auto"/>
              </w:rPr>
            </w:pPr>
          </w:p>
        </w:tc>
        <w:tc>
          <w:tcPr>
            <w:tcW w:w="22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Nine Months Ended June 30,</w:t>
            </w:r>
          </w:p>
        </w:tc>
        <w:tc>
          <w:tcPr>
            <w:tcW w:w="0" w:type="dxa"/>
            <w:vAlign w:val="bottom"/>
          </w:tcPr>
          <w:p>
            <w:pPr>
              <w:spacing w:after="0"/>
              <w:rPr>
                <w:sz w:val="1"/>
                <w:szCs w:val="1"/>
                <w:color w:val="auto"/>
              </w:rPr>
            </w:pPr>
          </w:p>
        </w:tc>
      </w:tr>
      <w:tr>
        <w:trPr>
          <w:trHeight w:val="156"/>
        </w:trPr>
        <w:tc>
          <w:tcPr>
            <w:tcW w:w="5700" w:type="dxa"/>
            <w:vAlign w:val="bottom"/>
            <w:tcBorders>
              <w:bottom w:val="single" w:sz="8" w:color="CCECFF"/>
            </w:tcBorders>
          </w:tcPr>
          <w:p>
            <w:pPr>
              <w:spacing w:after="0"/>
              <w:rPr>
                <w:sz w:val="13"/>
                <w:szCs w:val="13"/>
                <w:color w:val="auto"/>
              </w:rPr>
            </w:pPr>
          </w:p>
        </w:tc>
        <w:tc>
          <w:tcPr>
            <w:tcW w:w="70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7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82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19,928,284</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19,491,552</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66,484,378</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60,608,891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1,987,294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1,585,945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4,625,804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4,545,929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530,923</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1,494,072</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1,992,875</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5,567,138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253,191</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2,845,090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1,807,655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Interest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3,435,510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1,480,768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7,272,766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2,931,462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Payment-in-kind</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1,454,009</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453,974</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2,855,450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2,347,371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776,944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949,445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70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7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28,112,964</w:t>
            </w:r>
          </w:p>
        </w:tc>
        <w:tc>
          <w:tcPr>
            <w:tcW w:w="2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24,759,502</w:t>
            </w: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84,180,718</w:t>
            </w:r>
          </w:p>
        </w:tc>
        <w:tc>
          <w:tcPr>
            <w:tcW w:w="2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80,653,536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Base management fee (See Note 3)</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4,653,657</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3,772,669</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13,583,748</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13,381,545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2,471,085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2,497,843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5,146,696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8,528,663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7,808,175</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5,565,240</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21,119,041</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17,363,511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538,125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521,625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1,592,375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1,564,875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70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692,178</w:t>
            </w:r>
          </w:p>
        </w:tc>
        <w:tc>
          <w:tcPr>
            <w:tcW w:w="2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626,213</w:t>
            </w:r>
          </w:p>
        </w:tc>
        <w:tc>
          <w:tcPr>
            <w:tcW w:w="2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2,002,723</w:t>
            </w:r>
          </w:p>
        </w:tc>
        <w:tc>
          <w:tcPr>
            <w:tcW w:w="2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1,882,793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Expenses before Management Fees waiver and provision for taxes</w:t>
            </w:r>
          </w:p>
        </w:tc>
        <w:tc>
          <w:tcPr>
            <w:tcW w:w="70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16,163,220</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12,983,590</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43,444,583</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42,721,387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Debt issuance costs (See Notes 5 and 10)</w:t>
            </w:r>
          </w:p>
        </w:tc>
        <w:tc>
          <w:tcPr>
            <w:tcW w:w="7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2,696,498</w:t>
            </w: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Make-whole premium (See Notes 5 and 10)</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2,162,526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Management Fees waiver (See Note 3)</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(1,427,253)</w:t>
            </w: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Provision for taxes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900,000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70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7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16,463,220</w:t>
            </w:r>
          </w:p>
        </w:tc>
        <w:tc>
          <w:tcPr>
            <w:tcW w:w="2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12,983,590</w:t>
            </w: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49,203,607</w:t>
            </w:r>
          </w:p>
        </w:tc>
        <w:tc>
          <w:tcPr>
            <w:tcW w:w="2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41,294,134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70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11,649,744</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11,775,912</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34,977,111</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39,359,402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7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Net realized (loss) gain on investments on: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(43,486,868)</w:t>
            </w: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17,085,362</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(33,757,334)</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31,754,691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(56,148,032)</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342,086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(56,375,131)</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11,199,690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realized (loss) gain on investments</w:t>
            </w:r>
          </w:p>
        </w:tc>
        <w:tc>
          <w:tcPr>
            <w:tcW w:w="7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(99,634,900)</w:t>
            </w:r>
          </w:p>
        </w:tc>
        <w:tc>
          <w:tcPr>
            <w:tcW w:w="2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17,427,448</w:t>
            </w: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(90,132,465)</w:t>
            </w:r>
          </w:p>
        </w:tc>
        <w:tc>
          <w:tcPr>
            <w:tcW w:w="2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42,954,381</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line="155" w:lineRule="exact"/>
              <w:rPr>
                <w:sz w:val="20"/>
                <w:szCs w:val="20"/>
                <w:color w:val="auto"/>
              </w:rPr>
            </w:pPr>
            <w:r>
              <w:rPr>
                <w:rFonts w:ascii="Arial" w:cs="Arial" w:eastAsia="Arial" w:hAnsi="Arial"/>
                <w:sz w:val="14"/>
                <w:szCs w:val="14"/>
                <w:color w:val="auto"/>
              </w:rPr>
              <w:t>Net change in unrealized appreciation (depreciation) on:</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36,381,944</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(12,925,765)</w:t>
            </w: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7,535,406</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(15,407,098)</w:t>
            </w: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57,045,559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(927,824)</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45,366,352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(34,752,509)</w:t>
            </w: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depreciation (See Notes 5 and 10)</w:t>
            </w:r>
          </w:p>
        </w:tc>
        <w:tc>
          <w:tcPr>
            <w:tcW w:w="70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186,504</w:t>
            </w:r>
          </w:p>
        </w:tc>
        <w:tc>
          <w:tcPr>
            <w:tcW w:w="2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1,560,376</w:t>
            </w:r>
          </w:p>
        </w:tc>
        <w:tc>
          <w:tcPr>
            <w:tcW w:w="2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9,914,139</w:t>
            </w:r>
          </w:p>
        </w:tc>
        <w:tc>
          <w:tcPr>
            <w:tcW w:w="2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3,086,378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70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93,614,007</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(12,293,213)</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62,815,897</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(47,073,229)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70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(6,020,893)</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5,134,235</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(27,316,568)</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(4,118,848)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7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70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5,628,851</w:t>
            </w:r>
          </w:p>
        </w:tc>
        <w:tc>
          <w:tcPr>
            <w:tcW w:w="220" w:type="dxa"/>
            <w:vAlign w:val="bottom"/>
            <w:tcBorders>
              <w:bottom w:val="single" w:sz="8" w:color="CCECFF"/>
            </w:tcBorders>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16,910,147</w:t>
            </w:r>
          </w:p>
        </w:tc>
        <w:tc>
          <w:tcPr>
            <w:tcW w:w="22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7,660,543</w:t>
            </w:r>
          </w:p>
        </w:tc>
        <w:tc>
          <w:tcPr>
            <w:tcW w:w="2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35,240,554</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70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7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0.08</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0.24</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0.11</w:t>
            </w: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0.50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0.17</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0.17</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0.51</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Nine Months Ended June 30,</w:t>
            </w:r>
          </w:p>
        </w:tc>
      </w:tr>
      <w:tr>
        <w:trPr>
          <w:trHeight w:val="156"/>
        </w:trPr>
        <w:tc>
          <w:tcPr>
            <w:tcW w:w="584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CFF"/>
            </w:tcBorders>
          </w:tcPr>
          <w:p>
            <w:pPr>
              <w:spacing w:after="0"/>
              <w:rPr>
                <w:sz w:val="13"/>
                <w:szCs w:val="13"/>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11,649,744</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11,775,912</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34,977,111</w:t>
            </w:r>
          </w:p>
        </w:tc>
        <w:tc>
          <w:tcPr>
            <w:tcW w:w="140" w:type="dxa"/>
            <w:vAlign w:val="bottom"/>
          </w:tcPr>
          <w:p>
            <w:pPr>
              <w:spacing w:after="0"/>
              <w:rPr>
                <w:sz w:val="14"/>
                <w:szCs w:val="1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39,359,402</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gain on investments</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(99,634,900)</w:t>
            </w: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17,427,448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(90,132,465)</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42,954,381</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93,427,503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(13,853,589)</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52,901,758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(50,159,607)</w:t>
            </w: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on debt</w:t>
            </w:r>
          </w:p>
        </w:tc>
        <w:tc>
          <w:tcPr>
            <w:tcW w:w="20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186,504</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1,560,376</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9,914,139</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3,086,378</w:t>
            </w:r>
          </w:p>
        </w:tc>
        <w:tc>
          <w:tcPr>
            <w:tcW w:w="100" w:type="dxa"/>
            <w:vAlign w:val="bottom"/>
            <w:shd w:val="clear" w:color="auto" w:fill="CCECFF"/>
          </w:tcPr>
          <w:p>
            <w:pPr>
              <w:spacing w:after="0"/>
              <w:rPr>
                <w:sz w:val="14"/>
                <w:szCs w:val="14"/>
                <w:color w:val="auto"/>
              </w:rPr>
            </w:pPr>
          </w:p>
        </w:tc>
      </w:tr>
      <w:tr>
        <w:trPr>
          <w:trHeight w:val="155"/>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5,628,851</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16,910,147</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7,660,543</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35,240,554</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20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(12,068,118)</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(12,597,854)</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(36,381,194)</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(38,179,755)</w:t>
            </w:r>
          </w:p>
        </w:tc>
        <w:tc>
          <w:tcPr>
            <w:tcW w:w="100" w:type="dxa"/>
            <w:vAlign w:val="bottom"/>
            <w:shd w:val="clear" w:color="auto" w:fill="CCECFF"/>
          </w:tcPr>
          <w:p>
            <w:pPr>
              <w:spacing w:after="0"/>
              <w:rPr>
                <w:sz w:val="13"/>
                <w:szCs w:val="13"/>
                <w:color w:val="auto"/>
              </w:rPr>
            </w:pPr>
          </w:p>
        </w:tc>
      </w:tr>
      <w:tr>
        <w:trPr>
          <w:trHeight w:val="156"/>
        </w:trPr>
        <w:tc>
          <w:tcPr>
            <w:tcW w:w="584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Repurchase of common stock</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(7,776,586)</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(14,471,720)</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(7,776,586)</w:t>
            </w:r>
          </w:p>
        </w:tc>
      </w:tr>
      <w:tr>
        <w:trPr>
          <w:trHeight w:val="156"/>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 net assets</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(6,439,267)</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(3,464,293)</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(43,192,371)</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(10,715,787)</w:t>
            </w:r>
          </w:p>
        </w:tc>
        <w:tc>
          <w:tcPr>
            <w:tcW w:w="100" w:type="dxa"/>
            <w:vAlign w:val="bottom"/>
            <w:tcBorders>
              <w:bottom w:val="single" w:sz="8" w:color="CCECFF"/>
            </w:tcBorders>
          </w:tcPr>
          <w:p>
            <w:pPr>
              <w:spacing w:after="0"/>
              <w:rPr>
                <w:sz w:val="13"/>
                <w:szCs w:val="13"/>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592,148,791</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639,556,977</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628,901,895</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646,808,471</w:t>
            </w:r>
          </w:p>
        </w:tc>
        <w:tc>
          <w:tcPr>
            <w:tcW w:w="100" w:type="dxa"/>
            <w:vAlign w:val="bottom"/>
            <w:tcBorders>
              <w:bottom w:val="single" w:sz="8" w:color="CCECFF"/>
            </w:tcBorders>
          </w:tcPr>
          <w:p>
            <w:pPr>
              <w:spacing w:after="0"/>
              <w:rPr>
                <w:sz w:val="14"/>
                <w:szCs w:val="14"/>
                <w:color w:val="auto"/>
              </w:rPr>
            </w:pPr>
          </w:p>
        </w:tc>
      </w:tr>
      <w:tr>
        <w:trPr>
          <w:trHeight w:val="155"/>
        </w:trPr>
        <w:tc>
          <w:tcPr>
            <w:tcW w:w="58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200" w:type="dxa"/>
            <w:vAlign w:val="bottom"/>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585,709,524</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636,092,684</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585,709,524</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636,092,684</w:t>
            </w: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b w:val="1"/>
                <w:bCs w:val="1"/>
                <w:color w:val="auto"/>
              </w:rPr>
              <w:t>Capital share activity:</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Shares of common stock repurchased</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(2,008,853)</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(1,072,759)</w:t>
            </w:r>
          </w:p>
        </w:tc>
      </w:tr>
      <w:tr>
        <w:trPr>
          <w:trHeight w:val="20"/>
        </w:trPr>
        <w:tc>
          <w:tcPr>
            <w:tcW w:w="584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increase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7,660,543</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35,240,554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in net assets resulting from</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(used in) provided by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change in net unrealized (appreciation) depreciation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(52,901,758)</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50,159,607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depreciation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(9,914,139)</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(3,086,378)</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realized loss (gain)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90,132,465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(42,954,381)</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(2,095,442)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(1,684,494)</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(494,793,457)</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(423,297,254)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(8,765,915)</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(9,698,374)</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325,598,567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556,356,780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628,761</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1,597,386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(increase) in interest receivable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387,222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(2,060,103)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prepaid expenses and other assets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546,453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2,930,530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in payable for investments purchased</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13,686,000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interest payable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(2,568,650)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(1,875,143)</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(decrease) in base management fee payable, net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566,826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(1,072,567)</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increase in performance-based incentive fee payable, net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(493,179)</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227,835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 accrued other expenses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(726,208)</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(787,676)</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(used in) provided by operating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(146,737,911)</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173,682,322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Repurchase of common stock</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(14,471,720)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(7,776,586)</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Capitalized borrowing costs</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(1,721,750)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(36,742,787)</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(38,372,850)</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of 2019 Notes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(250,000,000)</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SBA debentures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SBA debentures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(30,000,000)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(90,000,000)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BNP Credit Facility</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178,000,000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Borrowings under SunTrust Credit Facility</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655,000,000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132,520,000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SunTrust Credit Facility</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(352,884,000)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(170,392,900)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14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148,901,493</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(104,744,086)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cash equivalents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2,163,582</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68,938,236</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75,100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(49,213)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19,506,154</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38,202,068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21,744,836</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107,091,091</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23,058,930</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9,525,005</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1,111,409</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322,693</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14,823,909</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31,942,605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740" w:type="dxa"/>
            <w:vAlign w:val="bottom"/>
          </w:tcPr>
          <w:p>
            <w:pPr>
              <w:spacing w:after="0"/>
              <w:rPr>
                <w:sz w:val="10"/>
                <w:szCs w:val="10"/>
                <w:color w:val="auto"/>
              </w:rPr>
            </w:pPr>
          </w:p>
        </w:tc>
        <w:tc>
          <w:tcPr>
            <w:tcW w:w="1280" w:type="dxa"/>
            <w:vAlign w:val="bottom"/>
          </w:tcPr>
          <w:p>
            <w:pPr>
              <w:ind w:left="480"/>
              <w:spacing w:after="0" w:line="122" w:lineRule="exact"/>
              <w:rPr>
                <w:sz w:val="20"/>
                <w:szCs w:val="20"/>
                <w:color w:val="auto"/>
              </w:rPr>
            </w:pPr>
            <w:r>
              <w:rPr>
                <w:rFonts w:ascii="Arial" w:cs="Arial" w:eastAsia="Arial" w:hAnsi="Arial"/>
                <w:sz w:val="11"/>
                <w:szCs w:val="11"/>
                <w:b w:val="1"/>
                <w:bCs w:val="1"/>
                <w:color w:val="auto"/>
              </w:rPr>
              <w:t>Maturity /</w:t>
            </w: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Current</w:t>
            </w:r>
          </w:p>
        </w:tc>
        <w:tc>
          <w:tcPr>
            <w:tcW w:w="11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Spread</w:t>
            </w: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2"/>
              </w:rPr>
              <w:t>Par /</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80" w:type="dxa"/>
            <w:vAlign w:val="bottom"/>
          </w:tcPr>
          <w:p>
            <w:pPr>
              <w:ind w:left="460"/>
              <w:spacing w:after="0"/>
              <w:rPr>
                <w:sz w:val="20"/>
                <w:szCs w:val="20"/>
                <w:color w:val="auto"/>
              </w:rPr>
            </w:pPr>
            <w:r>
              <w:rPr>
                <w:rFonts w:ascii="Arial" w:cs="Arial" w:eastAsia="Arial" w:hAnsi="Arial"/>
                <w:sz w:val="11"/>
                <w:szCs w:val="11"/>
                <w:b w:val="1"/>
                <w:bCs w:val="1"/>
                <w:color w:val="auto"/>
              </w:rPr>
              <w:t>Expiration</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Industry</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Coupon</w:t>
            </w: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 xml:space="preserve">Above Index </w:t>
            </w:r>
            <w:r>
              <w:rPr>
                <w:rFonts w:ascii="Arial" w:cs="Arial" w:eastAsia="Arial" w:hAnsi="Arial"/>
                <w:sz w:val="9"/>
                <w:szCs w:val="9"/>
                <w:b w:val="1"/>
                <w:bCs w:val="1"/>
                <w:color w:val="auto"/>
                <w:w w:val="90"/>
              </w:rPr>
              <w:t>(4)</w:t>
            </w: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Shares</w:t>
            </w:r>
          </w:p>
        </w:tc>
        <w:tc>
          <w:tcPr>
            <w:tcW w:w="68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r>
      <w:tr>
        <w:trPr>
          <w:trHeight w:val="128"/>
        </w:trPr>
        <w:tc>
          <w:tcPr>
            <w:tcW w:w="40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5"/>
              </w:rPr>
              <w:t xml:space="preserve">Investments in Non-Controlled, Non-Affiliated Portfolio Companies—171.1 </w:t>
            </w:r>
            <w:r>
              <w:rPr>
                <w:rFonts w:ascii="Arial" w:cs="Arial" w:eastAsia="Arial" w:hAnsi="Arial"/>
                <w:sz w:val="9"/>
                <w:szCs w:val="9"/>
                <w:b w:val="1"/>
                <w:bCs w:val="1"/>
                <w:color w:val="auto"/>
                <w:w w:val="95"/>
              </w:rPr>
              <w:t>(1), (2)</w:t>
            </w:r>
          </w:p>
        </w:tc>
        <w:tc>
          <w:tcPr>
            <w:tcW w:w="25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First Lien Secured Debt—109.2%</w:t>
            </w:r>
          </w:p>
        </w:tc>
        <w:tc>
          <w:tcPr>
            <w:tcW w:w="1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(5)</w:t>
            </w:r>
          </w:p>
        </w:tc>
        <w:tc>
          <w:tcPr>
            <w:tcW w:w="128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12/21/2023</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8.04%</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31,122,000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5"/>
              </w:rPr>
              <w:t>$  30,553,961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30,655,170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w:t>
            </w:r>
          </w:p>
        </w:tc>
        <w:tc>
          <w:tcPr>
            <w:tcW w:w="1280" w:type="dxa"/>
            <w:vAlign w:val="bottom"/>
          </w:tcPr>
          <w:p>
            <w:pPr>
              <w:ind w:left="460"/>
              <w:spacing w:after="0"/>
              <w:rPr>
                <w:sz w:val="20"/>
                <w:szCs w:val="20"/>
                <w:color w:val="auto"/>
              </w:rPr>
            </w:pPr>
            <w:r>
              <w:rPr>
                <w:rFonts w:ascii="Arial" w:cs="Arial" w:eastAsia="Arial" w:hAnsi="Arial"/>
                <w:sz w:val="11"/>
                <w:szCs w:val="11"/>
                <w:color w:val="auto"/>
              </w:rPr>
              <w:t>12/21/2023</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1,350,649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1"/>
                <w:szCs w:val="11"/>
                <w:color w:val="auto"/>
              </w:rPr>
              <w:t>(20,260)</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Bazaarvoice, Inc. </w:t>
            </w:r>
            <w:r>
              <w:rPr>
                <w:rFonts w:ascii="Arial" w:cs="Arial" w:eastAsia="Arial" w:hAnsi="Arial"/>
                <w:sz w:val="9"/>
                <w:szCs w:val="9"/>
                <w:color w:val="auto"/>
              </w:rPr>
              <w:t>(5)</w:t>
            </w:r>
          </w:p>
        </w:tc>
        <w:tc>
          <w:tcPr>
            <w:tcW w:w="128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02/01/2024</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0"/>
              </w:rPr>
              <w:t>Printing and Publishing</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8.15%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14,813,063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14,683,654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14,738,997</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Bottom Line Systems, LLC </w:t>
            </w:r>
            <w:r>
              <w:rPr>
                <w:rFonts w:ascii="Arial" w:cs="Arial" w:eastAsia="Arial" w:hAnsi="Arial"/>
                <w:sz w:val="9"/>
                <w:szCs w:val="9"/>
                <w:color w:val="auto"/>
              </w:rPr>
              <w:t>(5)</w:t>
            </w:r>
          </w:p>
        </w:tc>
        <w:tc>
          <w:tcPr>
            <w:tcW w:w="1280" w:type="dxa"/>
            <w:vAlign w:val="bottom"/>
          </w:tcPr>
          <w:p>
            <w:pPr>
              <w:ind w:left="460"/>
              <w:spacing w:after="0"/>
              <w:rPr>
                <w:sz w:val="20"/>
                <w:szCs w:val="20"/>
                <w:color w:val="auto"/>
              </w:rPr>
            </w:pPr>
            <w:r>
              <w:rPr>
                <w:rFonts w:ascii="Arial" w:cs="Arial" w:eastAsia="Arial" w:hAnsi="Arial"/>
                <w:sz w:val="11"/>
                <w:szCs w:val="11"/>
                <w:color w:val="auto"/>
              </w:rPr>
              <w:t>02/13/2023</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8.33%</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22,470,735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22,233,687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22,467,189</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Broder Bros., Co.</w:t>
            </w:r>
          </w:p>
        </w:tc>
        <w:tc>
          <w:tcPr>
            <w:tcW w:w="128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12/02/2022</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11.11%</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27,362,339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27,363,111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27,362,339</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Cano Health, LLC </w:t>
            </w:r>
            <w:r>
              <w:rPr>
                <w:rFonts w:ascii="Arial" w:cs="Arial" w:eastAsia="Arial" w:hAnsi="Arial"/>
                <w:sz w:val="9"/>
                <w:szCs w:val="9"/>
                <w:color w:val="auto"/>
              </w:rPr>
              <w:t>(5)</w:t>
            </w:r>
          </w:p>
        </w:tc>
        <w:tc>
          <w:tcPr>
            <w:tcW w:w="1280" w:type="dxa"/>
            <w:vAlign w:val="bottom"/>
          </w:tcPr>
          <w:p>
            <w:pPr>
              <w:ind w:left="460"/>
              <w:spacing w:after="0"/>
              <w:rPr>
                <w:sz w:val="20"/>
                <w:szCs w:val="20"/>
                <w:color w:val="auto"/>
              </w:rPr>
            </w:pPr>
            <w:r>
              <w:rPr>
                <w:rFonts w:ascii="Arial" w:cs="Arial" w:eastAsia="Arial" w:hAnsi="Arial"/>
                <w:sz w:val="11"/>
                <w:szCs w:val="11"/>
                <w:color w:val="auto"/>
              </w:rPr>
              <w:t>12/23/2021</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8.69%</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28,914,172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28,601,364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28,914,172</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DermaRite Industries LLC</w:t>
            </w:r>
          </w:p>
        </w:tc>
        <w:tc>
          <w:tcPr>
            <w:tcW w:w="128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03/03/2022</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0"/>
              </w:rPr>
              <w:t>Manufacturing / Basic Industries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9.40%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9,775,000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9,682,735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9,681,508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Deva Holdings, Inc. </w:t>
            </w:r>
            <w:r>
              <w:rPr>
                <w:rFonts w:ascii="Arial" w:cs="Arial" w:eastAsia="Arial" w:hAnsi="Arial"/>
                <w:sz w:val="9"/>
                <w:szCs w:val="9"/>
                <w:color w:val="auto"/>
              </w:rPr>
              <w:t>(5)</w:t>
            </w:r>
          </w:p>
        </w:tc>
        <w:tc>
          <w:tcPr>
            <w:tcW w:w="1280" w:type="dxa"/>
            <w:vAlign w:val="bottom"/>
          </w:tcPr>
          <w:p>
            <w:pPr>
              <w:ind w:left="460"/>
              <w:spacing w:after="0"/>
              <w:rPr>
                <w:sz w:val="20"/>
                <w:szCs w:val="20"/>
                <w:color w:val="auto"/>
              </w:rPr>
            </w:pPr>
            <w:r>
              <w:rPr>
                <w:rFonts w:ascii="Arial" w:cs="Arial" w:eastAsia="Arial" w:hAnsi="Arial"/>
                <w:sz w:val="11"/>
                <w:szCs w:val="11"/>
                <w:color w:val="auto"/>
              </w:rPr>
              <w:t>10/31/2023</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8.65%</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4,497,486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4,429,736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4,497,486</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Deva Holdings, Inc. </w:t>
            </w:r>
            <w:r>
              <w:rPr>
                <w:rFonts w:ascii="Arial" w:cs="Arial" w:eastAsia="Arial" w:hAnsi="Arial"/>
                <w:sz w:val="9"/>
                <w:szCs w:val="9"/>
                <w:color w:val="auto"/>
              </w:rPr>
              <w:t>(7)</w:t>
            </w:r>
          </w:p>
        </w:tc>
        <w:tc>
          <w:tcPr>
            <w:tcW w:w="128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10/31/2022</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385,000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Hollander Sleep Products, LLC</w:t>
            </w:r>
          </w:p>
        </w:tc>
        <w:tc>
          <w:tcPr>
            <w:tcW w:w="1280" w:type="dxa"/>
            <w:vAlign w:val="bottom"/>
          </w:tcPr>
          <w:p>
            <w:pPr>
              <w:ind w:left="460"/>
              <w:spacing w:after="0"/>
              <w:rPr>
                <w:sz w:val="20"/>
                <w:szCs w:val="20"/>
                <w:color w:val="auto"/>
              </w:rPr>
            </w:pPr>
            <w:r>
              <w:rPr>
                <w:rFonts w:ascii="Arial" w:cs="Arial" w:eastAsia="Arial" w:hAnsi="Arial"/>
                <w:sz w:val="11"/>
                <w:szCs w:val="11"/>
                <w:color w:val="auto"/>
              </w:rPr>
              <w:t>06/09/2023</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9"/>
                <w:szCs w:val="9"/>
                <w:color w:val="auto"/>
              </w:rPr>
              <w:t>(6)</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19,713,838</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19,414,795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9,068,365</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Hollander Sleep Products, LLC - DIP</w:t>
            </w:r>
          </w:p>
        </w:tc>
        <w:tc>
          <w:tcPr>
            <w:tcW w:w="128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10/18/2019</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9.33%</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2,418,373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2,418,373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2,394,189</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Hollander Sleep Products, LLC - DIP </w:t>
            </w:r>
            <w:r>
              <w:rPr>
                <w:rFonts w:ascii="Arial" w:cs="Arial" w:eastAsia="Arial" w:hAnsi="Arial"/>
                <w:sz w:val="9"/>
                <w:szCs w:val="9"/>
                <w:color w:val="auto"/>
              </w:rPr>
              <w:t>(7)</w:t>
            </w:r>
          </w:p>
        </w:tc>
        <w:tc>
          <w:tcPr>
            <w:tcW w:w="1280" w:type="dxa"/>
            <w:vAlign w:val="bottom"/>
          </w:tcPr>
          <w:p>
            <w:pPr>
              <w:ind w:left="460"/>
              <w:spacing w:after="0"/>
              <w:rPr>
                <w:sz w:val="20"/>
                <w:szCs w:val="20"/>
                <w:color w:val="auto"/>
              </w:rPr>
            </w:pPr>
            <w:r>
              <w:rPr>
                <w:rFonts w:ascii="Arial" w:cs="Arial" w:eastAsia="Arial" w:hAnsi="Arial"/>
                <w:sz w:val="11"/>
                <w:szCs w:val="11"/>
                <w:color w:val="auto"/>
              </w:rPr>
              <w:t>10/18/2019</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2,095,923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1"/>
                <w:szCs w:val="11"/>
                <w:color w:val="auto"/>
              </w:rPr>
              <w:t>(20,959)</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HW Holdco, LLC </w:t>
            </w:r>
            <w:r>
              <w:rPr>
                <w:rFonts w:ascii="Arial" w:cs="Arial" w:eastAsia="Arial" w:hAnsi="Arial"/>
                <w:sz w:val="9"/>
                <w:szCs w:val="9"/>
                <w:color w:val="auto"/>
              </w:rPr>
              <w:t>(5)</w:t>
            </w:r>
          </w:p>
        </w:tc>
        <w:tc>
          <w:tcPr>
            <w:tcW w:w="128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12/10/2024</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8.70%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17,524,839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17,357,025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17,524,839</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HW Holdco, LLC (Revolver)</w:t>
            </w:r>
          </w:p>
        </w:tc>
        <w:tc>
          <w:tcPr>
            <w:tcW w:w="1280" w:type="dxa"/>
            <w:vAlign w:val="bottom"/>
          </w:tcPr>
          <w:p>
            <w:pPr>
              <w:ind w:left="460"/>
              <w:spacing w:after="0"/>
              <w:rPr>
                <w:sz w:val="20"/>
                <w:szCs w:val="20"/>
                <w:color w:val="auto"/>
              </w:rPr>
            </w:pPr>
            <w:r>
              <w:rPr>
                <w:rFonts w:ascii="Arial" w:cs="Arial" w:eastAsia="Arial" w:hAnsi="Arial"/>
                <w:sz w:val="11"/>
                <w:szCs w:val="11"/>
                <w:color w:val="auto"/>
              </w:rPr>
              <w:t>12/10/2024</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8.70%</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1,029,677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1,029,677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1,029,677</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128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12/10/2024</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2,357,419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Impact Group, LLC </w:t>
            </w:r>
            <w:r>
              <w:rPr>
                <w:rFonts w:ascii="Arial" w:cs="Arial" w:eastAsia="Arial" w:hAnsi="Arial"/>
                <w:sz w:val="9"/>
                <w:szCs w:val="9"/>
                <w:color w:val="auto"/>
              </w:rPr>
              <w:t>(5)</w:t>
            </w:r>
          </w:p>
        </w:tc>
        <w:tc>
          <w:tcPr>
            <w:tcW w:w="1280" w:type="dxa"/>
            <w:vAlign w:val="bottom"/>
          </w:tcPr>
          <w:p>
            <w:pPr>
              <w:ind w:left="460"/>
              <w:spacing w:after="0"/>
              <w:rPr>
                <w:sz w:val="20"/>
                <w:szCs w:val="20"/>
                <w:color w:val="auto"/>
              </w:rPr>
            </w:pPr>
            <w:r>
              <w:rPr>
                <w:rFonts w:ascii="Arial" w:cs="Arial" w:eastAsia="Arial" w:hAnsi="Arial"/>
                <w:sz w:val="11"/>
                <w:szCs w:val="11"/>
                <w:color w:val="auto"/>
              </w:rPr>
              <w:t>06/27/2023</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7"/>
              </w:rPr>
              <w:t>Personal, Food and Miscellaneous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8.93%</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1M L+650</w:t>
            </w:r>
          </w:p>
        </w:tc>
        <w:tc>
          <w:tcPr>
            <w:tcW w:w="660" w:type="dxa"/>
            <w:vAlign w:val="bottom"/>
          </w:tcPr>
          <w:p>
            <w:pPr>
              <w:jc w:val="right"/>
              <w:spacing w:after="0"/>
              <w:rPr>
                <w:sz w:val="20"/>
                <w:szCs w:val="20"/>
                <w:color w:val="auto"/>
              </w:rPr>
            </w:pPr>
            <w:r>
              <w:rPr>
                <w:rFonts w:ascii="Arial" w:cs="Arial" w:eastAsia="Arial" w:hAnsi="Arial"/>
                <w:sz w:val="11"/>
                <w:szCs w:val="11"/>
                <w:color w:val="auto"/>
              </w:rPr>
              <w:t>20,155,265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20,049,104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19,953,711</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Juniper Landscaping of Florida, LLC</w:t>
            </w:r>
          </w:p>
        </w:tc>
        <w:tc>
          <w:tcPr>
            <w:tcW w:w="128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12/22/2021</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7"/>
              </w:rPr>
              <w:t>Personal, Food and Miscellaneous Services</w:t>
            </w: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11.94%</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L+950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14,812,356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14,631,003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14,812,356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9"/>
                <w:szCs w:val="9"/>
                <w:color w:val="auto"/>
              </w:rPr>
              <w:t>(5)</w:t>
            </w:r>
          </w:p>
        </w:tc>
        <w:tc>
          <w:tcPr>
            <w:tcW w:w="1280" w:type="dxa"/>
            <w:vAlign w:val="bottom"/>
          </w:tcPr>
          <w:p>
            <w:pPr>
              <w:ind w:left="460"/>
              <w:spacing w:after="0"/>
              <w:rPr>
                <w:sz w:val="20"/>
                <w:szCs w:val="20"/>
                <w:color w:val="auto"/>
              </w:rPr>
            </w:pPr>
            <w:r>
              <w:rPr>
                <w:rFonts w:ascii="Arial" w:cs="Arial" w:eastAsia="Arial" w:hAnsi="Arial"/>
                <w:sz w:val="11"/>
                <w:szCs w:val="11"/>
                <w:color w:val="auto"/>
              </w:rPr>
              <w:t>12/20/2023</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7"/>
              </w:rPr>
              <w:t>Chemicals, Plastics and Rubber</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7.19%</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1M L+475</w:t>
            </w:r>
          </w:p>
        </w:tc>
        <w:tc>
          <w:tcPr>
            <w:tcW w:w="660" w:type="dxa"/>
            <w:vAlign w:val="bottom"/>
          </w:tcPr>
          <w:p>
            <w:pPr>
              <w:jc w:val="right"/>
              <w:spacing w:after="0"/>
              <w:rPr>
                <w:sz w:val="20"/>
                <w:szCs w:val="20"/>
                <w:color w:val="auto"/>
              </w:rPr>
            </w:pPr>
            <w:r>
              <w:rPr>
                <w:rFonts w:ascii="Arial" w:cs="Arial" w:eastAsia="Arial" w:hAnsi="Arial"/>
                <w:sz w:val="11"/>
                <w:szCs w:val="11"/>
                <w:color w:val="auto"/>
              </w:rPr>
              <w:t>27,065,500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26,694,070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26,711,227</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128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12/20/2023</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7"/>
              </w:rPr>
              <w:t>Chemicals, Plastics and Rubber</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1,938,095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(25,369)</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(5)</w:t>
            </w:r>
          </w:p>
        </w:tc>
        <w:tc>
          <w:tcPr>
            <w:tcW w:w="1280" w:type="dxa"/>
            <w:vAlign w:val="bottom"/>
          </w:tcPr>
          <w:p>
            <w:pPr>
              <w:ind w:left="460"/>
              <w:spacing w:after="0"/>
              <w:rPr>
                <w:sz w:val="20"/>
                <w:szCs w:val="20"/>
                <w:color w:val="auto"/>
              </w:rPr>
            </w:pPr>
            <w:r>
              <w:rPr>
                <w:rFonts w:ascii="Arial" w:cs="Arial" w:eastAsia="Arial" w:hAnsi="Arial"/>
                <w:sz w:val="11"/>
                <w:szCs w:val="11"/>
                <w:color w:val="auto"/>
              </w:rPr>
              <w:t>03/07/2025</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11.90%</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1M L+950</w:t>
            </w:r>
          </w:p>
        </w:tc>
        <w:tc>
          <w:tcPr>
            <w:tcW w:w="660" w:type="dxa"/>
            <w:vAlign w:val="bottom"/>
          </w:tcPr>
          <w:p>
            <w:pPr>
              <w:jc w:val="right"/>
              <w:spacing w:after="0"/>
              <w:rPr>
                <w:sz w:val="20"/>
                <w:szCs w:val="20"/>
                <w:color w:val="auto"/>
              </w:rPr>
            </w:pPr>
            <w:r>
              <w:rPr>
                <w:rFonts w:ascii="Arial" w:cs="Arial" w:eastAsia="Arial" w:hAnsi="Arial"/>
                <w:sz w:val="11"/>
                <w:szCs w:val="11"/>
                <w:color w:val="auto"/>
              </w:rPr>
              <w:t>9,948,414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9,828,406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10,024,046</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11"/>
                <w:szCs w:val="11"/>
                <w:color w:val="auto"/>
              </w:rPr>
            </w:pPr>
          </w:p>
        </w:tc>
        <w:tc>
          <w:tcPr>
            <w:tcW w:w="128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(PIK 3.00% )</w:t>
            </w:r>
          </w:p>
        </w:tc>
        <w:tc>
          <w:tcPr>
            <w:tcW w:w="9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w:t>
            </w:r>
          </w:p>
        </w:tc>
        <w:tc>
          <w:tcPr>
            <w:tcW w:w="1280" w:type="dxa"/>
            <w:vAlign w:val="bottom"/>
          </w:tcPr>
          <w:p>
            <w:pPr>
              <w:ind w:left="460"/>
              <w:spacing w:after="0"/>
              <w:rPr>
                <w:sz w:val="20"/>
                <w:szCs w:val="20"/>
                <w:color w:val="auto"/>
              </w:rPr>
            </w:pPr>
            <w:r>
              <w:rPr>
                <w:rFonts w:ascii="Arial" w:cs="Arial" w:eastAsia="Arial" w:hAnsi="Arial"/>
                <w:sz w:val="11"/>
                <w:szCs w:val="11"/>
                <w:color w:val="auto"/>
              </w:rPr>
              <w:t>03/07/2025</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2,068,965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Lombart Brothers, Inc. </w:t>
            </w:r>
            <w:r>
              <w:rPr>
                <w:rFonts w:ascii="Arial" w:cs="Arial" w:eastAsia="Arial" w:hAnsi="Arial"/>
                <w:sz w:val="9"/>
                <w:szCs w:val="9"/>
                <w:color w:val="auto"/>
              </w:rPr>
              <w:t>(5)</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04/13/2023</w:t>
            </w:r>
          </w:p>
        </w:tc>
        <w:tc>
          <w:tcPr>
            <w:tcW w:w="262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8.58%</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15,317,553</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15,136,641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15,164,378</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Lombart Brothers, Inc. (Revolver)</w:t>
            </w:r>
          </w:p>
        </w:tc>
        <w:tc>
          <w:tcPr>
            <w:tcW w:w="1280" w:type="dxa"/>
            <w:vAlign w:val="bottom"/>
          </w:tcPr>
          <w:p>
            <w:pPr>
              <w:ind w:left="460"/>
              <w:spacing w:after="0"/>
              <w:rPr>
                <w:sz w:val="20"/>
                <w:szCs w:val="20"/>
                <w:color w:val="auto"/>
              </w:rPr>
            </w:pPr>
            <w:r>
              <w:rPr>
                <w:rFonts w:ascii="Arial" w:cs="Arial" w:eastAsia="Arial" w:hAnsi="Arial"/>
                <w:sz w:val="11"/>
                <w:szCs w:val="11"/>
                <w:color w:val="auto"/>
              </w:rPr>
              <w:t>04/13/2023</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10.50%</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P+500</w:t>
            </w:r>
          </w:p>
        </w:tc>
        <w:tc>
          <w:tcPr>
            <w:tcW w:w="660" w:type="dxa"/>
            <w:vAlign w:val="bottom"/>
          </w:tcPr>
          <w:p>
            <w:pPr>
              <w:jc w:val="right"/>
              <w:spacing w:after="0"/>
              <w:rPr>
                <w:sz w:val="20"/>
                <w:szCs w:val="20"/>
                <w:color w:val="auto"/>
              </w:rPr>
            </w:pPr>
            <w:r>
              <w:rPr>
                <w:rFonts w:ascii="Arial" w:cs="Arial" w:eastAsia="Arial" w:hAnsi="Arial"/>
                <w:sz w:val="11"/>
                <w:szCs w:val="11"/>
                <w:color w:val="auto"/>
              </w:rPr>
              <w:t>780,843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780,843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780,843</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04/13/2023</w:t>
            </w:r>
          </w:p>
        </w:tc>
        <w:tc>
          <w:tcPr>
            <w:tcW w:w="262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989,068</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MeritDirect, LLC </w:t>
            </w:r>
            <w:r>
              <w:rPr>
                <w:rFonts w:ascii="Arial" w:cs="Arial" w:eastAsia="Arial" w:hAnsi="Arial"/>
                <w:sz w:val="9"/>
                <w:szCs w:val="9"/>
                <w:color w:val="auto"/>
              </w:rPr>
              <w:t>(5)</w:t>
            </w:r>
          </w:p>
        </w:tc>
        <w:tc>
          <w:tcPr>
            <w:tcW w:w="1280" w:type="dxa"/>
            <w:vAlign w:val="bottom"/>
          </w:tcPr>
          <w:p>
            <w:pPr>
              <w:ind w:left="460"/>
              <w:spacing w:after="0"/>
              <w:rPr>
                <w:sz w:val="20"/>
                <w:szCs w:val="20"/>
                <w:color w:val="auto"/>
              </w:rPr>
            </w:pPr>
            <w:r>
              <w:rPr>
                <w:rFonts w:ascii="Arial" w:cs="Arial" w:eastAsia="Arial" w:hAnsi="Arial"/>
                <w:sz w:val="11"/>
                <w:szCs w:val="11"/>
                <w:color w:val="auto"/>
              </w:rPr>
              <w:t>05/23/2024</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8.06%</w:t>
            </w:r>
          </w:p>
        </w:tc>
        <w:tc>
          <w:tcPr>
            <w:tcW w:w="1120" w:type="dxa"/>
            <w:vAlign w:val="bottom"/>
            <w:gridSpan w:val="2"/>
          </w:tcPr>
          <w:p>
            <w:pPr>
              <w:ind w:left="360"/>
              <w:spacing w:after="0"/>
              <w:rPr>
                <w:sz w:val="20"/>
                <w:szCs w:val="20"/>
                <w:color w:val="auto"/>
              </w:rPr>
            </w:pPr>
            <w:r>
              <w:rPr>
                <w:rFonts w:ascii="Arial" w:cs="Arial" w:eastAsia="Arial" w:hAnsi="Arial"/>
                <w:sz w:val="11"/>
                <w:szCs w:val="11"/>
                <w:color w:val="auto"/>
              </w:rPr>
              <w:t>3ML+550</w:t>
            </w:r>
          </w:p>
        </w:tc>
        <w:tc>
          <w:tcPr>
            <w:tcW w:w="660" w:type="dxa"/>
            <w:vAlign w:val="bottom"/>
          </w:tcPr>
          <w:p>
            <w:pPr>
              <w:jc w:val="right"/>
              <w:spacing w:after="0"/>
              <w:rPr>
                <w:sz w:val="20"/>
                <w:szCs w:val="20"/>
                <w:color w:val="auto"/>
              </w:rPr>
            </w:pPr>
            <w:r>
              <w:rPr>
                <w:rFonts w:ascii="Arial" w:cs="Arial" w:eastAsia="Arial" w:hAnsi="Arial"/>
                <w:sz w:val="11"/>
                <w:szCs w:val="11"/>
                <w:color w:val="auto"/>
              </w:rPr>
              <w:t>19,787,000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19,493,713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19,490,195</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MeritDirect, LLC (Revolver)</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05/23/2024</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7.94%</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P+450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539,645</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539,645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531,551</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w:t>
            </w:r>
          </w:p>
        </w:tc>
        <w:tc>
          <w:tcPr>
            <w:tcW w:w="1280" w:type="dxa"/>
            <w:vAlign w:val="bottom"/>
          </w:tcPr>
          <w:p>
            <w:pPr>
              <w:ind w:left="460"/>
              <w:spacing w:after="0"/>
              <w:rPr>
                <w:sz w:val="20"/>
                <w:szCs w:val="20"/>
                <w:color w:val="auto"/>
              </w:rPr>
            </w:pPr>
            <w:r>
              <w:rPr>
                <w:rFonts w:ascii="Arial" w:cs="Arial" w:eastAsia="Arial" w:hAnsi="Arial"/>
                <w:sz w:val="11"/>
                <w:szCs w:val="11"/>
                <w:color w:val="auto"/>
              </w:rPr>
              <w:t>05/23/2024</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1,978,700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1"/>
                <w:szCs w:val="11"/>
                <w:color w:val="auto"/>
              </w:rPr>
              <w:t>(29,680)</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Ox Two, LLC</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02/27/2023</w:t>
            </w:r>
          </w:p>
        </w:tc>
        <w:tc>
          <w:tcPr>
            <w:tcW w:w="262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8.65%</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21,893,774</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21,550,123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21,893,774</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Ox Two, LLC (Revolver)</w:t>
            </w:r>
          </w:p>
        </w:tc>
        <w:tc>
          <w:tcPr>
            <w:tcW w:w="1280" w:type="dxa"/>
            <w:vAlign w:val="bottom"/>
          </w:tcPr>
          <w:p>
            <w:pPr>
              <w:ind w:left="460"/>
              <w:spacing w:after="0"/>
              <w:rPr>
                <w:sz w:val="20"/>
                <w:szCs w:val="20"/>
                <w:color w:val="auto"/>
              </w:rPr>
            </w:pPr>
            <w:r>
              <w:rPr>
                <w:rFonts w:ascii="Arial" w:cs="Arial" w:eastAsia="Arial" w:hAnsi="Arial"/>
                <w:sz w:val="11"/>
                <w:szCs w:val="11"/>
                <w:color w:val="auto"/>
              </w:rPr>
              <w:t>02/27/2023</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12.75%</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P+725</w:t>
            </w:r>
          </w:p>
        </w:tc>
        <w:tc>
          <w:tcPr>
            <w:tcW w:w="660" w:type="dxa"/>
            <w:vAlign w:val="bottom"/>
          </w:tcPr>
          <w:p>
            <w:pPr>
              <w:jc w:val="right"/>
              <w:spacing w:after="0"/>
              <w:rPr>
                <w:sz w:val="20"/>
                <w:szCs w:val="20"/>
                <w:color w:val="auto"/>
              </w:rPr>
            </w:pPr>
            <w:r>
              <w:rPr>
                <w:rFonts w:ascii="Arial" w:cs="Arial" w:eastAsia="Arial" w:hAnsi="Arial"/>
                <w:sz w:val="11"/>
                <w:szCs w:val="11"/>
                <w:color w:val="auto"/>
              </w:rPr>
              <w:t>2,288,000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2,288,000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2,288,000</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02/27/2023</w:t>
            </w:r>
          </w:p>
        </w:tc>
        <w:tc>
          <w:tcPr>
            <w:tcW w:w="262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212,000</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Peninsula Pacific Entertainment LLC</w:t>
            </w:r>
          </w:p>
        </w:tc>
        <w:tc>
          <w:tcPr>
            <w:tcW w:w="1280" w:type="dxa"/>
            <w:vAlign w:val="bottom"/>
          </w:tcPr>
          <w:p>
            <w:pPr>
              <w:ind w:left="460"/>
              <w:spacing w:after="0"/>
              <w:rPr>
                <w:sz w:val="20"/>
                <w:szCs w:val="20"/>
                <w:color w:val="auto"/>
              </w:rPr>
            </w:pPr>
            <w:r>
              <w:rPr>
                <w:rFonts w:ascii="Arial" w:cs="Arial" w:eastAsia="Arial" w:hAnsi="Arial"/>
                <w:sz w:val="11"/>
                <w:szCs w:val="11"/>
                <w:color w:val="auto"/>
              </w:rPr>
              <w:t>11/13/2024</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9.58%</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3M L+725</w:t>
            </w:r>
          </w:p>
        </w:tc>
        <w:tc>
          <w:tcPr>
            <w:tcW w:w="660" w:type="dxa"/>
            <w:vAlign w:val="bottom"/>
          </w:tcPr>
          <w:p>
            <w:pPr>
              <w:jc w:val="right"/>
              <w:spacing w:after="0"/>
              <w:rPr>
                <w:sz w:val="20"/>
                <w:szCs w:val="20"/>
                <w:color w:val="auto"/>
              </w:rPr>
            </w:pPr>
            <w:r>
              <w:rPr>
                <w:rFonts w:ascii="Arial" w:cs="Arial" w:eastAsia="Arial" w:hAnsi="Arial"/>
                <w:sz w:val="11"/>
                <w:szCs w:val="11"/>
                <w:color w:val="auto"/>
              </w:rPr>
              <w:t>7,200,000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7,183,768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7,164,000</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Peninsula Pacific Entertainment LLC </w:t>
            </w:r>
            <w:r>
              <w:rPr>
                <w:rFonts w:ascii="Arial" w:cs="Arial" w:eastAsia="Arial" w:hAnsi="Arial"/>
                <w:sz w:val="9"/>
                <w:szCs w:val="9"/>
                <w:color w:val="auto"/>
              </w:rPr>
              <w:t>(7)</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11/13/2024</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800,000</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(4,000)</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Perforce Software, Inc. </w:t>
            </w:r>
            <w:r>
              <w:rPr>
                <w:rFonts w:ascii="Arial" w:cs="Arial" w:eastAsia="Arial" w:hAnsi="Arial"/>
                <w:sz w:val="9"/>
                <w:szCs w:val="9"/>
                <w:color w:val="auto"/>
              </w:rPr>
              <w:t>(5)</w:t>
            </w:r>
          </w:p>
        </w:tc>
        <w:tc>
          <w:tcPr>
            <w:tcW w:w="1280" w:type="dxa"/>
            <w:vAlign w:val="bottom"/>
          </w:tcPr>
          <w:p>
            <w:pPr>
              <w:ind w:left="460"/>
              <w:spacing w:after="0"/>
              <w:rPr>
                <w:sz w:val="20"/>
                <w:szCs w:val="20"/>
                <w:color w:val="auto"/>
              </w:rPr>
            </w:pPr>
            <w:r>
              <w:rPr>
                <w:rFonts w:ascii="Arial" w:cs="Arial" w:eastAsia="Arial" w:hAnsi="Arial"/>
                <w:sz w:val="11"/>
                <w:szCs w:val="11"/>
                <w:color w:val="auto"/>
              </w:rPr>
              <w:t>12/27/2024</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9.00%</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9,825,126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9,778,125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9,782,190</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Perforce Software, Inc. (Revolver)</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12/27/2024</w:t>
            </w:r>
          </w:p>
        </w:tc>
        <w:tc>
          <w:tcPr>
            <w:tcW w:w="262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9.00%</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P+350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7,500</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7,413</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Perforce Software, Inc. (Revolver) </w:t>
            </w:r>
            <w:r>
              <w:rPr>
                <w:rFonts w:ascii="Arial" w:cs="Arial" w:eastAsia="Arial" w:hAnsi="Arial"/>
                <w:sz w:val="9"/>
                <w:szCs w:val="9"/>
                <w:color w:val="auto"/>
              </w:rPr>
              <w:t>(7)</w:t>
            </w:r>
          </w:p>
        </w:tc>
        <w:tc>
          <w:tcPr>
            <w:tcW w:w="1280" w:type="dxa"/>
            <w:vAlign w:val="bottom"/>
          </w:tcPr>
          <w:p>
            <w:pPr>
              <w:ind w:left="460"/>
              <w:spacing w:after="0"/>
              <w:rPr>
                <w:sz w:val="20"/>
                <w:szCs w:val="20"/>
                <w:color w:val="auto"/>
              </w:rPr>
            </w:pPr>
            <w:r>
              <w:rPr>
                <w:rFonts w:ascii="Arial" w:cs="Arial" w:eastAsia="Arial" w:hAnsi="Arial"/>
                <w:sz w:val="11"/>
                <w:szCs w:val="11"/>
                <w:color w:val="auto"/>
              </w:rPr>
              <w:t>12/27/2024</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117,500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1"/>
                <w:szCs w:val="11"/>
                <w:color w:val="auto"/>
              </w:rPr>
              <w:t>(1,367)</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Pestell Minerals and Ingredients Inc. </w:t>
            </w:r>
            <w:r>
              <w:rPr>
                <w:rFonts w:ascii="Arial" w:cs="Arial" w:eastAsia="Arial" w:hAnsi="Arial"/>
                <w:sz w:val="9"/>
                <w:szCs w:val="9"/>
                <w:color w:val="auto"/>
              </w:rPr>
              <w:t>(5), (8), (11)</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06/01/2023</w:t>
            </w:r>
          </w:p>
        </w:tc>
        <w:tc>
          <w:tcPr>
            <w:tcW w:w="262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Beverage, Food and Tobacco</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7.84%</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5,472,500</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5,422,449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5,434,739</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PlayPower, Inc. </w:t>
            </w:r>
            <w:r>
              <w:rPr>
                <w:rFonts w:ascii="Arial" w:cs="Arial" w:eastAsia="Arial" w:hAnsi="Arial"/>
                <w:sz w:val="9"/>
                <w:szCs w:val="9"/>
                <w:color w:val="auto"/>
              </w:rPr>
              <w:t>(5)</w:t>
            </w:r>
          </w:p>
        </w:tc>
        <w:tc>
          <w:tcPr>
            <w:tcW w:w="1280" w:type="dxa"/>
            <w:vAlign w:val="bottom"/>
          </w:tcPr>
          <w:p>
            <w:pPr>
              <w:ind w:left="460"/>
              <w:spacing w:after="0"/>
              <w:rPr>
                <w:sz w:val="20"/>
                <w:szCs w:val="20"/>
                <w:color w:val="auto"/>
              </w:rPr>
            </w:pPr>
            <w:r>
              <w:rPr>
                <w:rFonts w:ascii="Arial" w:cs="Arial" w:eastAsia="Arial" w:hAnsi="Arial"/>
                <w:sz w:val="11"/>
                <w:szCs w:val="11"/>
                <w:color w:val="auto"/>
              </w:rPr>
              <w:t>05/08/2026</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7"/>
              </w:rPr>
              <w:t>Leisure Products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7.90%</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4,200,000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4,158,218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4,205,250</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PRA Events, Inc.</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08/08/2022</w:t>
            </w:r>
          </w:p>
        </w:tc>
        <w:tc>
          <w:tcPr>
            <w:tcW w:w="262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9.61%</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19,479,621</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19,217,890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19,479,621</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PRA Events, Inc. (Revolver) </w:t>
            </w:r>
            <w:r>
              <w:rPr>
                <w:rFonts w:ascii="Arial" w:cs="Arial" w:eastAsia="Arial" w:hAnsi="Arial"/>
                <w:sz w:val="9"/>
                <w:szCs w:val="9"/>
                <w:color w:val="auto"/>
              </w:rPr>
              <w:t>(7)</w:t>
            </w:r>
          </w:p>
        </w:tc>
        <w:tc>
          <w:tcPr>
            <w:tcW w:w="1280" w:type="dxa"/>
            <w:vAlign w:val="bottom"/>
          </w:tcPr>
          <w:p>
            <w:pPr>
              <w:ind w:left="460"/>
              <w:spacing w:after="0"/>
              <w:rPr>
                <w:sz w:val="20"/>
                <w:szCs w:val="20"/>
                <w:color w:val="auto"/>
              </w:rPr>
            </w:pPr>
            <w:r>
              <w:rPr>
                <w:rFonts w:ascii="Arial" w:cs="Arial" w:eastAsia="Arial" w:hAnsi="Arial"/>
                <w:sz w:val="11"/>
                <w:szCs w:val="11"/>
                <w:color w:val="auto"/>
              </w:rPr>
              <w:t>08/08/2022</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2,000,000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Provation Medical, Inc.</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03/11/2024</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9.58%</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26,865,000</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26,311,446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26,270,783</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Questex, LLC</w:t>
            </w:r>
          </w:p>
        </w:tc>
        <w:tc>
          <w:tcPr>
            <w:tcW w:w="1280" w:type="dxa"/>
            <w:vAlign w:val="bottom"/>
          </w:tcPr>
          <w:p>
            <w:pPr>
              <w:ind w:left="460"/>
              <w:spacing w:after="0"/>
              <w:rPr>
                <w:sz w:val="20"/>
                <w:szCs w:val="20"/>
                <w:color w:val="auto"/>
              </w:rPr>
            </w:pPr>
            <w:r>
              <w:rPr>
                <w:rFonts w:ascii="Arial" w:cs="Arial" w:eastAsia="Arial" w:hAnsi="Arial"/>
                <w:sz w:val="11"/>
                <w:szCs w:val="11"/>
                <w:color w:val="auto"/>
              </w:rPr>
              <w:t>09/09/2024</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8.23%</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22,331,250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21,932,304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22,107,938</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09/09/2024</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3,590,426</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(35,904)</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Radius Aerospace, Inc. </w:t>
            </w:r>
            <w:r>
              <w:rPr>
                <w:rFonts w:ascii="Arial" w:cs="Arial" w:eastAsia="Arial" w:hAnsi="Arial"/>
                <w:sz w:val="9"/>
                <w:szCs w:val="9"/>
                <w:color w:val="auto"/>
              </w:rPr>
              <w:t>(5)</w:t>
            </w:r>
          </w:p>
        </w:tc>
        <w:tc>
          <w:tcPr>
            <w:tcW w:w="1280" w:type="dxa"/>
            <w:vAlign w:val="bottom"/>
          </w:tcPr>
          <w:p>
            <w:pPr>
              <w:ind w:left="460"/>
              <w:spacing w:after="0"/>
              <w:rPr>
                <w:sz w:val="20"/>
                <w:szCs w:val="20"/>
                <w:color w:val="auto"/>
              </w:rPr>
            </w:pPr>
            <w:r>
              <w:rPr>
                <w:rFonts w:ascii="Arial" w:cs="Arial" w:eastAsia="Arial" w:hAnsi="Arial"/>
                <w:sz w:val="11"/>
                <w:szCs w:val="11"/>
                <w:color w:val="auto"/>
              </w:rPr>
              <w:t>03/31/2025</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8.35%</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8,571,429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8,446,824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8,502,192</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Radius Aerospace, Inc. (Revolver)</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03/31/2025</w:t>
            </w:r>
          </w:p>
        </w:tc>
        <w:tc>
          <w:tcPr>
            <w:tcW w:w="262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7.97%</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238,095</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238,095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236,172</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9"/>
                <w:szCs w:val="9"/>
                <w:color w:val="auto"/>
              </w:rPr>
              <w:t>(7)</w:t>
            </w:r>
          </w:p>
        </w:tc>
        <w:tc>
          <w:tcPr>
            <w:tcW w:w="1280" w:type="dxa"/>
            <w:vAlign w:val="bottom"/>
          </w:tcPr>
          <w:p>
            <w:pPr>
              <w:ind w:left="460"/>
              <w:spacing w:after="0"/>
              <w:rPr>
                <w:sz w:val="20"/>
                <w:szCs w:val="20"/>
                <w:color w:val="auto"/>
              </w:rPr>
            </w:pPr>
            <w:r>
              <w:rPr>
                <w:rFonts w:ascii="Arial" w:cs="Arial" w:eastAsia="Arial" w:hAnsi="Arial"/>
                <w:sz w:val="11"/>
                <w:szCs w:val="11"/>
                <w:color w:val="auto"/>
              </w:rPr>
              <w:t>03/31/2025</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1,190,476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1"/>
                <w:szCs w:val="11"/>
                <w:color w:val="auto"/>
              </w:rPr>
              <w:t>(9,617)</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Research Horizons, LLC</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06/28/2022</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8.74%</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23,891,047</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23,536,697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23,293,771</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Research Horizons, LLC </w:t>
            </w:r>
            <w:r>
              <w:rPr>
                <w:rFonts w:ascii="Arial" w:cs="Arial" w:eastAsia="Arial" w:hAnsi="Arial"/>
                <w:sz w:val="9"/>
                <w:szCs w:val="9"/>
                <w:color w:val="auto"/>
              </w:rPr>
              <w:t>(7)</w:t>
            </w:r>
          </w:p>
        </w:tc>
        <w:tc>
          <w:tcPr>
            <w:tcW w:w="1280" w:type="dxa"/>
            <w:vAlign w:val="bottom"/>
          </w:tcPr>
          <w:p>
            <w:pPr>
              <w:ind w:left="460"/>
              <w:spacing w:after="0"/>
              <w:rPr>
                <w:sz w:val="20"/>
                <w:szCs w:val="20"/>
                <w:color w:val="auto"/>
              </w:rPr>
            </w:pPr>
            <w:r>
              <w:rPr>
                <w:rFonts w:ascii="Arial" w:cs="Arial" w:eastAsia="Arial" w:hAnsi="Arial"/>
                <w:sz w:val="11"/>
                <w:szCs w:val="11"/>
                <w:color w:val="auto"/>
              </w:rPr>
              <w:t>06/28/2022</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7,297,297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1"/>
                <w:szCs w:val="11"/>
                <w:color w:val="auto"/>
              </w:rPr>
              <w:t>(182,432)</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Research Horizons, LLC (Revolver)</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06/28/2022</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8.75%</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4,054,054</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4,054,054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3,952,703</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Research Now Group, Inc. and Survey</w:t>
            </w:r>
          </w:p>
        </w:tc>
        <w:tc>
          <w:tcPr>
            <w:tcW w:w="1280" w:type="dxa"/>
            <w:vAlign w:val="bottom"/>
          </w:tcPr>
          <w:p>
            <w:pPr>
              <w:ind w:left="460"/>
              <w:spacing w:after="0"/>
              <w:rPr>
                <w:sz w:val="20"/>
                <w:szCs w:val="20"/>
                <w:color w:val="auto"/>
              </w:rPr>
            </w:pPr>
            <w:r>
              <w:rPr>
                <w:rFonts w:ascii="Arial" w:cs="Arial" w:eastAsia="Arial" w:hAnsi="Arial"/>
                <w:sz w:val="11"/>
                <w:szCs w:val="11"/>
                <w:color w:val="auto"/>
              </w:rPr>
              <w:t>12/20/2024</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7.99%</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9,949,495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9,801,259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9,904,722</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Sampling International LLC </w:t>
            </w:r>
            <w:r>
              <w:rPr>
                <w:rFonts w:ascii="Arial" w:cs="Arial" w:eastAsia="Arial" w:hAnsi="Arial"/>
                <w:sz w:val="9"/>
                <w:szCs w:val="9"/>
                <w:color w:val="auto"/>
              </w:rPr>
              <w:t>(5)</w:t>
            </w:r>
          </w:p>
        </w:tc>
        <w:tc>
          <w:tcPr>
            <w:tcW w:w="128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Riverpoint Medical, LLC</w:t>
            </w:r>
          </w:p>
        </w:tc>
        <w:tc>
          <w:tcPr>
            <w:tcW w:w="1280" w:type="dxa"/>
            <w:vAlign w:val="bottom"/>
          </w:tcPr>
          <w:p>
            <w:pPr>
              <w:ind w:left="460"/>
              <w:spacing w:after="0"/>
              <w:rPr>
                <w:sz w:val="20"/>
                <w:szCs w:val="20"/>
                <w:color w:val="auto"/>
              </w:rPr>
            </w:pPr>
            <w:r>
              <w:rPr>
                <w:rFonts w:ascii="Arial" w:cs="Arial" w:eastAsia="Arial" w:hAnsi="Arial"/>
                <w:sz w:val="11"/>
                <w:szCs w:val="11"/>
                <w:color w:val="auto"/>
              </w:rPr>
              <w:t>06/20/2025</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7.39%</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2,000,000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1,980,040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1,980,000</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06/20/2025</w:t>
            </w:r>
          </w:p>
        </w:tc>
        <w:tc>
          <w:tcPr>
            <w:tcW w:w="262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363,636</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SFP Holding, Inc. </w:t>
            </w:r>
            <w:r>
              <w:rPr>
                <w:rFonts w:ascii="Arial" w:cs="Arial" w:eastAsia="Arial" w:hAnsi="Arial"/>
                <w:sz w:val="9"/>
                <w:szCs w:val="9"/>
                <w:color w:val="auto"/>
              </w:rPr>
              <w:t>(5)</w:t>
            </w:r>
          </w:p>
        </w:tc>
        <w:tc>
          <w:tcPr>
            <w:tcW w:w="1280" w:type="dxa"/>
            <w:vAlign w:val="bottom"/>
          </w:tcPr>
          <w:p>
            <w:pPr>
              <w:ind w:left="460"/>
              <w:spacing w:after="0"/>
              <w:rPr>
                <w:sz w:val="20"/>
                <w:szCs w:val="20"/>
                <w:color w:val="auto"/>
              </w:rPr>
            </w:pPr>
            <w:r>
              <w:rPr>
                <w:rFonts w:ascii="Arial" w:cs="Arial" w:eastAsia="Arial" w:hAnsi="Arial"/>
                <w:sz w:val="11"/>
                <w:szCs w:val="11"/>
                <w:color w:val="auto"/>
              </w:rPr>
              <w:t>09/01/2022</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8"/>
              </w:rPr>
              <w:t>Buildings and Real Estate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8.61%</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16,213,127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16,070,585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16,213,127</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SFP Holding, Inc. </w:t>
            </w:r>
            <w:r>
              <w:rPr>
                <w:rFonts w:ascii="Arial" w:cs="Arial" w:eastAsia="Arial" w:hAnsi="Arial"/>
                <w:sz w:val="9"/>
                <w:szCs w:val="9"/>
                <w:color w:val="auto"/>
              </w:rPr>
              <w:t>(7)</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09/01/2022</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8"/>
              </w:rPr>
              <w:t>Buildings and Real Estate</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3,839,888</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SFP Holding, Inc. (Revolver)</w:t>
            </w:r>
          </w:p>
        </w:tc>
        <w:tc>
          <w:tcPr>
            <w:tcW w:w="1280" w:type="dxa"/>
            <w:vAlign w:val="bottom"/>
          </w:tcPr>
          <w:p>
            <w:pPr>
              <w:ind w:left="460"/>
              <w:spacing w:after="0"/>
              <w:rPr>
                <w:sz w:val="20"/>
                <w:szCs w:val="20"/>
                <w:color w:val="auto"/>
              </w:rPr>
            </w:pPr>
            <w:r>
              <w:rPr>
                <w:rFonts w:ascii="Arial" w:cs="Arial" w:eastAsia="Arial" w:hAnsi="Arial"/>
                <w:sz w:val="11"/>
                <w:szCs w:val="11"/>
                <w:color w:val="auto"/>
              </w:rPr>
              <w:t>09/01/2022</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8"/>
              </w:rPr>
              <w:t>Buildings and Real Estate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8.67%</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708,333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708,333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708,333</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SFP Holding, Inc. (Revolver) </w:t>
            </w:r>
            <w:r>
              <w:rPr>
                <w:rFonts w:ascii="Arial" w:cs="Arial" w:eastAsia="Arial" w:hAnsi="Arial"/>
                <w:sz w:val="9"/>
                <w:szCs w:val="9"/>
                <w:color w:val="auto"/>
              </w:rPr>
              <w:t>(7)</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09/01/2022</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8"/>
              </w:rPr>
              <w:t>Buildings and Real Estate</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1,791,667</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Signature Systems Holding Company </w:t>
            </w:r>
            <w:r>
              <w:rPr>
                <w:rFonts w:ascii="Arial" w:cs="Arial" w:eastAsia="Arial" w:hAnsi="Arial"/>
                <w:sz w:val="9"/>
                <w:szCs w:val="9"/>
                <w:color w:val="auto"/>
              </w:rPr>
              <w:t>(5)</w:t>
            </w:r>
          </w:p>
        </w:tc>
        <w:tc>
          <w:tcPr>
            <w:tcW w:w="1280" w:type="dxa"/>
            <w:vAlign w:val="bottom"/>
          </w:tcPr>
          <w:p>
            <w:pPr>
              <w:ind w:left="460"/>
              <w:spacing w:after="0"/>
              <w:rPr>
                <w:sz w:val="20"/>
                <w:szCs w:val="20"/>
                <w:color w:val="auto"/>
              </w:rPr>
            </w:pPr>
            <w:r>
              <w:rPr>
                <w:rFonts w:ascii="Arial" w:cs="Arial" w:eastAsia="Arial" w:hAnsi="Arial"/>
                <w:sz w:val="11"/>
                <w:szCs w:val="11"/>
                <w:color w:val="auto"/>
              </w:rPr>
              <w:t>05/03/2024</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90"/>
              </w:rPr>
              <w:t>Commercial Services &amp; Supplies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9.01%</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P+550</w:t>
            </w:r>
          </w:p>
        </w:tc>
        <w:tc>
          <w:tcPr>
            <w:tcW w:w="660" w:type="dxa"/>
            <w:vAlign w:val="bottom"/>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14,780,418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14,775,000</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05/03/2024</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0"/>
              </w:rPr>
              <w:t>Commercial Services &amp; Supplies</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2,016,129</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Solutionreach, Inc. </w:t>
            </w:r>
            <w:r>
              <w:rPr>
                <w:rFonts w:ascii="Arial" w:cs="Arial" w:eastAsia="Arial" w:hAnsi="Arial"/>
                <w:sz w:val="9"/>
                <w:szCs w:val="9"/>
                <w:color w:val="auto"/>
              </w:rPr>
              <w:t>(5)</w:t>
            </w:r>
          </w:p>
        </w:tc>
        <w:tc>
          <w:tcPr>
            <w:tcW w:w="1280" w:type="dxa"/>
            <w:vAlign w:val="bottom"/>
          </w:tcPr>
          <w:p>
            <w:pPr>
              <w:ind w:left="460"/>
              <w:spacing w:after="0"/>
              <w:rPr>
                <w:sz w:val="20"/>
                <w:szCs w:val="20"/>
                <w:color w:val="auto"/>
              </w:rPr>
            </w:pPr>
            <w:r>
              <w:rPr>
                <w:rFonts w:ascii="Arial" w:cs="Arial" w:eastAsia="Arial" w:hAnsi="Arial"/>
                <w:sz w:val="11"/>
                <w:szCs w:val="11"/>
                <w:color w:val="auto"/>
              </w:rPr>
              <w:t>01/17/2024</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90"/>
              </w:rPr>
              <w:t>Communications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8.13%</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13,286,700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13,037,015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13,005,663</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01/17/2024</w:t>
            </w:r>
          </w:p>
        </w:tc>
        <w:tc>
          <w:tcPr>
            <w:tcW w:w="262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0"/>
              </w:rPr>
              <w:t>Communications</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1,665,000</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(35,218)</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Triad Manufacturing, Inc.</w:t>
            </w:r>
          </w:p>
        </w:tc>
        <w:tc>
          <w:tcPr>
            <w:tcW w:w="1280" w:type="dxa"/>
            <w:vAlign w:val="bottom"/>
          </w:tcPr>
          <w:p>
            <w:pPr>
              <w:ind w:left="460"/>
              <w:spacing w:after="0"/>
              <w:rPr>
                <w:sz w:val="20"/>
                <w:szCs w:val="20"/>
                <w:color w:val="auto"/>
              </w:rPr>
            </w:pPr>
            <w:r>
              <w:rPr>
                <w:rFonts w:ascii="Arial" w:cs="Arial" w:eastAsia="Arial" w:hAnsi="Arial"/>
                <w:sz w:val="11"/>
                <w:szCs w:val="11"/>
                <w:color w:val="auto"/>
              </w:rPr>
              <w:t>12/28/2020</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90"/>
              </w:rPr>
              <w:t>Manufacturing / Basic Industries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13.65%</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3M L+1,125</w:t>
            </w:r>
          </w:p>
        </w:tc>
        <w:tc>
          <w:tcPr>
            <w:tcW w:w="660" w:type="dxa"/>
            <w:vAlign w:val="bottom"/>
          </w:tcPr>
          <w:p>
            <w:pPr>
              <w:jc w:val="right"/>
              <w:spacing w:after="0"/>
              <w:rPr>
                <w:sz w:val="20"/>
                <w:szCs w:val="20"/>
                <w:color w:val="auto"/>
              </w:rPr>
            </w:pPr>
            <w:r>
              <w:rPr>
                <w:rFonts w:ascii="Arial" w:cs="Arial" w:eastAsia="Arial" w:hAnsi="Arial"/>
                <w:sz w:val="11"/>
                <w:szCs w:val="11"/>
                <w:color w:val="auto"/>
              </w:rPr>
              <w:t>22,099,213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21,929,987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21,878,221</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(5)</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01/18/2024</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0"/>
              </w:rPr>
              <w:t>Transportation</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7.94%</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33,126,420</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32,513,903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33,126,420</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(7)</w:t>
            </w:r>
          </w:p>
        </w:tc>
        <w:tc>
          <w:tcPr>
            <w:tcW w:w="1280" w:type="dxa"/>
            <w:vAlign w:val="bottom"/>
          </w:tcPr>
          <w:p>
            <w:pPr>
              <w:ind w:left="460"/>
              <w:spacing w:after="0"/>
              <w:rPr>
                <w:sz w:val="20"/>
                <w:szCs w:val="20"/>
                <w:color w:val="auto"/>
              </w:rPr>
            </w:pPr>
            <w:r>
              <w:rPr>
                <w:rFonts w:ascii="Arial" w:cs="Arial" w:eastAsia="Arial" w:hAnsi="Arial"/>
                <w:sz w:val="11"/>
                <w:szCs w:val="11"/>
                <w:color w:val="auto"/>
              </w:rPr>
              <w:t>01/18/2024</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90"/>
              </w:rPr>
              <w:t>Transportation</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4,053,227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TVC Enterprises, LLC (Revolver)</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01/18/2024</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0"/>
              </w:rPr>
              <w:t>Transportation</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9.28%</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967,902</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967,902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967,902</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1280" w:type="dxa"/>
            <w:vAlign w:val="bottom"/>
          </w:tcPr>
          <w:p>
            <w:pPr>
              <w:ind w:left="460"/>
              <w:spacing w:after="0"/>
              <w:rPr>
                <w:sz w:val="20"/>
                <w:szCs w:val="20"/>
                <w:color w:val="auto"/>
              </w:rPr>
            </w:pPr>
            <w:r>
              <w:rPr>
                <w:rFonts w:ascii="Arial" w:cs="Arial" w:eastAsia="Arial" w:hAnsi="Arial"/>
                <w:sz w:val="11"/>
                <w:szCs w:val="11"/>
                <w:color w:val="auto"/>
              </w:rPr>
              <w:t>01/18/2024</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90"/>
              </w:rPr>
              <w:t>Transportation</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1,734,249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TWS Acquisition Corporation </w:t>
            </w:r>
            <w:r>
              <w:rPr>
                <w:rFonts w:ascii="Arial" w:cs="Arial" w:eastAsia="Arial" w:hAnsi="Arial"/>
                <w:sz w:val="9"/>
                <w:szCs w:val="9"/>
                <w:color w:val="auto"/>
              </w:rPr>
              <w:t>(5)</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06/16/2025</w:t>
            </w:r>
          </w:p>
        </w:tc>
        <w:tc>
          <w:tcPr>
            <w:tcW w:w="262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9"/>
              </w:rPr>
              <w:t>Diversified Consumer Services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8.66%</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8,850,000</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8,633,687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8,632,556</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TWS Acquisition Corporation (Revolver)</w:t>
            </w:r>
          </w:p>
        </w:tc>
        <w:tc>
          <w:tcPr>
            <w:tcW w:w="1280" w:type="dxa"/>
            <w:vAlign w:val="bottom"/>
          </w:tcPr>
          <w:p>
            <w:pPr>
              <w:ind w:left="460"/>
              <w:spacing w:after="0"/>
              <w:rPr>
                <w:sz w:val="20"/>
                <w:szCs w:val="20"/>
                <w:color w:val="auto"/>
              </w:rPr>
            </w:pPr>
            <w:r>
              <w:rPr>
                <w:rFonts w:ascii="Arial" w:cs="Arial" w:eastAsia="Arial" w:hAnsi="Arial"/>
                <w:sz w:val="11"/>
                <w:szCs w:val="11"/>
                <w:color w:val="auto"/>
              </w:rPr>
              <w:t>06/16/2025</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9"/>
              </w:rPr>
              <w:t>Diversified Consumer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8.66%</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505,714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505,714</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06/16/2025</w:t>
            </w:r>
          </w:p>
        </w:tc>
        <w:tc>
          <w:tcPr>
            <w:tcW w:w="262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9"/>
              </w:rPr>
              <w:t>Diversified Consumer Services</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1,137,857</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Tyto Athene, LLC</w:t>
            </w:r>
          </w:p>
        </w:tc>
        <w:tc>
          <w:tcPr>
            <w:tcW w:w="1280" w:type="dxa"/>
            <w:vAlign w:val="bottom"/>
          </w:tcPr>
          <w:p>
            <w:pPr>
              <w:ind w:left="460"/>
              <w:spacing w:after="0"/>
              <w:rPr>
                <w:sz w:val="20"/>
                <w:szCs w:val="20"/>
                <w:color w:val="auto"/>
              </w:rPr>
            </w:pPr>
            <w:r>
              <w:rPr>
                <w:rFonts w:ascii="Arial" w:cs="Arial" w:eastAsia="Arial" w:hAnsi="Arial"/>
                <w:sz w:val="11"/>
                <w:szCs w:val="11"/>
                <w:color w:val="auto"/>
              </w:rPr>
              <w:t>08/27/2024</w:t>
            </w:r>
          </w:p>
        </w:tc>
        <w:tc>
          <w:tcPr>
            <w:tcW w:w="262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8.16%</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6,218,687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6,190,453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6,046,746</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UBEO, LLC </w:t>
            </w:r>
            <w:r>
              <w:rPr>
                <w:rFonts w:ascii="Arial" w:cs="Arial" w:eastAsia="Arial" w:hAnsi="Arial"/>
                <w:sz w:val="9"/>
                <w:szCs w:val="9"/>
                <w:color w:val="auto"/>
              </w:rPr>
              <w:t>(5)</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04/03/2024</w:t>
            </w:r>
          </w:p>
        </w:tc>
        <w:tc>
          <w:tcPr>
            <w:tcW w:w="262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0"/>
              </w:rPr>
              <w:t>Printing and Publishing</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6.90%</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2,312,013</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2,289,815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2,288,893</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US Dominion, Inc. </w:t>
            </w:r>
            <w:r>
              <w:rPr>
                <w:rFonts w:ascii="Arial" w:cs="Arial" w:eastAsia="Arial" w:hAnsi="Arial"/>
                <w:sz w:val="9"/>
                <w:szCs w:val="9"/>
                <w:color w:val="auto"/>
              </w:rPr>
              <w:t>(5)</w:t>
            </w:r>
          </w:p>
        </w:tc>
        <w:tc>
          <w:tcPr>
            <w:tcW w:w="1280" w:type="dxa"/>
            <w:vAlign w:val="bottom"/>
          </w:tcPr>
          <w:p>
            <w:pPr>
              <w:ind w:left="460"/>
              <w:spacing w:after="0"/>
              <w:rPr>
                <w:sz w:val="20"/>
                <w:szCs w:val="20"/>
                <w:color w:val="auto"/>
              </w:rPr>
            </w:pPr>
            <w:r>
              <w:rPr>
                <w:rFonts w:ascii="Arial" w:cs="Arial" w:eastAsia="Arial" w:hAnsi="Arial"/>
                <w:sz w:val="11"/>
                <w:szCs w:val="11"/>
                <w:color w:val="auto"/>
              </w:rPr>
              <w:t>07/15/2024</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9.16%</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3M L+675</w:t>
            </w:r>
          </w:p>
        </w:tc>
        <w:tc>
          <w:tcPr>
            <w:tcW w:w="660" w:type="dxa"/>
            <w:vAlign w:val="bottom"/>
          </w:tcPr>
          <w:p>
            <w:pPr>
              <w:jc w:val="right"/>
              <w:spacing w:after="0"/>
              <w:rPr>
                <w:sz w:val="20"/>
                <w:szCs w:val="20"/>
                <w:color w:val="auto"/>
              </w:rPr>
            </w:pPr>
            <w:r>
              <w:rPr>
                <w:rFonts w:ascii="Arial" w:cs="Arial" w:eastAsia="Arial" w:hAnsi="Arial"/>
                <w:sz w:val="11"/>
                <w:szCs w:val="11"/>
                <w:color w:val="auto"/>
              </w:rPr>
              <w:t>29,700,000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29,244,013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29,700,000</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US Dominion, Inc. (Revolver)</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07/15/2024</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9.18%</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L+675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5,250,000</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5,250,000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5,250,000</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US Dominion, Inc. (Revolver) </w:t>
            </w:r>
            <w:r>
              <w:rPr>
                <w:rFonts w:ascii="Arial" w:cs="Arial" w:eastAsia="Arial" w:hAnsi="Arial"/>
                <w:sz w:val="9"/>
                <w:szCs w:val="9"/>
                <w:color w:val="auto"/>
              </w:rPr>
              <w:t>(7)</w:t>
            </w:r>
          </w:p>
        </w:tc>
        <w:tc>
          <w:tcPr>
            <w:tcW w:w="1280" w:type="dxa"/>
            <w:vAlign w:val="bottom"/>
          </w:tcPr>
          <w:p>
            <w:pPr>
              <w:ind w:left="460"/>
              <w:spacing w:after="0"/>
              <w:rPr>
                <w:sz w:val="20"/>
                <w:szCs w:val="20"/>
                <w:color w:val="auto"/>
              </w:rPr>
            </w:pPr>
            <w:r>
              <w:rPr>
                <w:rFonts w:ascii="Arial" w:cs="Arial" w:eastAsia="Arial" w:hAnsi="Arial"/>
                <w:sz w:val="11"/>
                <w:szCs w:val="11"/>
                <w:color w:val="auto"/>
              </w:rPr>
              <w:t>07/15/2024</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2,250,000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US Med Acquisition, Inc.</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08/13/2021</w:t>
            </w:r>
          </w:p>
        </w:tc>
        <w:tc>
          <w:tcPr>
            <w:tcW w:w="262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11.33%</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L+900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8,410,938</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8,410,938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8,326,828</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Vision Purchaser Corporation</w:t>
            </w:r>
          </w:p>
        </w:tc>
        <w:tc>
          <w:tcPr>
            <w:tcW w:w="1280" w:type="dxa"/>
            <w:vAlign w:val="bottom"/>
          </w:tcPr>
          <w:p>
            <w:pPr>
              <w:ind w:left="460"/>
              <w:spacing w:after="0"/>
              <w:rPr>
                <w:sz w:val="20"/>
                <w:szCs w:val="20"/>
                <w:color w:val="auto"/>
              </w:rPr>
            </w:pPr>
            <w:r>
              <w:rPr>
                <w:rFonts w:ascii="Arial" w:cs="Arial" w:eastAsia="Arial" w:hAnsi="Arial"/>
                <w:sz w:val="11"/>
                <w:szCs w:val="11"/>
                <w:color w:val="auto"/>
              </w:rPr>
              <w:t>06/10/2025</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8.66%</w:t>
            </w: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3,449,666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3,380,798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3,380,673</w:t>
            </w:r>
          </w:p>
        </w:tc>
        <w:tc>
          <w:tcPr>
            <w:tcW w:w="10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Walker Edison Furniture Company LLC</w:t>
            </w:r>
          </w:p>
        </w:tc>
        <w:tc>
          <w:tcPr>
            <w:tcW w:w="1280" w:type="dxa"/>
            <w:vAlign w:val="bottom"/>
            <w:shd w:val="clear" w:color="auto" w:fill="CFF0FC"/>
          </w:tcPr>
          <w:p>
            <w:pPr>
              <w:ind w:left="460"/>
              <w:spacing w:after="0"/>
              <w:rPr>
                <w:sz w:val="20"/>
                <w:szCs w:val="20"/>
                <w:color w:val="auto"/>
              </w:rPr>
            </w:pPr>
            <w:r>
              <w:rPr>
                <w:rFonts w:ascii="Arial" w:cs="Arial" w:eastAsia="Arial" w:hAnsi="Arial"/>
                <w:sz w:val="11"/>
                <w:szCs w:val="11"/>
                <w:color w:val="auto"/>
              </w:rPr>
              <w:t>09/26/2024</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Home and Office Furnishings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9.10%</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22,218,750</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21,818,196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22,352,063</w:t>
            </w:r>
          </w:p>
        </w:tc>
        <w:tc>
          <w:tcPr>
            <w:tcW w:w="100" w:type="dxa"/>
            <w:vAlign w:val="bottom"/>
            <w:shd w:val="clear" w:color="auto" w:fill="CFF0FC"/>
          </w:tcPr>
          <w:p>
            <w:pPr>
              <w:spacing w:after="0"/>
              <w:rPr>
                <w:sz w:val="11"/>
                <w:szCs w:val="11"/>
                <w:color w:val="auto"/>
              </w:rPr>
            </w:pPr>
          </w:p>
        </w:tc>
      </w:tr>
      <w:tr>
        <w:trPr>
          <w:trHeight w:val="135"/>
        </w:trPr>
        <w:tc>
          <w:tcPr>
            <w:tcW w:w="274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(5)</w:t>
            </w:r>
          </w:p>
        </w:tc>
        <w:tc>
          <w:tcPr>
            <w:tcW w:w="1280" w:type="dxa"/>
            <w:vAlign w:val="bottom"/>
            <w:tcBorders>
              <w:bottom w:val="single" w:sz="8" w:color="CFF0FC"/>
            </w:tcBorders>
          </w:tcPr>
          <w:p>
            <w:pPr>
              <w:ind w:left="460"/>
              <w:spacing w:after="0"/>
              <w:rPr>
                <w:sz w:val="20"/>
                <w:szCs w:val="20"/>
                <w:color w:val="auto"/>
              </w:rPr>
            </w:pPr>
            <w:r>
              <w:rPr>
                <w:rFonts w:ascii="Arial" w:cs="Arial" w:eastAsia="Arial" w:hAnsi="Arial"/>
                <w:sz w:val="11"/>
                <w:szCs w:val="11"/>
                <w:color w:val="auto"/>
              </w:rPr>
              <w:t>10/18/2022</w:t>
            </w:r>
          </w:p>
        </w:tc>
        <w:tc>
          <w:tcPr>
            <w:tcW w:w="2620" w:type="dxa"/>
            <w:vAlign w:val="bottom"/>
            <w:tcBorders>
              <w:bottom w:val="single" w:sz="8" w:color="CFF0FC"/>
            </w:tcBorders>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1"/>
                <w:szCs w:val="11"/>
                <w:color w:val="auto"/>
              </w:rPr>
              <w:t>9.91%</w:t>
            </w:r>
          </w:p>
        </w:tc>
        <w:tc>
          <w:tcPr>
            <w:tcW w:w="112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1"/>
                <w:szCs w:val="11"/>
                <w:color w:val="auto"/>
              </w:rPr>
              <w:t>1M L+900</w:t>
            </w: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10,270,841</w:t>
            </w:r>
          </w:p>
        </w:tc>
        <w:tc>
          <w:tcPr>
            <w:tcW w:w="24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10,116,613</w:t>
            </w:r>
          </w:p>
        </w:tc>
        <w:tc>
          <w:tcPr>
            <w:tcW w:w="22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10,270,841</w:t>
            </w:r>
          </w:p>
        </w:tc>
        <w:tc>
          <w:tcPr>
            <w:tcW w:w="100" w:type="dxa"/>
            <w:vAlign w:val="bottom"/>
            <w:tcBorders>
              <w:bottom w:val="single" w:sz="8" w:color="CFF0FC"/>
            </w:tcBorders>
          </w:tcPr>
          <w:p>
            <w:pPr>
              <w:spacing w:after="0"/>
              <w:rPr>
                <w:sz w:val="11"/>
                <w:szCs w:val="11"/>
                <w:color w:val="auto"/>
              </w:rPr>
            </w:pPr>
          </w:p>
        </w:tc>
      </w:tr>
      <w:tr>
        <w:trPr>
          <w:trHeight w:val="129"/>
        </w:trPr>
        <w:tc>
          <w:tcPr>
            <w:tcW w:w="27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First Lien Secured Debt</w:t>
            </w:r>
          </w:p>
        </w:tc>
        <w:tc>
          <w:tcPr>
            <w:tcW w:w="128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646,676,705</w:t>
            </w:r>
          </w:p>
        </w:tc>
        <w:tc>
          <w:tcPr>
            <w:tcW w:w="220" w:type="dxa"/>
            <w:vAlign w:val="bottom"/>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639,369,680</w:t>
            </w:r>
          </w:p>
        </w:tc>
        <w:tc>
          <w:tcPr>
            <w:tcW w:w="100" w:type="dxa"/>
            <w:vAlign w:val="bottom"/>
            <w:shd w:val="clear" w:color="auto" w:fill="CFF0FC"/>
          </w:tcPr>
          <w:p>
            <w:pPr>
              <w:spacing w:after="0"/>
              <w:rPr>
                <w:sz w:val="11"/>
                <w:szCs w:val="1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Maturity /</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8"/>
              </w:rPr>
              <w:t>Expiration</w:t>
            </w:r>
          </w:p>
        </w:tc>
        <w:tc>
          <w:tcPr>
            <w:tcW w:w="220" w:type="dxa"/>
            <w:vAlign w:val="bottom"/>
            <w:tcBorders>
              <w:bottom w:val="single" w:sz="8" w:color="CFF0FC"/>
            </w:tcBorders>
          </w:tcPr>
          <w:p>
            <w:pPr>
              <w:spacing w:after="0"/>
              <w:rPr>
                <w:sz w:val="12"/>
                <w:szCs w:val="12"/>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1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Coupon</w:t>
            </w:r>
          </w:p>
        </w:tc>
        <w:tc>
          <w:tcPr>
            <w:tcW w:w="30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2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FF0FC"/>
            </w:tcBorders>
          </w:tcPr>
          <w:p>
            <w:pPr>
              <w:spacing w:after="0"/>
              <w:rPr>
                <w:sz w:val="12"/>
                <w:szCs w:val="12"/>
                <w:color w:val="auto"/>
              </w:rPr>
            </w:pPr>
          </w:p>
        </w:tc>
      </w:tr>
      <w:tr>
        <w:trPr>
          <w:trHeight w:val="142"/>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Second Lien Secured Debt—41.5%</w:t>
            </w: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Condor Borrower, LLC</w:t>
            </w:r>
          </w:p>
        </w:tc>
        <w:tc>
          <w:tcPr>
            <w:tcW w:w="540" w:type="dxa"/>
            <w:vAlign w:val="bottom"/>
          </w:tcPr>
          <w:p>
            <w:pPr>
              <w:spacing w:after="0"/>
              <w:rPr>
                <w:sz w:val="20"/>
                <w:szCs w:val="20"/>
                <w:color w:val="auto"/>
              </w:rPr>
            </w:pPr>
            <w:r>
              <w:rPr>
                <w:rFonts w:ascii="Arial" w:cs="Arial" w:eastAsia="Arial" w:hAnsi="Arial"/>
                <w:sz w:val="12"/>
                <w:szCs w:val="12"/>
                <w:color w:val="auto"/>
                <w:w w:val="86"/>
              </w:rPr>
              <w:t>04/25/2025</w:t>
            </w:r>
          </w:p>
        </w:tc>
        <w:tc>
          <w:tcPr>
            <w:tcW w:w="220" w:type="dxa"/>
            <w:vAlign w:val="bottom"/>
          </w:tcPr>
          <w:p>
            <w:pPr>
              <w:spacing w:after="0"/>
              <w:rPr>
                <w:sz w:val="12"/>
                <w:szCs w:val="12"/>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11.49%</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3M L+875</w:t>
            </w:r>
          </w:p>
        </w:tc>
        <w:tc>
          <w:tcPr>
            <w:tcW w:w="660" w:type="dxa"/>
            <w:vAlign w:val="bottom"/>
          </w:tcPr>
          <w:p>
            <w:pPr>
              <w:jc w:val="right"/>
              <w:spacing w:after="0"/>
              <w:rPr>
                <w:sz w:val="20"/>
                <w:szCs w:val="20"/>
                <w:color w:val="auto"/>
              </w:rPr>
            </w:pPr>
            <w:r>
              <w:rPr>
                <w:rFonts w:ascii="Arial" w:cs="Arial" w:eastAsia="Arial" w:hAnsi="Arial"/>
                <w:sz w:val="12"/>
                <w:szCs w:val="12"/>
                <w:color w:val="auto"/>
              </w:rPr>
              <w:t>10,344,828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  10,171,205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  10,344,828</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Confie Seguros Holding Co.</w:t>
            </w:r>
          </w:p>
        </w:tc>
        <w:tc>
          <w:tcPr>
            <w:tcW w:w="540" w:type="dxa"/>
            <w:vAlign w:val="bottom"/>
            <w:shd w:val="clear" w:color="auto" w:fill="CFF0FC"/>
          </w:tcPr>
          <w:p>
            <w:pPr>
              <w:spacing w:after="0"/>
              <w:rPr>
                <w:sz w:val="20"/>
                <w:szCs w:val="20"/>
                <w:color w:val="auto"/>
              </w:rPr>
            </w:pPr>
            <w:r>
              <w:rPr>
                <w:rFonts w:ascii="Arial" w:cs="Arial" w:eastAsia="Arial" w:hAnsi="Arial"/>
                <w:sz w:val="12"/>
                <w:szCs w:val="12"/>
                <w:color w:val="auto"/>
                <w:w w:val="86"/>
              </w:rPr>
              <w:t>10/31/2025</w:t>
            </w:r>
          </w:p>
        </w:tc>
        <w:tc>
          <w:tcPr>
            <w:tcW w:w="22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Insurance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11.13%</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14,500,000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14,233,719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13,898,250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DecoPac, Inc.</w:t>
            </w:r>
          </w:p>
        </w:tc>
        <w:tc>
          <w:tcPr>
            <w:tcW w:w="540" w:type="dxa"/>
            <w:vAlign w:val="bottom"/>
          </w:tcPr>
          <w:p>
            <w:pPr>
              <w:spacing w:after="0"/>
              <w:rPr>
                <w:sz w:val="20"/>
                <w:szCs w:val="20"/>
                <w:color w:val="auto"/>
              </w:rPr>
            </w:pPr>
            <w:r>
              <w:rPr>
                <w:rFonts w:ascii="Arial" w:cs="Arial" w:eastAsia="Arial" w:hAnsi="Arial"/>
                <w:sz w:val="12"/>
                <w:szCs w:val="12"/>
                <w:color w:val="auto"/>
                <w:w w:val="86"/>
              </w:rPr>
              <w:t>03/31/2025</w:t>
            </w:r>
          </w:p>
        </w:tc>
        <w:tc>
          <w:tcPr>
            <w:tcW w:w="220" w:type="dxa"/>
            <w:vAlign w:val="bottom"/>
          </w:tcPr>
          <w:p>
            <w:pPr>
              <w:spacing w:after="0"/>
              <w:rPr>
                <w:sz w:val="12"/>
                <w:szCs w:val="12"/>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10.85%</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tcPr>
          <w:p>
            <w:pPr>
              <w:jc w:val="right"/>
              <w:spacing w:after="0"/>
              <w:rPr>
                <w:sz w:val="20"/>
                <w:szCs w:val="20"/>
                <w:color w:val="auto"/>
              </w:rPr>
            </w:pPr>
            <w:r>
              <w:rPr>
                <w:rFonts w:ascii="Arial" w:cs="Arial" w:eastAsia="Arial" w:hAnsi="Arial"/>
                <w:sz w:val="12"/>
                <w:szCs w:val="12"/>
                <w:color w:val="auto"/>
              </w:rPr>
              <w:t>19,627,143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19,336,076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19,627,143</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Halo Buyer, Inc.</w:t>
            </w:r>
          </w:p>
        </w:tc>
        <w:tc>
          <w:tcPr>
            <w:tcW w:w="540" w:type="dxa"/>
            <w:vAlign w:val="bottom"/>
            <w:shd w:val="clear" w:color="auto" w:fill="CFF0FC"/>
          </w:tcPr>
          <w:p>
            <w:pPr>
              <w:spacing w:after="0"/>
              <w:rPr>
                <w:sz w:val="20"/>
                <w:szCs w:val="20"/>
                <w:color w:val="auto"/>
              </w:rPr>
            </w:pPr>
            <w:r>
              <w:rPr>
                <w:rFonts w:ascii="Arial" w:cs="Arial" w:eastAsia="Arial" w:hAnsi="Arial"/>
                <w:sz w:val="12"/>
                <w:szCs w:val="12"/>
                <w:color w:val="auto"/>
                <w:w w:val="86"/>
              </w:rPr>
              <w:t>07/06/2026</w:t>
            </w:r>
          </w:p>
        </w:tc>
        <w:tc>
          <w:tcPr>
            <w:tcW w:w="22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10.75%</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L+825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32,500,000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32,030,338</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32,012,500</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gridSpan w:val="2"/>
          </w:tcPr>
          <w:p>
            <w:pPr>
              <w:spacing w:after="0"/>
              <w:rPr>
                <w:sz w:val="20"/>
                <w:szCs w:val="20"/>
                <w:color w:val="auto"/>
              </w:rPr>
            </w:pPr>
            <w:r>
              <w:rPr>
                <w:rFonts w:ascii="Arial" w:cs="Arial" w:eastAsia="Arial" w:hAnsi="Arial"/>
                <w:sz w:val="12"/>
                <w:szCs w:val="12"/>
                <w:color w:val="auto"/>
              </w:rPr>
              <w:t>Infogroup, Inc.</w:t>
            </w:r>
          </w:p>
        </w:tc>
        <w:tc>
          <w:tcPr>
            <w:tcW w:w="540" w:type="dxa"/>
            <w:vAlign w:val="bottom"/>
          </w:tcPr>
          <w:p>
            <w:pPr>
              <w:spacing w:after="0"/>
              <w:rPr>
                <w:sz w:val="20"/>
                <w:szCs w:val="20"/>
                <w:color w:val="auto"/>
              </w:rPr>
            </w:pPr>
            <w:r>
              <w:rPr>
                <w:rFonts w:ascii="Arial" w:cs="Arial" w:eastAsia="Arial" w:hAnsi="Arial"/>
                <w:sz w:val="12"/>
                <w:szCs w:val="12"/>
                <w:color w:val="auto"/>
                <w:w w:val="86"/>
              </w:rPr>
              <w:t>04/03/2024</w:t>
            </w:r>
          </w:p>
        </w:tc>
        <w:tc>
          <w:tcPr>
            <w:tcW w:w="220" w:type="dxa"/>
            <w:vAlign w:val="bottom"/>
          </w:tcPr>
          <w:p>
            <w:pPr>
              <w:spacing w:after="0"/>
              <w:rPr>
                <w:sz w:val="12"/>
                <w:szCs w:val="12"/>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11.85%</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tcPr>
          <w:p>
            <w:pPr>
              <w:jc w:val="right"/>
              <w:spacing w:after="0"/>
              <w:rPr>
                <w:sz w:val="20"/>
                <w:szCs w:val="20"/>
                <w:color w:val="auto"/>
              </w:rPr>
            </w:pPr>
            <w:r>
              <w:rPr>
                <w:rFonts w:ascii="Arial" w:cs="Arial" w:eastAsia="Arial" w:hAnsi="Arial"/>
                <w:sz w:val="12"/>
                <w:szCs w:val="12"/>
                <w:color w:val="auto"/>
              </w:rPr>
              <w:t>20,400,000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20,091,104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20,196,000</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Integrity Marketing Partners, LLC</w:t>
            </w:r>
          </w:p>
        </w:tc>
        <w:tc>
          <w:tcPr>
            <w:tcW w:w="540" w:type="dxa"/>
            <w:vAlign w:val="bottom"/>
            <w:shd w:val="clear" w:color="auto" w:fill="CFF0FC"/>
          </w:tcPr>
          <w:p>
            <w:pPr>
              <w:spacing w:after="0"/>
              <w:rPr>
                <w:sz w:val="20"/>
                <w:szCs w:val="20"/>
                <w:color w:val="auto"/>
              </w:rPr>
            </w:pPr>
            <w:r>
              <w:rPr>
                <w:rFonts w:ascii="Arial" w:cs="Arial" w:eastAsia="Arial" w:hAnsi="Arial"/>
                <w:sz w:val="12"/>
                <w:szCs w:val="12"/>
                <w:color w:val="auto"/>
                <w:w w:val="86"/>
              </w:rPr>
              <w:t>11/30/2026</w:t>
            </w:r>
          </w:p>
        </w:tc>
        <w:tc>
          <w:tcPr>
            <w:tcW w:w="22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Insurance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11.02%</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22,217,143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21,940,647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21,994,971</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 xml:space="preserve">Integrity Marketing Partners, LLC </w:t>
            </w:r>
            <w:r>
              <w:rPr>
                <w:rFonts w:ascii="Arial" w:cs="Arial" w:eastAsia="Arial" w:hAnsi="Arial"/>
                <w:sz w:val="9"/>
                <w:szCs w:val="9"/>
                <w:color w:val="auto"/>
              </w:rPr>
              <w:t>(7)</w:t>
            </w:r>
          </w:p>
        </w:tc>
        <w:tc>
          <w:tcPr>
            <w:tcW w:w="540" w:type="dxa"/>
            <w:vAlign w:val="bottom"/>
          </w:tcPr>
          <w:p>
            <w:pPr>
              <w:spacing w:after="0"/>
              <w:rPr>
                <w:sz w:val="20"/>
                <w:szCs w:val="20"/>
                <w:color w:val="auto"/>
              </w:rPr>
            </w:pPr>
            <w:r>
              <w:rPr>
                <w:rFonts w:ascii="Arial" w:cs="Arial" w:eastAsia="Arial" w:hAnsi="Arial"/>
                <w:sz w:val="12"/>
                <w:szCs w:val="12"/>
                <w:color w:val="auto"/>
                <w:w w:val="86"/>
              </w:rPr>
              <w:t>11/30/2026</w:t>
            </w:r>
          </w:p>
        </w:tc>
        <w:tc>
          <w:tcPr>
            <w:tcW w:w="220" w:type="dxa"/>
            <w:vAlign w:val="bottom"/>
          </w:tcPr>
          <w:p>
            <w:pPr>
              <w:spacing w:after="0"/>
              <w:rPr>
                <w:sz w:val="12"/>
                <w:szCs w:val="12"/>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Insurance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925,714</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(9,257)</w:t>
            </w: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MailSouth, Inc.</w:t>
            </w:r>
          </w:p>
        </w:tc>
        <w:tc>
          <w:tcPr>
            <w:tcW w:w="540" w:type="dxa"/>
            <w:vAlign w:val="bottom"/>
            <w:shd w:val="clear" w:color="auto" w:fill="CFF0FC"/>
          </w:tcPr>
          <w:p>
            <w:pPr>
              <w:spacing w:after="0"/>
              <w:rPr>
                <w:sz w:val="20"/>
                <w:szCs w:val="20"/>
                <w:color w:val="auto"/>
              </w:rPr>
            </w:pPr>
            <w:r>
              <w:rPr>
                <w:rFonts w:ascii="Arial" w:cs="Arial" w:eastAsia="Arial" w:hAnsi="Arial"/>
                <w:sz w:val="12"/>
                <w:szCs w:val="12"/>
                <w:color w:val="auto"/>
                <w:w w:val="86"/>
              </w:rPr>
              <w:t>10/23/2024</w:t>
            </w:r>
          </w:p>
        </w:tc>
        <w:tc>
          <w:tcPr>
            <w:tcW w:w="22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Printing and Publishing</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12.00%</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6M L+925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36,828,975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36,191,046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35,908,251</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MBS Holdings, Inc.</w:t>
            </w:r>
          </w:p>
        </w:tc>
        <w:tc>
          <w:tcPr>
            <w:tcW w:w="540" w:type="dxa"/>
            <w:vAlign w:val="bottom"/>
          </w:tcPr>
          <w:p>
            <w:pPr>
              <w:spacing w:after="0"/>
              <w:rPr>
                <w:sz w:val="20"/>
                <w:szCs w:val="20"/>
                <w:color w:val="auto"/>
              </w:rPr>
            </w:pPr>
            <w:r>
              <w:rPr>
                <w:rFonts w:ascii="Arial" w:cs="Arial" w:eastAsia="Arial" w:hAnsi="Arial"/>
                <w:sz w:val="12"/>
                <w:szCs w:val="12"/>
                <w:color w:val="auto"/>
                <w:w w:val="86"/>
              </w:rPr>
              <w:t>01/02/2024</w:t>
            </w:r>
          </w:p>
        </w:tc>
        <w:tc>
          <w:tcPr>
            <w:tcW w:w="220" w:type="dxa"/>
            <w:vAlign w:val="bottom"/>
          </w:tcPr>
          <w:p>
            <w:pPr>
              <w:spacing w:after="0"/>
              <w:rPr>
                <w:sz w:val="12"/>
                <w:szCs w:val="12"/>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10.99%</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Pr>
          <w:p>
            <w:pPr>
              <w:jc w:val="right"/>
              <w:spacing w:after="0"/>
              <w:rPr>
                <w:sz w:val="20"/>
                <w:szCs w:val="20"/>
                <w:color w:val="auto"/>
              </w:rPr>
            </w:pPr>
            <w:r>
              <w:rPr>
                <w:rFonts w:ascii="Arial" w:cs="Arial" w:eastAsia="Arial" w:hAnsi="Arial"/>
                <w:sz w:val="12"/>
                <w:szCs w:val="12"/>
                <w:color w:val="auto"/>
              </w:rPr>
              <w:t>17,236,000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16,934,716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17,063,640</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Shift4 Payments, LLC</w:t>
            </w:r>
          </w:p>
        </w:tc>
        <w:tc>
          <w:tcPr>
            <w:tcW w:w="540" w:type="dxa"/>
            <w:vAlign w:val="bottom"/>
            <w:shd w:val="clear" w:color="auto" w:fill="CFF0FC"/>
          </w:tcPr>
          <w:p>
            <w:pPr>
              <w:spacing w:after="0"/>
              <w:rPr>
                <w:sz w:val="20"/>
                <w:szCs w:val="20"/>
                <w:color w:val="auto"/>
              </w:rPr>
            </w:pPr>
            <w:r>
              <w:rPr>
                <w:rFonts w:ascii="Arial" w:cs="Arial" w:eastAsia="Arial" w:hAnsi="Arial"/>
                <w:sz w:val="12"/>
                <w:szCs w:val="12"/>
                <w:color w:val="auto"/>
                <w:w w:val="86"/>
              </w:rPr>
              <w:t>11/28/2025</w:t>
            </w:r>
          </w:p>
        </w:tc>
        <w:tc>
          <w:tcPr>
            <w:tcW w:w="22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11.24%</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27,000,000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26,940,890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27,000,000</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gridSpan w:val="2"/>
          </w:tcPr>
          <w:p>
            <w:pPr>
              <w:spacing w:after="0"/>
              <w:rPr>
                <w:sz w:val="20"/>
                <w:szCs w:val="20"/>
                <w:color w:val="auto"/>
              </w:rPr>
            </w:pPr>
            <w:r>
              <w:rPr>
                <w:rFonts w:ascii="Arial" w:cs="Arial" w:eastAsia="Arial" w:hAnsi="Arial"/>
                <w:sz w:val="12"/>
                <w:szCs w:val="12"/>
                <w:color w:val="auto"/>
              </w:rPr>
              <w:t>VT Topco, Inc.</w:t>
            </w:r>
          </w:p>
        </w:tc>
        <w:tc>
          <w:tcPr>
            <w:tcW w:w="540" w:type="dxa"/>
            <w:vAlign w:val="bottom"/>
          </w:tcPr>
          <w:p>
            <w:pPr>
              <w:spacing w:after="0"/>
              <w:rPr>
                <w:sz w:val="20"/>
                <w:szCs w:val="20"/>
                <w:color w:val="auto"/>
              </w:rPr>
            </w:pPr>
            <w:r>
              <w:rPr>
                <w:rFonts w:ascii="Arial" w:cs="Arial" w:eastAsia="Arial" w:hAnsi="Arial"/>
                <w:sz w:val="12"/>
                <w:szCs w:val="12"/>
                <w:color w:val="auto"/>
                <w:w w:val="86"/>
              </w:rPr>
              <w:t>08/24/2026</w:t>
            </w:r>
          </w:p>
        </w:tc>
        <w:tc>
          <w:tcPr>
            <w:tcW w:w="220" w:type="dxa"/>
            <w:vAlign w:val="bottom"/>
          </w:tcPr>
          <w:p>
            <w:pPr>
              <w:spacing w:after="0"/>
              <w:rPr>
                <w:sz w:val="12"/>
                <w:szCs w:val="12"/>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9.60%</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tcPr>
          <w:p>
            <w:pPr>
              <w:jc w:val="right"/>
              <w:spacing w:after="0"/>
              <w:rPr>
                <w:sz w:val="20"/>
                <w:szCs w:val="20"/>
                <w:color w:val="auto"/>
              </w:rPr>
            </w:pPr>
            <w:r>
              <w:rPr>
                <w:rFonts w:ascii="Arial" w:cs="Arial" w:eastAsia="Arial" w:hAnsi="Arial"/>
                <w:sz w:val="12"/>
                <w:szCs w:val="12"/>
                <w:color w:val="auto"/>
              </w:rPr>
              <w:t>10,000,000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9,952,190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10,000,000</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Winter Park Intermediate, Inc.</w:t>
            </w:r>
          </w:p>
        </w:tc>
        <w:tc>
          <w:tcPr>
            <w:tcW w:w="540" w:type="dxa"/>
            <w:vAlign w:val="bottom"/>
            <w:shd w:val="clear" w:color="auto" w:fill="CFF0FC"/>
          </w:tcPr>
          <w:p>
            <w:pPr>
              <w:spacing w:after="0"/>
              <w:rPr>
                <w:sz w:val="20"/>
                <w:szCs w:val="20"/>
                <w:color w:val="auto"/>
              </w:rPr>
            </w:pPr>
            <w:r>
              <w:rPr>
                <w:rFonts w:ascii="Arial" w:cs="Arial" w:eastAsia="Arial" w:hAnsi="Arial"/>
                <w:sz w:val="12"/>
                <w:szCs w:val="12"/>
                <w:color w:val="auto"/>
                <w:w w:val="86"/>
              </w:rPr>
              <w:t>04/06/2026</w:t>
            </w:r>
          </w:p>
        </w:tc>
        <w:tc>
          <w:tcPr>
            <w:tcW w:w="22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9"/>
              </w:rPr>
              <w:t>Auto Sector</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11.00%</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35,300,000</w:t>
            </w:r>
          </w:p>
        </w:tc>
        <w:tc>
          <w:tcPr>
            <w:tcW w:w="24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34,729,693</w:t>
            </w:r>
          </w:p>
        </w:tc>
        <w:tc>
          <w:tcPr>
            <w:tcW w:w="24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35,300,000</w:t>
            </w:r>
          </w:p>
        </w:tc>
        <w:tc>
          <w:tcPr>
            <w:tcW w:w="100" w:type="dxa"/>
            <w:vAlign w:val="bottom"/>
            <w:shd w:val="clear" w:color="auto" w:fill="CFF0FC"/>
          </w:tcPr>
          <w:p>
            <w:pPr>
              <w:spacing w:after="0"/>
              <w:rPr>
                <w:sz w:val="12"/>
                <w:szCs w:val="12"/>
                <w:color w:val="auto"/>
              </w:rPr>
            </w:pPr>
          </w:p>
        </w:tc>
      </w:tr>
      <w:tr>
        <w:trPr>
          <w:trHeight w:val="142"/>
        </w:trPr>
        <w:tc>
          <w:tcPr>
            <w:tcW w:w="3060" w:type="dxa"/>
            <w:vAlign w:val="bottom"/>
            <w:gridSpan w:val="2"/>
          </w:tcPr>
          <w:p>
            <w:pPr>
              <w:spacing w:after="0"/>
              <w:rPr>
                <w:sz w:val="20"/>
                <w:szCs w:val="20"/>
                <w:color w:val="auto"/>
              </w:rPr>
            </w:pPr>
            <w:r>
              <w:rPr>
                <w:rFonts w:ascii="Arial" w:cs="Arial" w:eastAsia="Arial" w:hAnsi="Arial"/>
                <w:sz w:val="12"/>
                <w:szCs w:val="12"/>
                <w:b w:val="1"/>
                <w:bCs w:val="1"/>
                <w:color w:val="auto"/>
              </w:rPr>
              <w:t>Total Second Lien Secured Debt</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242,551,624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243,336,326</w:t>
            </w:r>
          </w:p>
        </w:tc>
        <w:tc>
          <w:tcPr>
            <w:tcW w:w="100" w:type="dxa"/>
            <w:vAlign w:val="bottom"/>
          </w:tcPr>
          <w:p>
            <w:pPr>
              <w:spacing w:after="0"/>
              <w:rPr>
                <w:sz w:val="12"/>
                <w:szCs w:val="12"/>
                <w:color w:val="auto"/>
              </w:rPr>
            </w:pPr>
          </w:p>
        </w:tc>
      </w:tr>
      <w:tr>
        <w:trPr>
          <w:trHeight w:val="142"/>
        </w:trPr>
        <w:tc>
          <w:tcPr>
            <w:tcW w:w="3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Subordinated Debt/Corporate Notes—10.0%</w:t>
            </w:r>
          </w:p>
        </w:tc>
        <w:tc>
          <w:tcPr>
            <w:tcW w:w="5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5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Blackhawk Industrial Distribution, Inc.</w:t>
            </w:r>
          </w:p>
        </w:tc>
        <w:tc>
          <w:tcPr>
            <w:tcW w:w="540" w:type="dxa"/>
            <w:vAlign w:val="bottom"/>
          </w:tcPr>
          <w:p>
            <w:pPr>
              <w:spacing w:after="0"/>
              <w:rPr>
                <w:sz w:val="20"/>
                <w:szCs w:val="20"/>
                <w:color w:val="auto"/>
              </w:rPr>
            </w:pPr>
            <w:r>
              <w:rPr>
                <w:rFonts w:ascii="Arial" w:cs="Arial" w:eastAsia="Arial" w:hAnsi="Arial"/>
                <w:sz w:val="12"/>
                <w:szCs w:val="12"/>
                <w:color w:val="auto"/>
                <w:w w:val="86"/>
              </w:rPr>
              <w:t>03/17/2025</w:t>
            </w:r>
          </w:p>
        </w:tc>
        <w:tc>
          <w:tcPr>
            <w:tcW w:w="220" w:type="dxa"/>
            <w:vAlign w:val="bottom"/>
          </w:tcPr>
          <w:p>
            <w:pPr>
              <w:spacing w:after="0"/>
              <w:rPr>
                <w:sz w:val="12"/>
                <w:szCs w:val="12"/>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12.00%</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13,702,953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13,454,121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13,702,953</w:t>
            </w:r>
          </w:p>
        </w:tc>
        <w:tc>
          <w:tcPr>
            <w:tcW w:w="100" w:type="dxa"/>
            <w:vAlign w:val="bottom"/>
          </w:tcPr>
          <w:p>
            <w:pPr>
              <w:spacing w:after="0"/>
              <w:rPr>
                <w:sz w:val="12"/>
                <w:szCs w:val="12"/>
                <w:color w:val="auto"/>
              </w:rPr>
            </w:pPr>
          </w:p>
        </w:tc>
      </w:tr>
      <w:tr>
        <w:trPr>
          <w:trHeight w:val="148"/>
        </w:trPr>
        <w:tc>
          <w:tcPr>
            <w:tcW w:w="2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(PIK 2.00%)</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Cascade Environmental LLC</w:t>
            </w:r>
          </w:p>
        </w:tc>
        <w:tc>
          <w:tcPr>
            <w:tcW w:w="540" w:type="dxa"/>
            <w:vAlign w:val="bottom"/>
          </w:tcPr>
          <w:p>
            <w:pPr>
              <w:spacing w:after="0"/>
              <w:rPr>
                <w:sz w:val="20"/>
                <w:szCs w:val="20"/>
                <w:color w:val="auto"/>
              </w:rPr>
            </w:pPr>
            <w:r>
              <w:rPr>
                <w:rFonts w:ascii="Arial" w:cs="Arial" w:eastAsia="Arial" w:hAnsi="Arial"/>
                <w:sz w:val="12"/>
                <w:szCs w:val="12"/>
                <w:color w:val="auto"/>
                <w:w w:val="86"/>
              </w:rPr>
              <w:t>08/20/2021</w:t>
            </w:r>
          </w:p>
        </w:tc>
        <w:tc>
          <w:tcPr>
            <w:tcW w:w="220" w:type="dxa"/>
            <w:vAlign w:val="bottom"/>
          </w:tcPr>
          <w:p>
            <w:pPr>
              <w:spacing w:after="0"/>
              <w:rPr>
                <w:sz w:val="12"/>
                <w:szCs w:val="12"/>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15.00%</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46,633,034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46,208,082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44,651,130</w:t>
            </w:r>
          </w:p>
        </w:tc>
        <w:tc>
          <w:tcPr>
            <w:tcW w:w="100" w:type="dxa"/>
            <w:vAlign w:val="bottom"/>
          </w:tcPr>
          <w:p>
            <w:pPr>
              <w:spacing w:after="0"/>
              <w:rPr>
                <w:sz w:val="12"/>
                <w:szCs w:val="12"/>
                <w:color w:val="auto"/>
              </w:rPr>
            </w:pPr>
          </w:p>
        </w:tc>
      </w:tr>
      <w:tr>
        <w:trPr>
          <w:trHeight w:val="148"/>
        </w:trPr>
        <w:tc>
          <w:tcPr>
            <w:tcW w:w="2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(PIK 13.00%)</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2"/>
        </w:trPr>
        <w:tc>
          <w:tcPr>
            <w:tcW w:w="3060" w:type="dxa"/>
            <w:vAlign w:val="bottom"/>
            <w:gridSpan w:val="2"/>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59,662,203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58,354,083</w:t>
            </w:r>
          </w:p>
        </w:tc>
        <w:tc>
          <w:tcPr>
            <w:tcW w:w="100" w:type="dxa"/>
            <w:vAlign w:val="bottom"/>
          </w:tcPr>
          <w:p>
            <w:pPr>
              <w:spacing w:after="0"/>
              <w:rPr>
                <w:sz w:val="12"/>
                <w:szCs w:val="12"/>
                <w:color w:val="auto"/>
              </w:rPr>
            </w:pPr>
          </w:p>
        </w:tc>
      </w:tr>
      <w:tr>
        <w:trPr>
          <w:trHeight w:val="142"/>
        </w:trPr>
        <w:tc>
          <w:tcPr>
            <w:tcW w:w="3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 xml:space="preserve">Preferred Equity/Partnership Interests—0.5% </w:t>
            </w:r>
            <w:r>
              <w:rPr>
                <w:rFonts w:ascii="Arial" w:cs="Arial" w:eastAsia="Arial" w:hAnsi="Arial"/>
                <w:sz w:val="9"/>
                <w:szCs w:val="9"/>
                <w:b w:val="1"/>
                <w:bCs w:val="1"/>
                <w:color w:val="auto"/>
              </w:rPr>
              <w:t>(6)</w:t>
            </w:r>
          </w:p>
        </w:tc>
        <w:tc>
          <w:tcPr>
            <w:tcW w:w="5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5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AH Holdings, Inc.</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6.00%</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211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396,161</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64,277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67,664</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gridSpan w:val="2"/>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491,723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517,628</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MeritDirect Holdings, LP</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540,000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543,994</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NXOF Holdings, Inc. (Tyto Athene, LLC)</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106,823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82,479</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Signature CR Intermediate Holdco, Inc.</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1,347</w:t>
            </w:r>
          </w:p>
        </w:tc>
        <w:tc>
          <w:tcPr>
            <w:tcW w:w="24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1,346,530</w:t>
            </w:r>
          </w:p>
        </w:tc>
        <w:tc>
          <w:tcPr>
            <w:tcW w:w="24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1,385,225</w:t>
            </w:r>
          </w:p>
        </w:tc>
        <w:tc>
          <w:tcPr>
            <w:tcW w:w="100" w:type="dxa"/>
            <w:vAlign w:val="bottom"/>
            <w:shd w:val="clear" w:color="auto" w:fill="CFF0FC"/>
          </w:tcPr>
          <w:p>
            <w:pPr>
              <w:spacing w:after="0"/>
              <w:rPr>
                <w:sz w:val="12"/>
                <w:szCs w:val="12"/>
                <w:color w:val="auto"/>
              </w:rPr>
            </w:pPr>
          </w:p>
        </w:tc>
      </w:tr>
      <w:tr>
        <w:trPr>
          <w:trHeight w:val="142"/>
        </w:trPr>
        <w:tc>
          <w:tcPr>
            <w:tcW w:w="306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3,049,353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2,993,151</w:t>
            </w:r>
          </w:p>
        </w:tc>
        <w:tc>
          <w:tcPr>
            <w:tcW w:w="100" w:type="dxa"/>
            <w:vAlign w:val="bottom"/>
          </w:tcPr>
          <w:p>
            <w:pPr>
              <w:spacing w:after="0"/>
              <w:rPr>
                <w:sz w:val="12"/>
                <w:szCs w:val="12"/>
                <w:color w:val="auto"/>
              </w:rPr>
            </w:pPr>
          </w:p>
        </w:tc>
      </w:tr>
      <w:tr>
        <w:trPr>
          <w:trHeight w:val="142"/>
        </w:trPr>
        <w:tc>
          <w:tcPr>
            <w:tcW w:w="3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w w:val="93"/>
              </w:rPr>
              <w:t xml:space="preserve">Common Equity/Partnership Interests/Warrants—9.9% </w:t>
            </w:r>
            <w:r>
              <w:rPr>
                <w:rFonts w:ascii="Arial" w:cs="Arial" w:eastAsia="Arial" w:hAnsi="Arial"/>
                <w:sz w:val="9"/>
                <w:szCs w:val="9"/>
                <w:b w:val="1"/>
                <w:bCs w:val="1"/>
                <w:color w:val="auto"/>
                <w:w w:val="93"/>
              </w:rPr>
              <w:t>(6)</w:t>
            </w:r>
          </w:p>
        </w:tc>
        <w:tc>
          <w:tcPr>
            <w:tcW w:w="5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5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Affinion Group Holdings, Inc. (Warrants)</w:t>
            </w:r>
          </w:p>
        </w:tc>
        <w:tc>
          <w:tcPr>
            <w:tcW w:w="540" w:type="dxa"/>
            <w:vAlign w:val="bottom"/>
          </w:tcPr>
          <w:p>
            <w:pPr>
              <w:spacing w:after="0"/>
              <w:rPr>
                <w:sz w:val="20"/>
                <w:szCs w:val="20"/>
                <w:color w:val="auto"/>
              </w:rPr>
            </w:pPr>
            <w:r>
              <w:rPr>
                <w:rFonts w:ascii="Arial" w:cs="Arial" w:eastAsia="Arial" w:hAnsi="Arial"/>
                <w:sz w:val="12"/>
                <w:szCs w:val="12"/>
                <w:color w:val="auto"/>
                <w:w w:val="86"/>
              </w:rPr>
              <w:t>04/10/2024</w:t>
            </w:r>
          </w:p>
        </w:tc>
        <w:tc>
          <w:tcPr>
            <w:tcW w:w="220" w:type="dxa"/>
            <w:vAlign w:val="bottom"/>
          </w:tcPr>
          <w:p>
            <w:pPr>
              <w:spacing w:after="0"/>
              <w:rPr>
                <w:sz w:val="12"/>
                <w:szCs w:val="12"/>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77,190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2,126,399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1,021,314</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(9)</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714,652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714,652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714,652</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gridSpan w:val="2"/>
          </w:tcPr>
          <w:p>
            <w:pPr>
              <w:spacing w:after="0"/>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(7), (9)</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285,348</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AH Holdings, Inc. (Warrants)</w:t>
            </w:r>
          </w:p>
        </w:tc>
        <w:tc>
          <w:tcPr>
            <w:tcW w:w="540" w:type="dxa"/>
            <w:vAlign w:val="bottom"/>
            <w:shd w:val="clear" w:color="auto" w:fill="CFF0FC"/>
          </w:tcPr>
          <w:p>
            <w:pPr>
              <w:spacing w:after="0"/>
              <w:rPr>
                <w:sz w:val="20"/>
                <w:szCs w:val="20"/>
                <w:color w:val="auto"/>
              </w:rPr>
            </w:pPr>
            <w:r>
              <w:rPr>
                <w:rFonts w:ascii="Arial" w:cs="Arial" w:eastAsia="Arial" w:hAnsi="Arial"/>
                <w:sz w:val="12"/>
                <w:szCs w:val="12"/>
                <w:color w:val="auto"/>
                <w:w w:val="86"/>
              </w:rPr>
              <w:t>03/23/2021</w:t>
            </w:r>
          </w:p>
        </w:tc>
        <w:tc>
          <w:tcPr>
            <w:tcW w:w="22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753</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60" w:type="dxa"/>
            <w:vAlign w:val="bottom"/>
            <w:gridSpan w:val="2"/>
          </w:tcPr>
          <w:p>
            <w:pPr>
              <w:spacing w:after="0"/>
              <w:rPr>
                <w:sz w:val="20"/>
                <w:szCs w:val="20"/>
                <w:color w:val="auto"/>
              </w:rPr>
            </w:pPr>
            <w:r>
              <w:rPr>
                <w:rFonts w:ascii="Arial" w:cs="Arial" w:eastAsia="Arial" w:hAnsi="Arial"/>
                <w:sz w:val="12"/>
                <w:szCs w:val="12"/>
                <w:color w:val="auto"/>
              </w:rPr>
              <w:t>ASP LCG Holdings, Inc. (Warrants)</w:t>
            </w:r>
          </w:p>
        </w:tc>
        <w:tc>
          <w:tcPr>
            <w:tcW w:w="540" w:type="dxa"/>
            <w:vAlign w:val="bottom"/>
          </w:tcPr>
          <w:p>
            <w:pPr>
              <w:spacing w:after="0"/>
              <w:rPr>
                <w:sz w:val="20"/>
                <w:szCs w:val="20"/>
                <w:color w:val="auto"/>
              </w:rPr>
            </w:pPr>
            <w:r>
              <w:rPr>
                <w:rFonts w:ascii="Arial" w:cs="Arial" w:eastAsia="Arial" w:hAnsi="Arial"/>
                <w:sz w:val="12"/>
                <w:szCs w:val="12"/>
                <w:color w:val="auto"/>
                <w:w w:val="86"/>
              </w:rPr>
              <w:t>05/05/2026</w:t>
            </w:r>
          </w:p>
        </w:tc>
        <w:tc>
          <w:tcPr>
            <w:tcW w:w="220" w:type="dxa"/>
            <w:vAlign w:val="bottom"/>
          </w:tcPr>
          <w:p>
            <w:pPr>
              <w:spacing w:after="0"/>
              <w:rPr>
                <w:sz w:val="12"/>
                <w:szCs w:val="12"/>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Education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933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586,975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2,260,044</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Autumn Games, LLC</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Broadcasting and Entertainment</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1,333,330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60" w:type="dxa"/>
            <w:vAlign w:val="bottom"/>
            <w:gridSpan w:val="2"/>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33,901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2,852,080</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CI (Allied) Investment Holdings, LLC</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120,962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1,243,217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1,185,171</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gridSpan w:val="2"/>
          </w:tcPr>
          <w:p>
            <w:pPr>
              <w:ind w:left="140"/>
              <w:spacing w:after="0"/>
              <w:rPr>
                <w:sz w:val="20"/>
                <w:szCs w:val="20"/>
                <w:color w:val="auto"/>
              </w:rPr>
            </w:pPr>
            <w:r>
              <w:rPr>
                <w:rFonts w:ascii="Arial" w:cs="Arial" w:eastAsia="Arial" w:hAnsi="Arial"/>
                <w:sz w:val="12"/>
                <w:szCs w:val="12"/>
                <w:color w:val="auto"/>
              </w:rPr>
              <w:t xml:space="preserve">(PRA Events, Inc.) </w:t>
            </w:r>
            <w:r>
              <w:rPr>
                <w:rFonts w:ascii="Arial" w:cs="Arial" w:eastAsia="Arial" w:hAnsi="Arial"/>
                <w:sz w:val="9"/>
                <w:szCs w:val="9"/>
                <w:color w:val="auto"/>
              </w:rPr>
              <w:t>(9)</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CI (Summit) Investment Holdings LLC</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114,646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1,171,206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1,508,208</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gridSpan w:val="2"/>
          </w:tcPr>
          <w:p>
            <w:pPr>
              <w:ind w:left="140"/>
              <w:spacing w:after="0"/>
              <w:rPr>
                <w:sz w:val="20"/>
                <w:szCs w:val="20"/>
                <w:color w:val="auto"/>
              </w:rPr>
            </w:pPr>
            <w:r>
              <w:rPr>
                <w:rFonts w:ascii="Arial" w:cs="Arial" w:eastAsia="Arial" w:hAnsi="Arial"/>
                <w:sz w:val="12"/>
                <w:szCs w:val="12"/>
                <w:color w:val="auto"/>
              </w:rPr>
              <w:t>(SFP Holdings, Inc.)</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Cowboy Parent LLC</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22,500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2,250,000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2,612,234</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gridSpan w:val="2"/>
          </w:tcPr>
          <w:p>
            <w:pPr>
              <w:ind w:left="140"/>
              <w:spacing w:after="0"/>
              <w:rPr>
                <w:sz w:val="20"/>
                <w:szCs w:val="20"/>
                <w:color w:val="auto"/>
              </w:rPr>
            </w:pPr>
            <w:r>
              <w:rPr>
                <w:rFonts w:ascii="Arial" w:cs="Arial" w:eastAsia="Arial" w:hAnsi="Arial"/>
                <w:sz w:val="12"/>
                <w:szCs w:val="12"/>
                <w:color w:val="auto"/>
              </w:rPr>
              <w:t>(Blackhawk Industrial Distribution, Inc.)</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DecoPac Holdings Inc.</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3,448,658</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6,343,968</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gridSpan w:val="2"/>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1,004,625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1,244,187</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Faraday Holdings, LLC</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4,277</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217,635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1,240,599</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Gauge TVC Coinvest, LLC</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Transportation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912,045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810,645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912,045</w:t>
            </w:r>
          </w:p>
        </w:tc>
        <w:tc>
          <w:tcPr>
            <w:tcW w:w="100" w:type="dxa"/>
            <w:vAlign w:val="bottom"/>
          </w:tcPr>
          <w:p>
            <w:pPr>
              <w:spacing w:after="0"/>
              <w:rPr>
                <w:sz w:val="12"/>
                <w:szCs w:val="12"/>
                <w:color w:val="auto"/>
              </w:rPr>
            </w:pPr>
          </w:p>
        </w:tc>
      </w:tr>
      <w:tr>
        <w:trPr>
          <w:trHeight w:val="149"/>
        </w:trPr>
        <w:tc>
          <w:tcPr>
            <w:tcW w:w="306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(TVC Enterprises, LLC)</w:t>
            </w: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Go Dawgs Capital III, LP</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0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675,325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675,325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709,091</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(9)</w:t>
            </w: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3060" w:type="dxa"/>
            <w:vAlign w:val="bottom"/>
            <w:gridSpan w:val="2"/>
          </w:tcPr>
          <w:p>
            <w:pPr>
              <w:spacing w:after="0"/>
              <w:rPr>
                <w:sz w:val="20"/>
                <w:szCs w:val="20"/>
                <w:color w:val="auto"/>
              </w:rPr>
            </w:pPr>
            <w:r>
              <w:rPr>
                <w:rFonts w:ascii="Arial" w:cs="Arial" w:eastAsia="Arial" w:hAnsi="Arial"/>
                <w:sz w:val="12"/>
                <w:szCs w:val="12"/>
                <w:color w:val="auto"/>
              </w:rPr>
              <w:t>Green Veracity Holdings, LP - Class A</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1,500,000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1,934,019</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(VT Topco, Inc.)</w:t>
            </w: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3060" w:type="dxa"/>
            <w:vAlign w:val="bottom"/>
            <w:gridSpan w:val="2"/>
          </w:tcPr>
          <w:p>
            <w:pPr>
              <w:spacing w:after="0"/>
              <w:rPr>
                <w:sz w:val="20"/>
                <w:szCs w:val="20"/>
                <w:color w:val="auto"/>
              </w:rPr>
            </w:pPr>
            <w:r>
              <w:rPr>
                <w:rFonts w:ascii="Arial" w:cs="Arial" w:eastAsia="Arial" w:hAnsi="Arial"/>
                <w:sz w:val="12"/>
                <w:szCs w:val="12"/>
                <w:color w:val="auto"/>
              </w:rPr>
              <w:t>Infogroup Parent Holdings, Inc.</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181,495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2,040,000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2,313,262</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223,861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2,427,375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5,031,126</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(7), (9)</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28,315</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JWC-WE Holdings, L.P.</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Home and Office Furnishings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1,906,433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1,906,433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3,940,333</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gridSpan w:val="2"/>
          </w:tcPr>
          <w:p>
            <w:pPr>
              <w:ind w:left="140"/>
              <w:spacing w:after="0"/>
              <w:rPr>
                <w:sz w:val="20"/>
                <w:szCs w:val="20"/>
                <w:color w:val="auto"/>
              </w:rPr>
            </w:pPr>
            <w:r>
              <w:rPr>
                <w:rFonts w:ascii="Arial" w:cs="Arial" w:eastAsia="Arial" w:hAnsi="Arial"/>
                <w:sz w:val="12"/>
                <w:szCs w:val="12"/>
                <w:color w:val="auto"/>
              </w:rPr>
              <w:t>(Walker Edison Furniture Company LLC)</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Kentucky Racing Holdco, LLC (Warrants) </w:t>
            </w:r>
            <w:r>
              <w:rPr>
                <w:rFonts w:ascii="Arial" w:cs="Arial" w:eastAsia="Arial" w:hAnsi="Arial"/>
                <w:sz w:val="9"/>
                <w:szCs w:val="9"/>
                <w:color w:val="auto"/>
              </w:rPr>
              <w:t>(9)</w:t>
            </w: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Hotels, Motels, Inns and Gaming</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161,252</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225,759</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gridSpan w:val="2"/>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252,014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2,265,639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519,149</w:t>
            </w:r>
          </w:p>
        </w:tc>
        <w:tc>
          <w:tcPr>
            <w:tcW w:w="100" w:type="dxa"/>
            <w:vAlign w:val="bottom"/>
          </w:tcPr>
          <w:p>
            <w:pPr>
              <w:spacing w:after="0"/>
              <w:rPr>
                <w:sz w:val="12"/>
                <w:szCs w:val="12"/>
                <w:color w:val="auto"/>
              </w:rPr>
            </w:pPr>
          </w:p>
        </w:tc>
      </w:tr>
      <w:tr>
        <w:trPr>
          <w:trHeight w:val="148"/>
        </w:trPr>
        <w:tc>
          <w:tcPr>
            <w:tcW w:w="3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363,656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363,656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441,263</w:t>
            </w:r>
          </w:p>
        </w:tc>
        <w:tc>
          <w:tcPr>
            <w:tcW w:w="100" w:type="dxa"/>
            <w:vAlign w:val="bottom"/>
            <w:shd w:val="clear" w:color="auto" w:fill="CFF0FC"/>
          </w:tcPr>
          <w:p>
            <w:pPr>
              <w:spacing w:after="0"/>
              <w:rPr>
                <w:sz w:val="12"/>
                <w:szCs w:val="12"/>
                <w:color w:val="auto"/>
              </w:rPr>
            </w:pPr>
          </w:p>
        </w:tc>
      </w:tr>
      <w:tr>
        <w:trPr>
          <w:trHeight w:val="156"/>
        </w:trPr>
        <w:tc>
          <w:tcPr>
            <w:tcW w:w="3060" w:type="dxa"/>
            <w:vAlign w:val="bottom"/>
            <w:gridSpan w:val="2"/>
          </w:tcPr>
          <w:p>
            <w:pPr>
              <w:spacing w:after="0"/>
              <w:rPr>
                <w:sz w:val="20"/>
                <w:szCs w:val="20"/>
                <w:color w:val="auto"/>
              </w:rPr>
            </w:pPr>
            <w:r>
              <w:rPr>
                <w:rFonts w:ascii="Arial" w:cs="Arial" w:eastAsia="Arial" w:hAnsi="Arial"/>
                <w:sz w:val="12"/>
                <w:szCs w:val="12"/>
                <w:color w:val="auto"/>
              </w:rPr>
              <w:t>MeritDirect Holdings, LP</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540</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11,273</w:t>
            </w:r>
          </w:p>
        </w:tc>
        <w:tc>
          <w:tcPr>
            <w:tcW w:w="100" w:type="dxa"/>
            <w:vAlign w:val="bottom"/>
          </w:tcPr>
          <w:p>
            <w:pPr>
              <w:spacing w:after="0"/>
              <w:rPr>
                <w:sz w:val="13"/>
                <w:szCs w:val="13"/>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Maturity /</w:t>
            </w: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400"/>
              <w:spacing w:after="0" w:line="135" w:lineRule="exact"/>
              <w:rPr>
                <w:sz w:val="20"/>
                <w:szCs w:val="20"/>
                <w:color w:val="auto"/>
              </w:rPr>
            </w:pPr>
            <w:r>
              <w:rPr>
                <w:rFonts w:ascii="Arial" w:cs="Arial" w:eastAsia="Arial" w:hAnsi="Arial"/>
                <w:sz w:val="12"/>
                <w:szCs w:val="12"/>
                <w:b w:val="1"/>
                <w:bCs w:val="1"/>
                <w:color w:val="auto"/>
              </w:rPr>
              <w:t>Current</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100" w:type="dxa"/>
            <w:vAlign w:val="bottom"/>
          </w:tcPr>
          <w:p>
            <w:pPr>
              <w:spacing w:after="0"/>
              <w:rPr>
                <w:sz w:val="11"/>
                <w:szCs w:val="11"/>
                <w:color w:val="auto"/>
              </w:rPr>
            </w:pPr>
          </w:p>
        </w:tc>
        <w:tc>
          <w:tcPr>
            <w:tcW w:w="880" w:type="dxa"/>
            <w:vAlign w:val="bottom"/>
            <w:gridSpan w:val="3"/>
          </w:tcPr>
          <w:p>
            <w:pPr>
              <w:jc w:val="center"/>
              <w:ind w:right="440"/>
              <w:spacing w:after="0" w:line="135" w:lineRule="exact"/>
              <w:rPr>
                <w:sz w:val="20"/>
                <w:szCs w:val="20"/>
                <w:color w:val="auto"/>
              </w:rPr>
            </w:pPr>
            <w:r>
              <w:rPr>
                <w:rFonts w:ascii="Arial" w:cs="Arial" w:eastAsia="Arial" w:hAnsi="Arial"/>
                <w:sz w:val="12"/>
                <w:szCs w:val="12"/>
                <w:b w:val="1"/>
                <w:bCs w:val="1"/>
                <w:color w:val="auto"/>
                <w:w w:val="92"/>
              </w:rPr>
              <w:t>Par /</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Expiration</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Coupon</w:t>
            </w: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100" w:type="dxa"/>
            <w:vAlign w:val="bottom"/>
          </w:tcPr>
          <w:p>
            <w:pPr>
              <w:spacing w:after="0"/>
              <w:rPr>
                <w:sz w:val="12"/>
                <w:szCs w:val="12"/>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12"/>
                <w:szCs w:val="12"/>
                <w:b w:val="1"/>
                <w:bCs w:val="1"/>
                <w:color w:val="auto"/>
                <w:w w:val="84"/>
              </w:rPr>
              <w:t>Shares</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8"/>
        </w:trPr>
        <w:tc>
          <w:tcPr>
            <w:tcW w:w="30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1"/>
                <w:szCs w:val="11"/>
                <w:color w:val="auto"/>
              </w:rPr>
              <w:t>NXOF Holdings, Inc.</w:t>
            </w:r>
          </w:p>
        </w:tc>
        <w:tc>
          <w:tcPr>
            <w:tcW w:w="120" w:type="dxa"/>
            <w:vAlign w:val="bottom"/>
            <w:tcBorders>
              <w:top w:val="single" w:sz="8" w:color="CCECFF"/>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2,180</w:t>
            </w: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2,180</w:t>
            </w: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140"/>
              <w:spacing w:after="0"/>
              <w:rPr>
                <w:sz w:val="20"/>
                <w:szCs w:val="20"/>
                <w:color w:val="auto"/>
              </w:rPr>
            </w:pPr>
            <w:r>
              <w:rPr>
                <w:rFonts w:ascii="Arial" w:cs="Arial" w:eastAsia="Arial" w:hAnsi="Arial"/>
                <w:sz w:val="11"/>
                <w:szCs w:val="11"/>
                <w:color w:val="auto"/>
              </w:rPr>
              <w:t>(Tyto Athene, LLC)</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70,870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32,175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11"/>
                <w:szCs w:val="11"/>
                <w:color w:val="auto"/>
              </w:rPr>
            </w:pPr>
          </w:p>
        </w:tc>
        <w:tc>
          <w:tcPr>
            <w:tcW w:w="7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140"/>
              <w:spacing w:after="0"/>
              <w:rPr>
                <w:sz w:val="20"/>
                <w:szCs w:val="20"/>
                <w:color w:val="auto"/>
              </w:rPr>
            </w:pPr>
            <w:r>
              <w:rPr>
                <w:rFonts w:ascii="Arial" w:cs="Arial" w:eastAsia="Arial" w:hAnsi="Arial"/>
                <w:sz w:val="11"/>
                <w:szCs w:val="11"/>
                <w:color w:val="auto"/>
              </w:rPr>
              <w:t>Class A (US Dominion, Inc.)</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11"/>
                <w:szCs w:val="11"/>
                <w:color w:val="auto"/>
              </w:rPr>
            </w:pPr>
          </w:p>
        </w:tc>
        <w:tc>
          <w:tcPr>
            <w:tcW w:w="7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438,317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Class B (US Dominion, Inc.)</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9"/>
                <w:szCs w:val="9"/>
                <w:color w:val="auto"/>
              </w:rPr>
              <w:t>(11), (12)</w:t>
            </w:r>
          </w:p>
        </w:tc>
        <w:tc>
          <w:tcPr>
            <w:tcW w:w="120" w:type="dxa"/>
            <w:vAlign w:val="bottom"/>
          </w:tcPr>
          <w:p>
            <w:pPr>
              <w:spacing w:after="0"/>
              <w:rPr>
                <w:sz w:val="11"/>
                <w:szCs w:val="11"/>
                <w:color w:val="auto"/>
              </w:rPr>
            </w:pPr>
          </w:p>
        </w:tc>
        <w:tc>
          <w:tcPr>
            <w:tcW w:w="7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72,833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728,330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351,055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USWS Holdings, LLC </w:t>
            </w:r>
            <w:r>
              <w:rPr>
                <w:rFonts w:ascii="Arial" w:cs="Arial" w:eastAsia="Arial" w:hAnsi="Arial"/>
                <w:sz w:val="9"/>
                <w:szCs w:val="9"/>
                <w:color w:val="auto"/>
              </w:rPr>
              <w:t>(9), (11)</w:t>
            </w: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1,188,368</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11,883,680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5,226,740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WBB Equity, LLC</w:t>
            </w:r>
          </w:p>
        </w:tc>
        <w:tc>
          <w:tcPr>
            <w:tcW w:w="120" w:type="dxa"/>
            <w:vAlign w:val="bottom"/>
          </w:tcPr>
          <w:p>
            <w:pPr>
              <w:spacing w:after="0"/>
              <w:rPr>
                <w:sz w:val="11"/>
                <w:szCs w:val="11"/>
                <w:color w:val="auto"/>
              </w:rPr>
            </w:pPr>
          </w:p>
        </w:tc>
        <w:tc>
          <w:tcPr>
            <w:tcW w:w="7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628,571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628,571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1,923,429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Wheel Pros Holdings, L.P.</w:t>
            </w:r>
          </w:p>
        </w:tc>
        <w:tc>
          <w:tcPr>
            <w:tcW w:w="120" w:type="dxa"/>
            <w:vAlign w:val="bottom"/>
          </w:tcPr>
          <w:p>
            <w:pPr>
              <w:spacing w:after="0"/>
              <w:rPr>
                <w:sz w:val="11"/>
                <w:szCs w:val="11"/>
                <w:color w:val="auto"/>
              </w:rPr>
            </w:pPr>
          </w:p>
        </w:tc>
        <w:tc>
          <w:tcPr>
            <w:tcW w:w="7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3,778,704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4,450,000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12,913,766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(Winter Park Intermediate, Inc.)</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ZS Juniper L.P.</w:t>
            </w:r>
          </w:p>
        </w:tc>
        <w:tc>
          <w:tcPr>
            <w:tcW w:w="120" w:type="dxa"/>
            <w:vAlign w:val="bottom"/>
          </w:tcPr>
          <w:p>
            <w:pPr>
              <w:spacing w:after="0"/>
              <w:rPr>
                <w:sz w:val="11"/>
                <w:szCs w:val="11"/>
                <w:color w:val="auto"/>
              </w:rPr>
            </w:pPr>
          </w:p>
        </w:tc>
        <w:tc>
          <w:tcPr>
            <w:tcW w:w="7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Personal, Food and Miscellaneous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1,056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1,056,250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1,313,447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50,924,401</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57,866,626</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0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1,002,864,286</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1,001,919,866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00" w:type="dxa"/>
            <w:vAlign w:val="bottom"/>
            <w:gridSpan w:val="4"/>
          </w:tcPr>
          <w:p>
            <w:pPr>
              <w:spacing w:after="0"/>
              <w:rPr>
                <w:sz w:val="20"/>
                <w:szCs w:val="20"/>
                <w:color w:val="auto"/>
              </w:rPr>
            </w:pPr>
            <w:r>
              <w:rPr>
                <w:rFonts w:ascii="Arial" w:cs="Arial" w:eastAsia="Arial" w:hAnsi="Arial"/>
                <w:sz w:val="11"/>
                <w:szCs w:val="11"/>
                <w:b w:val="1"/>
                <w:bCs w:val="1"/>
                <w:color w:val="auto"/>
                <w:w w:val="99"/>
              </w:rPr>
              <w:t xml:space="preserve">Investments in Non-Controlled, Affiliated Portfolio Companies—5.3% </w:t>
            </w:r>
            <w:r>
              <w:rPr>
                <w:rFonts w:ascii="Arial" w:cs="Arial" w:eastAsia="Arial" w:hAnsi="Arial"/>
                <w:sz w:val="9"/>
                <w:szCs w:val="9"/>
                <w:b w:val="1"/>
                <w:bCs w:val="1"/>
                <w:color w:val="auto"/>
                <w:w w:val="99"/>
              </w:rPr>
              <w:t>(1), (2)</w:t>
            </w: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Equity/Partnership Interests—4.3%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ETX Energy, LLC</w:t>
            </w:r>
          </w:p>
        </w:tc>
        <w:tc>
          <w:tcPr>
            <w:tcW w:w="120" w:type="dxa"/>
            <w:vAlign w:val="bottom"/>
            <w:tcBorders>
              <w:bottom w:val="single" w:sz="8" w:color="CCECFF"/>
            </w:tcBorders>
          </w:tcPr>
          <w:p>
            <w:pPr>
              <w:spacing w:after="0"/>
              <w:rPr>
                <w:sz w:val="11"/>
                <w:szCs w:val="11"/>
                <w:color w:val="auto"/>
              </w:rPr>
            </w:pPr>
          </w:p>
        </w:tc>
        <w:tc>
          <w:tcPr>
            <w:tcW w:w="78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9"/>
              </w:rPr>
              <w:t>Oil and Gas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61,732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6,173,200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24,692,800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6,173,200</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24,692,800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Interests/Warrants—1.0% </w:t>
            </w:r>
            <w:r>
              <w:rPr>
                <w:rFonts w:ascii="Arial" w:cs="Arial" w:eastAsia="Arial" w:hAnsi="Arial"/>
                <w:sz w:val="9"/>
                <w:szCs w:val="9"/>
                <w:b w:val="1"/>
                <w:bCs w:val="1"/>
                <w:color w:val="auto"/>
                <w:w w:val="99"/>
              </w:rPr>
              <w:t>(6)</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1,658,389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29,711,576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5,753,974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ETX Energy Management Company, LLC</w:t>
            </w:r>
          </w:p>
        </w:tc>
        <w:tc>
          <w:tcPr>
            <w:tcW w:w="120" w:type="dxa"/>
            <w:vAlign w:val="bottom"/>
            <w:tcBorders>
              <w:bottom w:val="single" w:sz="8" w:color="CCECFF"/>
            </w:tcBorders>
          </w:tcPr>
          <w:p>
            <w:pPr>
              <w:spacing w:after="0"/>
              <w:rPr>
                <w:sz w:val="11"/>
                <w:szCs w:val="11"/>
                <w:color w:val="auto"/>
              </w:rPr>
            </w:pPr>
          </w:p>
        </w:tc>
        <w:tc>
          <w:tcPr>
            <w:tcW w:w="78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9"/>
              </w:rPr>
              <w:t>Oil and Gas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1,754,104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1,562,020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306,692</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31,273,596</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6,060,666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37,446,796</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30,753,466</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0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Controlled, Affiliated Portfolio Companies—41.3% </w:t>
            </w:r>
            <w:r>
              <w:rPr>
                <w:rFonts w:ascii="Arial" w:cs="Arial" w:eastAsia="Arial" w:hAnsi="Arial"/>
                <w:sz w:val="9"/>
                <w:szCs w:val="9"/>
                <w:b w:val="1"/>
                <w:bCs w:val="1"/>
                <w:color w:val="auto"/>
              </w:rPr>
              <w:t>(1), (2)</w:t>
            </w: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b w:val="1"/>
                <w:bCs w:val="1"/>
                <w:color w:val="auto"/>
              </w:rPr>
              <w:t>First Lien Secured Debt—18.9%</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6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w w:val="90"/>
              </w:rPr>
              <w:t>03/13/2024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6.59%</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100" w:type="dxa"/>
            <w:vAlign w:val="bottom"/>
            <w:shd w:val="clear" w:color="auto" w:fill="CCECFF"/>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28,000,000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39,051,600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35,635,656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RAM Energy LLC</w:t>
            </w:r>
          </w:p>
        </w:tc>
        <w:tc>
          <w:tcPr>
            <w:tcW w:w="660" w:type="dxa"/>
            <w:vAlign w:val="bottom"/>
            <w:gridSpan w:val="2"/>
          </w:tcPr>
          <w:p>
            <w:pPr>
              <w:ind w:left="140"/>
              <w:spacing w:after="0"/>
              <w:rPr>
                <w:sz w:val="20"/>
                <w:szCs w:val="20"/>
                <w:color w:val="auto"/>
              </w:rPr>
            </w:pPr>
            <w:r>
              <w:rPr>
                <w:rFonts w:ascii="Arial" w:cs="Arial" w:eastAsia="Arial" w:hAnsi="Arial"/>
                <w:sz w:val="11"/>
                <w:szCs w:val="11"/>
                <w:color w:val="auto"/>
                <w:w w:val="90"/>
              </w:rPr>
              <w:t>07/01/2022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Energy and Utilities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35,000,000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35,000,000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35,000,000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RAM Energy LLC (Revolver)</w:t>
            </w:r>
          </w:p>
        </w:tc>
        <w:tc>
          <w:tcPr>
            <w:tcW w:w="6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w w:val="90"/>
              </w:rPr>
              <w:t>07/01/2022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Energy and Utilities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40,000,000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40,000,000</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40,000,000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114,051,600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110,635,656</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Debt—7.6%</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PT Network Intermediate Holdings, LLC</w:t>
            </w:r>
          </w:p>
        </w:tc>
        <w:tc>
          <w:tcPr>
            <w:tcW w:w="660" w:type="dxa"/>
            <w:vAlign w:val="bottom"/>
            <w:gridSpan w:val="2"/>
          </w:tcPr>
          <w:p>
            <w:pPr>
              <w:ind w:left="140"/>
              <w:spacing w:after="0"/>
              <w:rPr>
                <w:sz w:val="20"/>
                <w:szCs w:val="20"/>
                <w:color w:val="auto"/>
              </w:rPr>
            </w:pPr>
            <w:r>
              <w:rPr>
                <w:rFonts w:ascii="Arial" w:cs="Arial" w:eastAsia="Arial" w:hAnsi="Arial"/>
                <w:sz w:val="11"/>
                <w:szCs w:val="11"/>
                <w:color w:val="auto"/>
                <w:w w:val="90"/>
              </w:rPr>
              <w:t>11/30/2024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12.60%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45,184,319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44,732,476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44,732,476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12.60%)</w:t>
            </w: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5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6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44,732,476</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44,732,476</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Equity—4.4%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36,450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546,750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shd w:val="clear" w:color="auto" w:fill="CCECFF"/>
          </w:tcPr>
          <w:p>
            <w:pPr>
              <w:spacing w:after="0"/>
              <w:rPr>
                <w:sz w:val="11"/>
                <w:szCs w:val="11"/>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153,922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15,392,189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18,116,207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12.60%</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833</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7,500,000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7,545,833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23,438,939</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25,664,415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b w:val="1"/>
                <w:bCs w:val="1"/>
                <w:color w:val="auto"/>
              </w:rPr>
              <w:t xml:space="preserve">Common Equity—10.4%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20" w:type="dxa"/>
            <w:vAlign w:val="bottom"/>
            <w:shd w:val="clear" w:color="auto" w:fill="CCECFF"/>
          </w:tcPr>
          <w:p>
            <w:pPr>
              <w:spacing w:after="0"/>
              <w:rPr>
                <w:sz w:val="11"/>
                <w:szCs w:val="11"/>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132,497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3,675,818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tcPr>
          <w:p>
            <w:pPr>
              <w:spacing w:after="0"/>
              <w:rPr>
                <w:sz w:val="11"/>
                <w:szCs w:val="11"/>
                <w:color w:val="auto"/>
              </w:rPr>
            </w:pPr>
          </w:p>
        </w:tc>
        <w:tc>
          <w:tcPr>
            <w:tcW w:w="7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333,333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tcPr>
          <w:p>
            <w:pPr>
              <w:spacing w:after="0"/>
              <w:rPr>
                <w:sz w:val="11"/>
                <w:szCs w:val="11"/>
                <w:color w:val="auto"/>
              </w:rPr>
            </w:pPr>
          </w:p>
        </w:tc>
        <w:tc>
          <w:tcPr>
            <w:tcW w:w="7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65,933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24,761,831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621</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5,434,000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RAM Energy Holdings LLC</w:t>
            </w:r>
          </w:p>
        </w:tc>
        <w:tc>
          <w:tcPr>
            <w:tcW w:w="120" w:type="dxa"/>
            <w:vAlign w:val="bottom"/>
            <w:tcBorders>
              <w:bottom w:val="single" w:sz="8" w:color="CFF0FC"/>
            </w:tcBorders>
          </w:tcPr>
          <w:p>
            <w:pPr>
              <w:spacing w:after="0"/>
              <w:rPr>
                <w:sz w:val="11"/>
                <w:szCs w:val="11"/>
                <w:color w:val="auto"/>
              </w:rPr>
            </w:pPr>
          </w:p>
        </w:tc>
        <w:tc>
          <w:tcPr>
            <w:tcW w:w="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1"/>
                <w:szCs w:val="11"/>
                <w:color w:val="auto"/>
                <w:w w:val="90"/>
              </w:rPr>
              <w:t>Energy and Utilities</w:t>
            </w:r>
          </w:p>
        </w:tc>
        <w:tc>
          <w:tcPr>
            <w:tcW w:w="94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84,747</w:t>
            </w: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76,264,739</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52,020,217</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Common Equity</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111,159,067</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61,130,035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w w:val="90"/>
              </w:rPr>
              <w:t>Total Investments in Controlled, Affiliated Portfolio Companies</w:t>
            </w:r>
          </w:p>
        </w:tc>
        <w:tc>
          <w:tcPr>
            <w:tcW w:w="120" w:type="dxa"/>
            <w:vAlign w:val="bottom"/>
            <w:tcBorders>
              <w:bottom w:val="single" w:sz="8" w:color="CFF0FC"/>
            </w:tcBorders>
          </w:tcPr>
          <w:p>
            <w:pPr>
              <w:spacing w:after="0"/>
              <w:rPr>
                <w:sz w:val="11"/>
                <w:szCs w:val="11"/>
                <w:color w:val="auto"/>
              </w:rPr>
            </w:pPr>
          </w:p>
        </w:tc>
        <w:tc>
          <w:tcPr>
            <w:tcW w:w="5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6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293,382,082</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242,162,582</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Investments—217.7%</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88"/>
              </w:rPr>
              <w:t>1,333,693,164</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88"/>
              </w:rPr>
              <w:t>1,274,835,914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20"/>
                <w:szCs w:val="20"/>
                <w:color w:val="auto"/>
              </w:rPr>
            </w:pPr>
            <w:r>
              <w:rPr>
                <w:rFonts w:ascii="Arial" w:cs="Arial" w:eastAsia="Arial" w:hAnsi="Arial"/>
                <w:sz w:val="11"/>
                <w:szCs w:val="11"/>
                <w:b w:val="1"/>
                <w:bCs w:val="1"/>
                <w:color w:val="auto"/>
              </w:rPr>
              <w:t>Cash and Cash Equivalents—3.7%</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7,039,699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7,039,699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BNY Mellon Cash Reserve and Cash</w:t>
            </w:r>
          </w:p>
        </w:tc>
        <w:tc>
          <w:tcPr>
            <w:tcW w:w="120" w:type="dxa"/>
            <w:vAlign w:val="bottom"/>
            <w:tcBorders>
              <w:bottom w:val="single" w:sz="8" w:color="CFF0FC"/>
            </w:tcBorders>
          </w:tcPr>
          <w:p>
            <w:pPr>
              <w:spacing w:after="0"/>
              <w:rPr>
                <w:sz w:val="11"/>
                <w:szCs w:val="11"/>
                <w:color w:val="auto"/>
              </w:rPr>
            </w:pPr>
          </w:p>
        </w:tc>
        <w:tc>
          <w:tcPr>
            <w:tcW w:w="5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6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14,714,881</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14,705,137</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21,754,580</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21,744,836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1"/>
                <w:szCs w:val="11"/>
                <w:b w:val="1"/>
                <w:bCs w:val="1"/>
                <w:color w:val="auto"/>
              </w:rPr>
              <w:t>Total Investments and Cash Equivalents—221.4%</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w w:val="88"/>
              </w:rPr>
              <w:t>1,355,447,744</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w w:val="88"/>
              </w:rPr>
              <w:t>1,296,580,750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1"/>
                <w:szCs w:val="11"/>
                <w:b w:val="1"/>
                <w:bCs w:val="1"/>
                <w:color w:val="auto"/>
              </w:rPr>
              <w:t>Liabilities in Excess of Other Assets—(121.4%)</w:t>
            </w: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80"/>
              <w:spacing w:after="0" w:line="116" w:lineRule="exact"/>
              <w:rPr>
                <w:sz w:val="20"/>
                <w:szCs w:val="20"/>
                <w:color w:val="auto"/>
              </w:rPr>
            </w:pPr>
            <w:r>
              <w:rPr>
                <w:rFonts w:ascii="Arial" w:cs="Arial" w:eastAsia="Arial" w:hAnsi="Arial"/>
                <w:sz w:val="11"/>
                <w:szCs w:val="11"/>
                <w:color w:val="auto"/>
                <w:w w:val="96"/>
              </w:rPr>
              <w:t>(710,871,226)</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b w:val="1"/>
                <w:bCs w:val="1"/>
                <w:color w:val="auto"/>
              </w:rPr>
              <w:t>Net Assets—100.0%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585,709,524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380" w:hanging="372"/>
        <w:spacing w:after="0" w:line="243"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hanging="372"/>
        <w:spacing w:after="0" w:line="313" w:lineRule="auto"/>
        <w:tabs>
          <w:tab w:leader="none" w:pos="380" w:val="left"/>
        </w:tabs>
        <w:numPr>
          <w:ilvl w:val="0"/>
          <w:numId w:val="3"/>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payment-in-kind, or PIK, interest and other fee rates, if any.</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securities, or a portion thereof, are pledged as collateral under the BNP Credit Facility and held through Funding I.</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380" w:right="20" w:hanging="372"/>
        <w:spacing w:after="0" w:line="256"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2019, qualifying assets represent 90% of the Company’s total assets and non-qualifying assets represent 10% of the Company’s total assets.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80" w:type="dxa"/>
            <w:vAlign w:val="bottom"/>
          </w:tcPr>
          <w:p>
            <w:pPr>
              <w:spacing w:after="0"/>
              <w:rPr>
                <w:sz w:val="11"/>
                <w:szCs w:val="11"/>
                <w:color w:val="auto"/>
              </w:rPr>
            </w:pPr>
          </w:p>
        </w:tc>
        <w:tc>
          <w:tcPr>
            <w:tcW w:w="9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Maturity /</w:t>
            </w: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8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Expiration</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6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Companies—144.0% </w:t>
            </w:r>
            <w:r>
              <w:rPr>
                <w:rFonts w:ascii="Arial" w:cs="Arial" w:eastAsia="Arial" w:hAnsi="Arial"/>
                <w:sz w:val="9"/>
                <w:szCs w:val="9"/>
                <w:b w:val="1"/>
                <w:bCs w:val="1"/>
                <w:color w:val="auto"/>
              </w:rPr>
              <w:t>(1), (2)</w:t>
            </w: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b w:val="1"/>
                <w:bCs w:val="1"/>
                <w:color w:val="auto"/>
              </w:rPr>
              <w:t>First Lien Secured Debt—66.9%</w:t>
            </w:r>
          </w:p>
        </w:tc>
        <w:tc>
          <w:tcPr>
            <w:tcW w:w="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Allied America,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08/08/2022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9.39%</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21,435,548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21,116,138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21,478,419</w:t>
            </w: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08/08/2022</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Bazaarvoice,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02/01/2024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10.24%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14,783,825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Bottom Line Systems, LLC</w:t>
            </w:r>
          </w:p>
        </w:tc>
        <w:tc>
          <w:tcPr>
            <w:tcW w:w="980" w:type="dxa"/>
            <w:vAlign w:val="bottom"/>
          </w:tcPr>
          <w:p>
            <w:pPr>
              <w:ind w:left="200"/>
              <w:spacing w:after="0"/>
              <w:rPr>
                <w:sz w:val="20"/>
                <w:szCs w:val="20"/>
                <w:color w:val="auto"/>
              </w:rPr>
            </w:pPr>
            <w:r>
              <w:rPr>
                <w:rFonts w:ascii="Arial" w:cs="Arial" w:eastAsia="Arial" w:hAnsi="Arial"/>
                <w:sz w:val="12"/>
                <w:szCs w:val="12"/>
                <w:color w:val="auto"/>
              </w:rPr>
              <w:t>02/13/2023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9.74%</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tcPr>
          <w:p>
            <w:pPr>
              <w:jc w:val="right"/>
              <w:spacing w:after="0"/>
              <w:rPr>
                <w:sz w:val="20"/>
                <w:szCs w:val="20"/>
                <w:color w:val="auto"/>
              </w:rPr>
            </w:pPr>
            <w:r>
              <w:rPr>
                <w:rFonts w:ascii="Arial" w:cs="Arial" w:eastAsia="Arial" w:hAnsi="Arial"/>
                <w:sz w:val="12"/>
                <w:szCs w:val="12"/>
                <w:color w:val="auto"/>
              </w:rPr>
              <w:t>19,583,330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19,345,650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2"/>
                <w:szCs w:val="12"/>
                <w:color w:val="auto"/>
              </w:rPr>
            </w:pP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Broder Bros., Co.</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12/02/2022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10.33%</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31,676,768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31,678,078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31,676,768</w:t>
            </w:r>
          </w:p>
        </w:tc>
        <w:tc>
          <w:tcPr>
            <w:tcW w:w="100" w:type="dxa"/>
            <w:vAlign w:val="bottom"/>
            <w:shd w:val="clear" w:color="auto" w:fill="CCECFF"/>
          </w:tcPr>
          <w:p>
            <w:pPr>
              <w:spacing w:after="0"/>
              <w:rPr>
                <w:sz w:val="12"/>
                <w:szCs w:val="12"/>
                <w:color w:val="auto"/>
              </w:rPr>
            </w:pPr>
          </w:p>
        </w:tc>
      </w:tr>
      <w:tr>
        <w:trPr>
          <w:trHeight w:val="149"/>
        </w:trPr>
        <w:tc>
          <w:tcPr>
            <w:tcW w:w="2880" w:type="dxa"/>
            <w:vAlign w:val="bottom"/>
          </w:tcPr>
          <w:p>
            <w:pPr>
              <w:spacing w:after="0"/>
              <w:rPr>
                <w:sz w:val="20"/>
                <w:szCs w:val="20"/>
                <w:color w:val="auto"/>
              </w:rPr>
            </w:pPr>
            <w:r>
              <w:rPr>
                <w:rFonts w:ascii="Arial" w:cs="Arial" w:eastAsia="Arial" w:hAnsi="Arial"/>
                <w:sz w:val="12"/>
                <w:szCs w:val="12"/>
                <w:color w:val="auto"/>
              </w:rPr>
              <w:t>Cano Health, LLC</w:t>
            </w:r>
          </w:p>
        </w:tc>
        <w:tc>
          <w:tcPr>
            <w:tcW w:w="980" w:type="dxa"/>
            <w:vAlign w:val="bottom"/>
          </w:tcPr>
          <w:p>
            <w:pPr>
              <w:ind w:left="200"/>
              <w:spacing w:after="0"/>
              <w:rPr>
                <w:sz w:val="20"/>
                <w:szCs w:val="20"/>
                <w:color w:val="auto"/>
              </w:rPr>
            </w:pPr>
            <w:r>
              <w:rPr>
                <w:rFonts w:ascii="Arial" w:cs="Arial" w:eastAsia="Arial" w:hAnsi="Arial"/>
                <w:sz w:val="12"/>
                <w:szCs w:val="12"/>
                <w:color w:val="auto"/>
              </w:rPr>
              <w:t>12/23/2021</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10.61%</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Pr>
          <w:p>
            <w:pPr>
              <w:jc w:val="right"/>
              <w:spacing w:after="0"/>
              <w:rPr>
                <w:sz w:val="20"/>
                <w:szCs w:val="20"/>
                <w:color w:val="auto"/>
              </w:rPr>
            </w:pPr>
            <w:r>
              <w:rPr>
                <w:rFonts w:ascii="Arial" w:cs="Arial" w:eastAsia="Arial" w:hAnsi="Arial"/>
                <w:sz w:val="12"/>
                <w:szCs w:val="12"/>
                <w:color w:val="auto"/>
              </w:rPr>
              <w:t>32,813,941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32,240,776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32,813,941</w:t>
            </w:r>
          </w:p>
        </w:tc>
        <w:tc>
          <w:tcPr>
            <w:tcW w:w="100" w:type="dxa"/>
            <w:vAlign w:val="bottom"/>
          </w:tcPr>
          <w:p>
            <w:pPr>
              <w:spacing w:after="0"/>
              <w:rPr>
                <w:sz w:val="12"/>
                <w:szCs w:val="12"/>
                <w:color w:val="auto"/>
              </w:rPr>
            </w:pP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Cano Health, LLC (Revolver)</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11/05/2018</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10.68%</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DermaRite Industries LLC</w:t>
            </w:r>
          </w:p>
        </w:tc>
        <w:tc>
          <w:tcPr>
            <w:tcW w:w="980" w:type="dxa"/>
            <w:vAlign w:val="bottom"/>
          </w:tcPr>
          <w:p>
            <w:pPr>
              <w:ind w:left="200"/>
              <w:spacing w:after="0"/>
              <w:rPr>
                <w:sz w:val="20"/>
                <w:szCs w:val="20"/>
                <w:color w:val="auto"/>
              </w:rPr>
            </w:pPr>
            <w:r>
              <w:rPr>
                <w:rFonts w:ascii="Arial" w:cs="Arial" w:eastAsia="Arial" w:hAnsi="Arial"/>
                <w:sz w:val="12"/>
                <w:szCs w:val="12"/>
                <w:color w:val="auto"/>
              </w:rPr>
              <w:t>03/03/2022</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Manufacturing / Basic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9.24%</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L+700</w:t>
            </w:r>
          </w:p>
        </w:tc>
        <w:tc>
          <w:tcPr>
            <w:tcW w:w="660" w:type="dxa"/>
            <w:vAlign w:val="bottom"/>
          </w:tcPr>
          <w:p>
            <w:pPr>
              <w:jc w:val="right"/>
              <w:spacing w:after="0"/>
              <w:rPr>
                <w:sz w:val="20"/>
                <w:szCs w:val="20"/>
                <w:color w:val="auto"/>
              </w:rPr>
            </w:pPr>
            <w:r>
              <w:rPr>
                <w:rFonts w:ascii="Arial" w:cs="Arial" w:eastAsia="Arial" w:hAnsi="Arial"/>
                <w:sz w:val="12"/>
                <w:szCs w:val="12"/>
                <w:color w:val="auto"/>
              </w:rPr>
              <w:t>9,850,000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9,738,431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9,683,465</w:t>
            </w:r>
          </w:p>
        </w:tc>
        <w:tc>
          <w:tcPr>
            <w:tcW w:w="100" w:type="dxa"/>
            <w:vAlign w:val="bottom"/>
          </w:tcPr>
          <w:p>
            <w:pPr>
              <w:spacing w:after="0"/>
              <w:rPr>
                <w:sz w:val="12"/>
                <w:szCs w:val="12"/>
                <w:color w:val="auto"/>
              </w:rPr>
            </w:pP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10/31/2023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7.74%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4,962,500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4,877,212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4,962,500</w:t>
            </w: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10/31/2022</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385,000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(11)</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08/29/2022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9.74%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19,800,000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19,475,599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19,800,000</w:t>
            </w:r>
          </w:p>
        </w:tc>
        <w:tc>
          <w:tcPr>
            <w:tcW w:w="100" w:type="dxa"/>
            <w:vAlign w:val="bottom"/>
            <w:shd w:val="clear" w:color="auto" w:fill="CCECFF"/>
          </w:tcPr>
          <w:p>
            <w:pPr>
              <w:spacing w:after="0"/>
              <w:rPr>
                <w:sz w:val="12"/>
                <w:szCs w:val="12"/>
                <w:color w:val="auto"/>
              </w:rPr>
            </w:pPr>
          </w:p>
        </w:tc>
      </w:tr>
      <w:tr>
        <w:trPr>
          <w:trHeight w:val="149"/>
        </w:trPr>
        <w:tc>
          <w:tcPr>
            <w:tcW w:w="2880" w:type="dxa"/>
            <w:vAlign w:val="bottom"/>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(7), (11)</w:t>
            </w:r>
          </w:p>
        </w:tc>
        <w:tc>
          <w:tcPr>
            <w:tcW w:w="980" w:type="dxa"/>
            <w:vAlign w:val="bottom"/>
          </w:tcPr>
          <w:p>
            <w:pPr>
              <w:ind w:left="200"/>
              <w:spacing w:after="0"/>
              <w:rPr>
                <w:sz w:val="20"/>
                <w:szCs w:val="20"/>
                <w:color w:val="auto"/>
              </w:rPr>
            </w:pPr>
            <w:r>
              <w:rPr>
                <w:rFonts w:ascii="Arial" w:cs="Arial" w:eastAsia="Arial" w:hAnsi="Arial"/>
                <w:sz w:val="12"/>
                <w:szCs w:val="12"/>
                <w:color w:val="auto"/>
              </w:rPr>
              <w:t>08/29/2022</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w w:val="97"/>
              </w:rPr>
              <w:t xml:space="preserve">eCommission Financial Services, Inc. (Revolver) </w:t>
            </w:r>
            <w:r>
              <w:rPr>
                <w:rFonts w:ascii="Arial" w:cs="Arial" w:eastAsia="Arial" w:hAnsi="Arial"/>
                <w:sz w:val="9"/>
                <w:szCs w:val="9"/>
                <w:color w:val="auto"/>
                <w:w w:val="97"/>
              </w:rPr>
              <w:t>(7), (11)</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08/29/2022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80" w:type="dxa"/>
            <w:vAlign w:val="bottom"/>
          </w:tcPr>
          <w:p>
            <w:pPr>
              <w:ind w:left="200"/>
              <w:spacing w:after="0"/>
              <w:rPr>
                <w:sz w:val="20"/>
                <w:szCs w:val="20"/>
                <w:color w:val="auto"/>
              </w:rPr>
            </w:pPr>
            <w:r>
              <w:rPr>
                <w:rFonts w:ascii="Arial" w:cs="Arial" w:eastAsia="Arial" w:hAnsi="Arial"/>
                <w:sz w:val="12"/>
                <w:szCs w:val="12"/>
                <w:color w:val="auto"/>
              </w:rPr>
              <w:t>06/09/2023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tcPr>
          <w:p>
            <w:pPr>
              <w:jc w:val="right"/>
              <w:spacing w:after="0"/>
              <w:rPr>
                <w:sz w:val="20"/>
                <w:szCs w:val="20"/>
                <w:color w:val="auto"/>
              </w:rPr>
            </w:pPr>
            <w:r>
              <w:rPr>
                <w:rFonts w:ascii="Arial" w:cs="Arial" w:eastAsia="Arial" w:hAnsi="Arial"/>
                <w:sz w:val="12"/>
                <w:szCs w:val="12"/>
                <w:color w:val="auto"/>
              </w:rPr>
              <w:t>19,713,838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19,386,443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19,516,699</w:t>
            </w:r>
          </w:p>
        </w:tc>
        <w:tc>
          <w:tcPr>
            <w:tcW w:w="100" w:type="dxa"/>
            <w:vAlign w:val="bottom"/>
          </w:tcPr>
          <w:p>
            <w:pPr>
              <w:spacing w:after="0"/>
              <w:rPr>
                <w:sz w:val="12"/>
                <w:szCs w:val="12"/>
                <w:color w:val="auto"/>
              </w:rPr>
            </w:pP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06/27/2023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8.64%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22,457,923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22,225,155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22,345,634</w:t>
            </w: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06/27/2023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Personal, Food and Miscellaneous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12,491,009</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(62,455)</w:t>
            </w:r>
          </w:p>
        </w:tc>
      </w:tr>
      <w:tr>
        <w:trPr>
          <w:trHeight w:val="149"/>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Juniper Landscaping of Florida, LLC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12/22/2021</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11.61%</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14,350,500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14,140,360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14,350,500</w:t>
            </w: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80" w:type="dxa"/>
            <w:vAlign w:val="bottom"/>
          </w:tcPr>
          <w:p>
            <w:pPr>
              <w:ind w:left="200"/>
              <w:spacing w:after="0"/>
              <w:rPr>
                <w:sz w:val="20"/>
                <w:szCs w:val="20"/>
                <w:color w:val="auto"/>
              </w:rPr>
            </w:pPr>
            <w:r>
              <w:rPr>
                <w:rFonts w:ascii="Arial" w:cs="Arial" w:eastAsia="Arial" w:hAnsi="Arial"/>
                <w:sz w:val="12"/>
                <w:szCs w:val="12"/>
                <w:color w:val="auto"/>
              </w:rPr>
              <w:t>02/19/2021</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11.24%</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14,243,249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14,033,015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14,243,249</w:t>
            </w:r>
          </w:p>
        </w:tc>
        <w:tc>
          <w:tcPr>
            <w:tcW w:w="100" w:type="dxa"/>
            <w:vAlign w:val="bottom"/>
          </w:tcPr>
          <w:p>
            <w:pPr>
              <w:spacing w:after="0"/>
              <w:rPr>
                <w:sz w:val="12"/>
                <w:szCs w:val="12"/>
                <w:color w:val="auto"/>
              </w:rPr>
            </w:pP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Ox Two, LLC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02/27/2023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8.49%</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22,218,750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21,819,701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22,218,750</w:t>
            </w: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Ox Two, LLC (Revolver)</w:t>
            </w:r>
          </w:p>
        </w:tc>
        <w:tc>
          <w:tcPr>
            <w:tcW w:w="980" w:type="dxa"/>
            <w:vAlign w:val="bottom"/>
          </w:tcPr>
          <w:p>
            <w:pPr>
              <w:ind w:left="200"/>
              <w:spacing w:after="0"/>
              <w:rPr>
                <w:sz w:val="20"/>
                <w:szCs w:val="20"/>
                <w:color w:val="auto"/>
              </w:rPr>
            </w:pPr>
            <w:r>
              <w:rPr>
                <w:rFonts w:ascii="Arial" w:cs="Arial" w:eastAsia="Arial" w:hAnsi="Arial"/>
                <w:sz w:val="12"/>
                <w:szCs w:val="12"/>
                <w:color w:val="auto"/>
              </w:rPr>
              <w:t>02/27/2023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12.50%</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P+725</w:t>
            </w:r>
          </w:p>
        </w:tc>
        <w:tc>
          <w:tcPr>
            <w:tcW w:w="660" w:type="dxa"/>
            <w:vAlign w:val="bottom"/>
          </w:tcPr>
          <w:p>
            <w:pPr>
              <w:jc w:val="right"/>
              <w:spacing w:after="0"/>
              <w:rPr>
                <w:sz w:val="20"/>
                <w:szCs w:val="20"/>
                <w:color w:val="auto"/>
              </w:rPr>
            </w:pPr>
            <w:r>
              <w:rPr>
                <w:rFonts w:ascii="Arial" w:cs="Arial" w:eastAsia="Arial" w:hAnsi="Arial"/>
                <w:sz w:val="12"/>
                <w:szCs w:val="12"/>
                <w:color w:val="auto"/>
              </w:rPr>
              <w:t>750,000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750,000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2"/>
                <w:szCs w:val="12"/>
                <w:color w:val="auto"/>
              </w:rPr>
            </w:pP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02/27/2023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1,750,000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Questex, LLC</w:t>
            </w:r>
          </w:p>
        </w:tc>
        <w:tc>
          <w:tcPr>
            <w:tcW w:w="980" w:type="dxa"/>
            <w:vAlign w:val="bottom"/>
          </w:tcPr>
          <w:p>
            <w:pPr>
              <w:ind w:left="200"/>
              <w:spacing w:after="0"/>
              <w:rPr>
                <w:sz w:val="20"/>
                <w:szCs w:val="20"/>
                <w:color w:val="auto"/>
              </w:rPr>
            </w:pPr>
            <w:r>
              <w:rPr>
                <w:rFonts w:ascii="Arial" w:cs="Arial" w:eastAsia="Arial" w:hAnsi="Arial"/>
                <w:sz w:val="12"/>
                <w:szCs w:val="12"/>
                <w:color w:val="auto"/>
              </w:rPr>
              <w:t>09/09/2024</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8.57%</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22,054,120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2"/>
                <w:szCs w:val="12"/>
                <w:color w:val="auto"/>
              </w:rPr>
            </w:pPr>
          </w:p>
        </w:tc>
      </w:tr>
      <w:tr>
        <w:trPr>
          <w:trHeight w:val="149"/>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Questex, LLC (Revolver)</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09/09/2024</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8.57%</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598,404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598,404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586,436</w:t>
            </w: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09/09/2024</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2,992,021</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(59,840)</w:t>
            </w: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06/28/2022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8.36%</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22,071,351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06/28/2022</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9,121,622</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(182,432)</w:t>
            </w: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 (Revolver)</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06/28/2022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8.36%</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1,783,784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1,783,784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1,748,108</w:t>
            </w:r>
          </w:p>
        </w:tc>
        <w:tc>
          <w:tcPr>
            <w:tcW w:w="100" w:type="dxa"/>
            <w:vAlign w:val="bottom"/>
            <w:shd w:val="clear" w:color="auto" w:fill="CCECFF"/>
          </w:tcPr>
          <w:p>
            <w:pPr>
              <w:spacing w:after="0"/>
              <w:rPr>
                <w:sz w:val="12"/>
                <w:szCs w:val="12"/>
                <w:color w:val="auto"/>
              </w:rPr>
            </w:pPr>
          </w:p>
        </w:tc>
      </w:tr>
      <w:tr>
        <w:trPr>
          <w:trHeight w:val="149"/>
        </w:trPr>
        <w:tc>
          <w:tcPr>
            <w:tcW w:w="2880" w:type="dxa"/>
            <w:vAlign w:val="bottom"/>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06/28/2022</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2,270,270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(45,405)</w:t>
            </w: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09/01/2022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8.59%</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20,925,313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20,642,473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20,925,313</w:t>
            </w: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09/01/2022</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1,375,000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09/01/2022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88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980" w:type="dxa"/>
            <w:vAlign w:val="bottom"/>
          </w:tcPr>
          <w:p>
            <w:pPr>
              <w:ind w:left="200"/>
              <w:spacing w:after="0"/>
              <w:rPr>
                <w:sz w:val="20"/>
                <w:szCs w:val="20"/>
                <w:color w:val="auto"/>
              </w:rPr>
            </w:pPr>
            <w:r>
              <w:rPr>
                <w:rFonts w:ascii="Arial" w:cs="Arial" w:eastAsia="Arial" w:hAnsi="Arial"/>
                <w:sz w:val="12"/>
                <w:szCs w:val="12"/>
                <w:color w:val="auto"/>
              </w:rPr>
              <w:t>12/28/2020</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Manufacturing / Basic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15.49%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L+1,325</w:t>
            </w:r>
          </w:p>
        </w:tc>
        <w:tc>
          <w:tcPr>
            <w:tcW w:w="660" w:type="dxa"/>
            <w:vAlign w:val="bottom"/>
          </w:tcPr>
          <w:p>
            <w:pPr>
              <w:jc w:val="right"/>
              <w:spacing w:after="0"/>
              <w:rPr>
                <w:sz w:val="20"/>
                <w:szCs w:val="20"/>
                <w:color w:val="auto"/>
              </w:rPr>
            </w:pPr>
            <w:r>
              <w:rPr>
                <w:rFonts w:ascii="Arial" w:cs="Arial" w:eastAsia="Arial" w:hAnsi="Arial"/>
                <w:sz w:val="12"/>
                <w:szCs w:val="12"/>
                <w:color w:val="auto"/>
              </w:rPr>
              <w:t>23,718,379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23,464,517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23,006,827</w:t>
            </w:r>
          </w:p>
        </w:tc>
        <w:tc>
          <w:tcPr>
            <w:tcW w:w="100" w:type="dxa"/>
            <w:vAlign w:val="bottom"/>
          </w:tcPr>
          <w:p>
            <w:pPr>
              <w:spacing w:after="0"/>
              <w:rPr>
                <w:sz w:val="12"/>
                <w:szCs w:val="12"/>
                <w:color w:val="auto"/>
              </w:rPr>
            </w:pP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07/15/2024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9.14%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29,925,000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29,415,076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29,925,000</w:t>
            </w: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07/15/2024</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Electronics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08/13/2021</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11.39%</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8,476,563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8,476,563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8,052,732</w:t>
            </w: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Walker Edison Furniture Company LLC</w:t>
            </w:r>
          </w:p>
        </w:tc>
        <w:tc>
          <w:tcPr>
            <w:tcW w:w="980" w:type="dxa"/>
            <w:vAlign w:val="bottom"/>
          </w:tcPr>
          <w:p>
            <w:pPr>
              <w:ind w:left="200"/>
              <w:spacing w:after="0"/>
              <w:rPr>
                <w:sz w:val="20"/>
                <w:szCs w:val="20"/>
                <w:color w:val="auto"/>
              </w:rPr>
            </w:pPr>
            <w:r>
              <w:rPr>
                <w:rFonts w:ascii="Arial" w:cs="Arial" w:eastAsia="Arial" w:hAnsi="Arial"/>
                <w:sz w:val="12"/>
                <w:szCs w:val="12"/>
                <w:color w:val="auto"/>
              </w:rPr>
              <w:t>09/26/2024</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Home and Office Furnishings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8.88%</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22,050,866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2"/>
                <w:szCs w:val="12"/>
                <w:color w:val="auto"/>
              </w:rPr>
            </w:pPr>
          </w:p>
        </w:tc>
      </w:tr>
      <w:tr>
        <w:trPr>
          <w:trHeight w:val="149"/>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10/18/2022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11.25%</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19,305,000</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18,977,907</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19,305,000</w:t>
            </w:r>
          </w:p>
        </w:tc>
        <w:tc>
          <w:tcPr>
            <w:tcW w:w="100" w:type="dxa"/>
            <w:vAlign w:val="bottom"/>
            <w:shd w:val="clear" w:color="auto" w:fill="CCECFF"/>
          </w:tcPr>
          <w:p>
            <w:pPr>
              <w:spacing w:after="0"/>
              <w:rPr>
                <w:sz w:val="12"/>
                <w:szCs w:val="12"/>
                <w:color w:val="auto"/>
              </w:rPr>
            </w:pPr>
          </w:p>
        </w:tc>
      </w:tr>
      <w:tr>
        <w:trPr>
          <w:trHeight w:val="142"/>
        </w:trPr>
        <w:tc>
          <w:tcPr>
            <w:tcW w:w="288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418,295,444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420,847,539</w:t>
            </w:r>
          </w:p>
        </w:tc>
        <w:tc>
          <w:tcPr>
            <w:tcW w:w="100" w:type="dxa"/>
            <w:vAlign w:val="bottom"/>
          </w:tcPr>
          <w:p>
            <w:pPr>
              <w:spacing w:after="0"/>
              <w:rPr>
                <w:sz w:val="12"/>
                <w:szCs w:val="12"/>
                <w:color w:val="auto"/>
              </w:rPr>
            </w:pPr>
          </w:p>
        </w:tc>
      </w:tr>
      <w:tr>
        <w:trPr>
          <w:trHeight w:val="142"/>
        </w:trPr>
        <w:tc>
          <w:tcPr>
            <w:tcW w:w="28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Debt—62.2%</w:t>
            </w:r>
          </w:p>
        </w:tc>
        <w:tc>
          <w:tcPr>
            <w:tcW w:w="980" w:type="dxa"/>
            <w:vAlign w:val="bottom"/>
            <w:tcBorders>
              <w:top w:val="single" w:sz="8" w:color="CCECFF"/>
            </w:tcBorders>
            <w:shd w:val="clear" w:color="auto" w:fill="CCECFF"/>
          </w:tcPr>
          <w:p>
            <w:pPr>
              <w:spacing w:after="0"/>
              <w:rPr>
                <w:sz w:val="12"/>
                <w:szCs w:val="12"/>
                <w:color w:val="auto"/>
              </w:rPr>
            </w:pPr>
          </w:p>
        </w:tc>
        <w:tc>
          <w:tcPr>
            <w:tcW w:w="26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82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Condor Borrower, LLC</w:t>
            </w:r>
          </w:p>
        </w:tc>
        <w:tc>
          <w:tcPr>
            <w:tcW w:w="980" w:type="dxa"/>
            <w:vAlign w:val="bottom"/>
          </w:tcPr>
          <w:p>
            <w:pPr>
              <w:ind w:left="200"/>
              <w:spacing w:after="0"/>
              <w:rPr>
                <w:sz w:val="20"/>
                <w:szCs w:val="20"/>
                <w:color w:val="auto"/>
              </w:rPr>
            </w:pPr>
            <w:r>
              <w:rPr>
                <w:rFonts w:ascii="Arial" w:cs="Arial" w:eastAsia="Arial" w:hAnsi="Arial"/>
                <w:sz w:val="12"/>
                <w:szCs w:val="12"/>
                <w:color w:val="auto"/>
              </w:rPr>
              <w:t>04/25/2025</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11.09%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L+875</w:t>
            </w:r>
          </w:p>
        </w:tc>
        <w:tc>
          <w:tcPr>
            <w:tcW w:w="660" w:type="dxa"/>
            <w:vAlign w:val="bottom"/>
          </w:tcPr>
          <w:p>
            <w:pPr>
              <w:jc w:val="right"/>
              <w:spacing w:after="0"/>
              <w:rPr>
                <w:sz w:val="20"/>
                <w:szCs w:val="20"/>
                <w:color w:val="auto"/>
              </w:rPr>
            </w:pPr>
            <w:r>
              <w:rPr>
                <w:rFonts w:ascii="Arial" w:cs="Arial" w:eastAsia="Arial" w:hAnsi="Arial"/>
                <w:sz w:val="12"/>
                <w:szCs w:val="12"/>
                <w:color w:val="auto"/>
              </w:rPr>
              <w:t>12,500,000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12,271,734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2"/>
                <w:szCs w:val="12"/>
                <w:color w:val="auto"/>
              </w:rPr>
            </w:pPr>
          </w:p>
        </w:tc>
      </w:tr>
      <w:tr>
        <w:trPr>
          <w:trHeight w:val="149"/>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DecoPac,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03/31/2025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10.64%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22,607,675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Halo Buyer, Inc.</w:t>
            </w:r>
          </w:p>
        </w:tc>
        <w:tc>
          <w:tcPr>
            <w:tcW w:w="980" w:type="dxa"/>
            <w:vAlign w:val="bottom"/>
          </w:tcPr>
          <w:p>
            <w:pPr>
              <w:ind w:left="200"/>
              <w:spacing w:after="0"/>
              <w:rPr>
                <w:sz w:val="20"/>
                <w:szCs w:val="20"/>
                <w:color w:val="auto"/>
              </w:rPr>
            </w:pPr>
            <w:r>
              <w:rPr>
                <w:rFonts w:ascii="Arial" w:cs="Arial" w:eastAsia="Arial" w:hAnsi="Arial"/>
                <w:sz w:val="12"/>
                <w:szCs w:val="12"/>
                <w:color w:val="auto"/>
              </w:rPr>
              <w:t>07/06/2026</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10.49%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L+825</w:t>
            </w:r>
          </w:p>
        </w:tc>
        <w:tc>
          <w:tcPr>
            <w:tcW w:w="660" w:type="dxa"/>
            <w:vAlign w:val="bottom"/>
          </w:tcPr>
          <w:p>
            <w:pPr>
              <w:jc w:val="right"/>
              <w:spacing w:after="0"/>
              <w:rPr>
                <w:sz w:val="20"/>
                <w:szCs w:val="20"/>
                <w:color w:val="auto"/>
              </w:rPr>
            </w:pPr>
            <w:r>
              <w:rPr>
                <w:rFonts w:ascii="Arial" w:cs="Arial" w:eastAsia="Arial" w:hAnsi="Arial"/>
                <w:sz w:val="12"/>
                <w:szCs w:val="12"/>
                <w:color w:val="auto"/>
              </w:rPr>
              <w:t>45,000,000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44,338,109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2"/>
                <w:szCs w:val="12"/>
                <w:color w:val="auto"/>
              </w:rPr>
            </w:pPr>
          </w:p>
        </w:tc>
      </w:tr>
      <w:tr>
        <w:trPr>
          <w:trHeight w:val="149"/>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Infogroup,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04/03/2024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11.64%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20,056,087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20,400,000</w:t>
            </w:r>
          </w:p>
        </w:tc>
        <w:tc>
          <w:tcPr>
            <w:tcW w:w="100" w:type="dxa"/>
            <w:vAlign w:val="bottom"/>
            <w:shd w:val="clear" w:color="auto" w:fill="CCECFF"/>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Integrity Marketing Partners, LLC</w:t>
            </w:r>
          </w:p>
        </w:tc>
        <w:tc>
          <w:tcPr>
            <w:tcW w:w="980" w:type="dxa"/>
            <w:vAlign w:val="bottom"/>
          </w:tcPr>
          <w:p>
            <w:pPr>
              <w:ind w:left="200"/>
              <w:spacing w:after="0"/>
              <w:rPr>
                <w:sz w:val="20"/>
                <w:szCs w:val="20"/>
                <w:color w:val="auto"/>
              </w:rPr>
            </w:pPr>
            <w:r>
              <w:rPr>
                <w:rFonts w:ascii="Arial" w:cs="Arial" w:eastAsia="Arial" w:hAnsi="Arial"/>
                <w:sz w:val="12"/>
                <w:szCs w:val="12"/>
                <w:color w:val="auto"/>
              </w:rPr>
              <w:t>01/02/2023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Banking, Finance, Insurance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11.17%</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6,000,000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5,913,341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5,987,443</w:t>
            </w:r>
          </w:p>
        </w:tc>
        <w:tc>
          <w:tcPr>
            <w:tcW w:w="100" w:type="dxa"/>
            <w:vAlign w:val="bottom"/>
          </w:tcPr>
          <w:p>
            <w:pPr>
              <w:spacing w:after="0"/>
              <w:rPr>
                <w:sz w:val="12"/>
                <w:szCs w:val="12"/>
                <w:color w:val="auto"/>
              </w:rPr>
            </w:pPr>
          </w:p>
        </w:tc>
      </w:tr>
      <w:tr>
        <w:trPr>
          <w:trHeight w:val="148"/>
        </w:trPr>
        <w:tc>
          <w:tcPr>
            <w:tcW w:w="28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03/01/2019</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11.00%</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481,052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447,988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481,052</w:t>
            </w:r>
          </w:p>
        </w:tc>
        <w:tc>
          <w:tcPr>
            <w:tcW w:w="100" w:type="dxa"/>
            <w:vAlign w:val="bottom"/>
            <w:shd w:val="clear" w:color="auto" w:fill="CCECFF"/>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color w:val="auto"/>
              </w:rPr>
              <w:t>(PIK 11.00%)</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80" w:type="dxa"/>
            <w:vAlign w:val="bottom"/>
            <w:shd w:val="clear" w:color="auto" w:fill="CFF0FC"/>
          </w:tcPr>
          <w:p>
            <w:pPr>
              <w:spacing w:after="0"/>
              <w:rPr>
                <w:sz w:val="20"/>
                <w:szCs w:val="20"/>
                <w:color w:val="auto"/>
              </w:rPr>
            </w:pPr>
            <w:r>
              <w:rPr>
                <w:rFonts w:ascii="Arial" w:cs="Arial" w:eastAsia="Arial" w:hAnsi="Arial"/>
                <w:sz w:val="12"/>
                <w:szCs w:val="12"/>
                <w:color w:val="auto"/>
              </w:rPr>
              <w:t>MailSouth, Inc.</w:t>
            </w:r>
          </w:p>
        </w:tc>
        <w:tc>
          <w:tcPr>
            <w:tcW w:w="9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10/23/2024</w:t>
            </w: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1"/>
              </w:rPr>
              <w:t>Printing and Publishing</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12.00%</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48,425,000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47,496,549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47,456,500</w:t>
            </w:r>
          </w:p>
        </w:tc>
        <w:tc>
          <w:tcPr>
            <w:tcW w:w="100" w:type="dxa"/>
            <w:vAlign w:val="bottom"/>
            <w:shd w:val="clear" w:color="auto" w:fill="CFF0FC"/>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MBS Holdings, Inc.</w:t>
            </w:r>
          </w:p>
        </w:tc>
        <w:tc>
          <w:tcPr>
            <w:tcW w:w="980" w:type="dxa"/>
            <w:vAlign w:val="bottom"/>
          </w:tcPr>
          <w:p>
            <w:pPr>
              <w:ind w:left="200"/>
              <w:spacing w:after="0"/>
              <w:rPr>
                <w:sz w:val="20"/>
                <w:szCs w:val="20"/>
                <w:color w:val="auto"/>
              </w:rPr>
            </w:pPr>
            <w:r>
              <w:rPr>
                <w:rFonts w:ascii="Arial" w:cs="Arial" w:eastAsia="Arial" w:hAnsi="Arial"/>
                <w:sz w:val="12"/>
                <w:szCs w:val="12"/>
                <w:color w:val="auto"/>
              </w:rPr>
              <w:t>01/02/2024</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10.60%</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Pr>
          <w:p>
            <w:pPr>
              <w:jc w:val="right"/>
              <w:spacing w:after="0"/>
              <w:rPr>
                <w:sz w:val="20"/>
                <w:szCs w:val="20"/>
                <w:color w:val="auto"/>
              </w:rPr>
            </w:pPr>
            <w:r>
              <w:rPr>
                <w:rFonts w:ascii="Arial" w:cs="Arial" w:eastAsia="Arial" w:hAnsi="Arial"/>
                <w:sz w:val="12"/>
                <w:szCs w:val="12"/>
                <w:color w:val="auto"/>
              </w:rPr>
              <w:t>15,000,000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14,710,035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14,700,000</w:t>
            </w:r>
          </w:p>
        </w:tc>
        <w:tc>
          <w:tcPr>
            <w:tcW w:w="100" w:type="dxa"/>
            <w:vAlign w:val="bottom"/>
          </w:tcPr>
          <w:p>
            <w:pPr>
              <w:spacing w:after="0"/>
              <w:rPr>
                <w:sz w:val="12"/>
                <w:szCs w:val="12"/>
                <w:color w:val="auto"/>
              </w:rPr>
            </w:pPr>
          </w:p>
        </w:tc>
      </w:tr>
      <w:tr>
        <w:trPr>
          <w:trHeight w:val="149"/>
        </w:trPr>
        <w:tc>
          <w:tcPr>
            <w:tcW w:w="28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9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12/17/2021</w:t>
            </w: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Hotels, Motels, Inns and Gaming</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14.39%</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L+1,200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76,500,000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76,500,000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80,904,325</w:t>
            </w:r>
          </w:p>
        </w:tc>
        <w:tc>
          <w:tcPr>
            <w:tcW w:w="100" w:type="dxa"/>
            <w:vAlign w:val="bottom"/>
            <w:shd w:val="clear" w:color="auto" w:fill="CFF0FC"/>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Pathway Partners Vet Management LLC</w:t>
            </w:r>
          </w:p>
        </w:tc>
        <w:tc>
          <w:tcPr>
            <w:tcW w:w="980" w:type="dxa"/>
            <w:vAlign w:val="bottom"/>
          </w:tcPr>
          <w:p>
            <w:pPr>
              <w:ind w:left="200"/>
              <w:spacing w:after="0"/>
              <w:rPr>
                <w:sz w:val="20"/>
                <w:szCs w:val="20"/>
                <w:color w:val="auto"/>
              </w:rPr>
            </w:pPr>
            <w:r>
              <w:rPr>
                <w:rFonts w:ascii="Arial" w:cs="Arial" w:eastAsia="Arial" w:hAnsi="Arial"/>
                <w:sz w:val="12"/>
                <w:szCs w:val="12"/>
                <w:color w:val="auto"/>
              </w:rPr>
              <w:t>10/10/2025</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10.24%</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L+800</w:t>
            </w:r>
          </w:p>
        </w:tc>
        <w:tc>
          <w:tcPr>
            <w:tcW w:w="660" w:type="dxa"/>
            <w:vAlign w:val="bottom"/>
          </w:tcPr>
          <w:p>
            <w:pPr>
              <w:jc w:val="right"/>
              <w:spacing w:after="0"/>
              <w:rPr>
                <w:sz w:val="20"/>
                <w:szCs w:val="20"/>
                <w:color w:val="auto"/>
              </w:rPr>
            </w:pPr>
            <w:r>
              <w:rPr>
                <w:rFonts w:ascii="Arial" w:cs="Arial" w:eastAsia="Arial" w:hAnsi="Arial"/>
                <w:sz w:val="12"/>
                <w:szCs w:val="12"/>
                <w:color w:val="auto"/>
              </w:rPr>
              <w:t>19,300,700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19,246,644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19,107,693</w:t>
            </w:r>
          </w:p>
        </w:tc>
        <w:tc>
          <w:tcPr>
            <w:tcW w:w="100" w:type="dxa"/>
            <w:vAlign w:val="bottom"/>
          </w:tcPr>
          <w:p>
            <w:pPr>
              <w:spacing w:after="0"/>
              <w:rPr>
                <w:sz w:val="12"/>
                <w:szCs w:val="12"/>
                <w:color w:val="auto"/>
              </w:rPr>
            </w:pPr>
          </w:p>
        </w:tc>
      </w:tr>
      <w:tr>
        <w:trPr>
          <w:trHeight w:val="149"/>
        </w:trPr>
        <w:tc>
          <w:tcPr>
            <w:tcW w:w="28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(7)</w:t>
            </w:r>
          </w:p>
        </w:tc>
        <w:tc>
          <w:tcPr>
            <w:tcW w:w="9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10/10/2025</w:t>
            </w: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4,699,300</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(46,993)</w:t>
            </w: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PT Network, LLC</w:t>
            </w:r>
          </w:p>
        </w:tc>
        <w:tc>
          <w:tcPr>
            <w:tcW w:w="980" w:type="dxa"/>
            <w:vAlign w:val="bottom"/>
          </w:tcPr>
          <w:p>
            <w:pPr>
              <w:ind w:left="200"/>
              <w:spacing w:after="0"/>
              <w:rPr>
                <w:sz w:val="20"/>
                <w:szCs w:val="20"/>
                <w:color w:val="auto"/>
              </w:rPr>
            </w:pPr>
            <w:r>
              <w:rPr>
                <w:rFonts w:ascii="Arial" w:cs="Arial" w:eastAsia="Arial" w:hAnsi="Arial"/>
                <w:sz w:val="12"/>
                <w:szCs w:val="12"/>
                <w:color w:val="auto"/>
              </w:rPr>
              <w:t>04/12/2023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12.34%</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L+1,000</w:t>
            </w:r>
          </w:p>
        </w:tc>
        <w:tc>
          <w:tcPr>
            <w:tcW w:w="660" w:type="dxa"/>
            <w:vAlign w:val="bottom"/>
          </w:tcPr>
          <w:p>
            <w:pPr>
              <w:jc w:val="right"/>
              <w:spacing w:after="0"/>
              <w:rPr>
                <w:sz w:val="20"/>
                <w:szCs w:val="20"/>
                <w:color w:val="auto"/>
              </w:rPr>
            </w:pPr>
            <w:r>
              <w:rPr>
                <w:rFonts w:ascii="Arial" w:cs="Arial" w:eastAsia="Arial" w:hAnsi="Arial"/>
                <w:sz w:val="12"/>
                <w:szCs w:val="12"/>
                <w:color w:val="auto"/>
              </w:rPr>
              <w:t>41,666,667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40,959,198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41,250,000</w:t>
            </w:r>
          </w:p>
        </w:tc>
        <w:tc>
          <w:tcPr>
            <w:tcW w:w="100" w:type="dxa"/>
            <w:vAlign w:val="bottom"/>
          </w:tcPr>
          <w:p>
            <w:pPr>
              <w:spacing w:after="0"/>
              <w:rPr>
                <w:sz w:val="12"/>
                <w:szCs w:val="12"/>
                <w:color w:val="auto"/>
              </w:rPr>
            </w:pPr>
          </w:p>
        </w:tc>
      </w:tr>
      <w:tr>
        <w:trPr>
          <w:trHeight w:val="148"/>
        </w:trPr>
        <w:tc>
          <w:tcPr>
            <w:tcW w:w="2880" w:type="dxa"/>
            <w:vAlign w:val="bottom"/>
            <w:shd w:val="clear" w:color="auto" w:fill="CFF0FC"/>
          </w:tcPr>
          <w:p>
            <w:pPr>
              <w:spacing w:after="0"/>
              <w:rPr>
                <w:sz w:val="20"/>
                <w:szCs w:val="20"/>
                <w:color w:val="auto"/>
              </w:rPr>
            </w:pPr>
            <w:r>
              <w:rPr>
                <w:rFonts w:ascii="Arial" w:cs="Arial" w:eastAsia="Arial" w:hAnsi="Arial"/>
                <w:sz w:val="12"/>
                <w:szCs w:val="12"/>
                <w:color w:val="auto"/>
              </w:rPr>
              <w:t>Shift4 Payments, LLC</w:t>
            </w:r>
          </w:p>
        </w:tc>
        <w:tc>
          <w:tcPr>
            <w:tcW w:w="9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11/28/2025</w:t>
            </w: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10.84%</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37,000,000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36,835,458</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36,768,750</w:t>
            </w:r>
          </w:p>
        </w:tc>
        <w:tc>
          <w:tcPr>
            <w:tcW w:w="100" w:type="dxa"/>
            <w:vAlign w:val="bottom"/>
            <w:shd w:val="clear" w:color="auto" w:fill="CFF0FC"/>
          </w:tcPr>
          <w:p>
            <w:pPr>
              <w:spacing w:after="0"/>
              <w:rPr>
                <w:sz w:val="12"/>
                <w:szCs w:val="12"/>
                <w:color w:val="auto"/>
              </w:rPr>
            </w:pPr>
          </w:p>
        </w:tc>
      </w:tr>
      <w:tr>
        <w:trPr>
          <w:trHeight w:val="149"/>
        </w:trPr>
        <w:tc>
          <w:tcPr>
            <w:tcW w:w="2880" w:type="dxa"/>
            <w:vAlign w:val="bottom"/>
          </w:tcPr>
          <w:p>
            <w:pPr>
              <w:spacing w:after="0"/>
              <w:rPr>
                <w:sz w:val="20"/>
                <w:szCs w:val="20"/>
                <w:color w:val="auto"/>
              </w:rPr>
            </w:pPr>
            <w:r>
              <w:rPr>
                <w:rFonts w:ascii="Arial" w:cs="Arial" w:eastAsia="Arial" w:hAnsi="Arial"/>
                <w:sz w:val="12"/>
                <w:szCs w:val="12"/>
                <w:color w:val="auto"/>
              </w:rPr>
              <w:t>VT Topco, Inc.</w:t>
            </w:r>
          </w:p>
        </w:tc>
        <w:tc>
          <w:tcPr>
            <w:tcW w:w="980" w:type="dxa"/>
            <w:vAlign w:val="bottom"/>
          </w:tcPr>
          <w:p>
            <w:pPr>
              <w:ind w:left="200"/>
              <w:spacing w:after="0"/>
              <w:rPr>
                <w:sz w:val="20"/>
                <w:szCs w:val="20"/>
                <w:color w:val="auto"/>
              </w:rPr>
            </w:pPr>
            <w:r>
              <w:rPr>
                <w:rFonts w:ascii="Arial" w:cs="Arial" w:eastAsia="Arial" w:hAnsi="Arial"/>
                <w:sz w:val="12"/>
                <w:szCs w:val="12"/>
                <w:color w:val="auto"/>
              </w:rPr>
              <w:t>08/24/2026</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9.34%</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tcPr>
          <w:p>
            <w:pPr>
              <w:jc w:val="right"/>
              <w:spacing w:after="0"/>
              <w:rPr>
                <w:sz w:val="20"/>
                <w:szCs w:val="20"/>
                <w:color w:val="auto"/>
              </w:rPr>
            </w:pPr>
            <w:r>
              <w:rPr>
                <w:rFonts w:ascii="Arial" w:cs="Arial" w:eastAsia="Arial" w:hAnsi="Arial"/>
                <w:sz w:val="12"/>
                <w:szCs w:val="12"/>
                <w:color w:val="auto"/>
              </w:rPr>
              <w:t>12,500,000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12,437,500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2"/>
                <w:szCs w:val="12"/>
                <w:color w:val="auto"/>
              </w:rPr>
            </w:pPr>
          </w:p>
        </w:tc>
      </w:tr>
      <w:tr>
        <w:trPr>
          <w:trHeight w:val="148"/>
        </w:trPr>
        <w:tc>
          <w:tcPr>
            <w:tcW w:w="2880" w:type="dxa"/>
            <w:vAlign w:val="bottom"/>
            <w:shd w:val="clear" w:color="auto" w:fill="CFF0FC"/>
          </w:tcPr>
          <w:p>
            <w:pPr>
              <w:spacing w:after="0"/>
              <w:rPr>
                <w:sz w:val="20"/>
                <w:szCs w:val="20"/>
                <w:color w:val="auto"/>
              </w:rPr>
            </w:pPr>
            <w:r>
              <w:rPr>
                <w:rFonts w:ascii="Arial" w:cs="Arial" w:eastAsia="Arial" w:hAnsi="Arial"/>
                <w:sz w:val="12"/>
                <w:szCs w:val="12"/>
                <w:color w:val="auto"/>
              </w:rPr>
              <w:t>Winter Park Intermediate, Inc.</w:t>
            </w:r>
          </w:p>
        </w:tc>
        <w:tc>
          <w:tcPr>
            <w:tcW w:w="9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04/03/2026</w:t>
            </w: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Auto Sector</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10.62%</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32,000,000</w:t>
            </w:r>
          </w:p>
        </w:tc>
        <w:tc>
          <w:tcPr>
            <w:tcW w:w="24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31,380,959</w:t>
            </w:r>
          </w:p>
        </w:tc>
        <w:tc>
          <w:tcPr>
            <w:tcW w:w="24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31,680,000</w:t>
            </w:r>
          </w:p>
        </w:tc>
        <w:tc>
          <w:tcPr>
            <w:tcW w:w="100" w:type="dxa"/>
            <w:vAlign w:val="bottom"/>
            <w:shd w:val="clear" w:color="auto" w:fill="CFF0FC"/>
          </w:tcPr>
          <w:p>
            <w:pPr>
              <w:spacing w:after="0"/>
              <w:rPr>
                <w:sz w:val="12"/>
                <w:szCs w:val="12"/>
                <w:color w:val="auto"/>
              </w:rPr>
            </w:pPr>
          </w:p>
        </w:tc>
      </w:tr>
      <w:tr>
        <w:trPr>
          <w:trHeight w:val="142"/>
        </w:trPr>
        <w:tc>
          <w:tcPr>
            <w:tcW w:w="288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385,201,277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391,038,029</w:t>
            </w:r>
          </w:p>
        </w:tc>
        <w:tc>
          <w:tcPr>
            <w:tcW w:w="100" w:type="dxa"/>
            <w:vAlign w:val="bottom"/>
          </w:tcPr>
          <w:p>
            <w:pPr>
              <w:spacing w:after="0"/>
              <w:rPr>
                <w:sz w:val="12"/>
                <w:szCs w:val="12"/>
                <w:color w:val="auto"/>
              </w:rPr>
            </w:pPr>
          </w:p>
        </w:tc>
      </w:tr>
      <w:tr>
        <w:trPr>
          <w:trHeight w:val="142"/>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Subordinated Debt/Corporate Notes—7.7%</w:t>
            </w:r>
          </w:p>
        </w:tc>
        <w:tc>
          <w:tcPr>
            <w:tcW w:w="980" w:type="dxa"/>
            <w:vAlign w:val="bottom"/>
            <w:tcBorders>
              <w:top w:val="single" w:sz="8" w:color="CFF0FC"/>
            </w:tcBorders>
            <w:shd w:val="clear" w:color="auto" w:fill="CFF0FC"/>
          </w:tcPr>
          <w:p>
            <w:pPr>
              <w:spacing w:after="0"/>
              <w:rPr>
                <w:sz w:val="12"/>
                <w:szCs w:val="12"/>
                <w:color w:val="auto"/>
              </w:rPr>
            </w:pPr>
          </w:p>
        </w:tc>
        <w:tc>
          <w:tcPr>
            <w:tcW w:w="26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Blackhawk Industrial Distribution, Inc.</w:t>
            </w:r>
          </w:p>
        </w:tc>
        <w:tc>
          <w:tcPr>
            <w:tcW w:w="980" w:type="dxa"/>
            <w:vAlign w:val="bottom"/>
          </w:tcPr>
          <w:p>
            <w:pPr>
              <w:ind w:left="200"/>
              <w:spacing w:after="0"/>
              <w:rPr>
                <w:sz w:val="20"/>
                <w:szCs w:val="20"/>
                <w:color w:val="auto"/>
              </w:rPr>
            </w:pPr>
            <w:r>
              <w:rPr>
                <w:rFonts w:ascii="Arial" w:cs="Arial" w:eastAsia="Arial" w:hAnsi="Arial"/>
                <w:sz w:val="12"/>
                <w:szCs w:val="12"/>
                <w:color w:val="auto"/>
              </w:rPr>
              <w:t>03/17/2025</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12.00%</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13,230,411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13,230,000</w:t>
            </w:r>
          </w:p>
        </w:tc>
        <w:tc>
          <w:tcPr>
            <w:tcW w:w="100" w:type="dxa"/>
            <w:vAlign w:val="bottom"/>
          </w:tcPr>
          <w:p>
            <w:pPr>
              <w:spacing w:after="0"/>
              <w:rPr>
                <w:sz w:val="12"/>
                <w:szCs w:val="12"/>
                <w:color w:val="auto"/>
              </w:rPr>
            </w:pPr>
          </w:p>
        </w:tc>
      </w:tr>
      <w:tr>
        <w:trPr>
          <w:trHeight w:val="148"/>
        </w:trPr>
        <w:tc>
          <w:tcPr>
            <w:tcW w:w="28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2.00%)</w:t>
            </w: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2880" w:type="dxa"/>
            <w:vAlign w:val="bottom"/>
          </w:tcPr>
          <w:p>
            <w:pPr>
              <w:spacing w:after="0"/>
              <w:rPr>
                <w:sz w:val="20"/>
                <w:szCs w:val="20"/>
                <w:color w:val="auto"/>
              </w:rPr>
            </w:pPr>
            <w:r>
              <w:rPr>
                <w:rFonts w:ascii="Arial" w:cs="Arial" w:eastAsia="Arial" w:hAnsi="Arial"/>
                <w:sz w:val="12"/>
                <w:szCs w:val="12"/>
                <w:color w:val="auto"/>
              </w:rPr>
              <w:t>Cascade Environmental LLC</w:t>
            </w:r>
          </w:p>
        </w:tc>
        <w:tc>
          <w:tcPr>
            <w:tcW w:w="980" w:type="dxa"/>
            <w:vAlign w:val="bottom"/>
          </w:tcPr>
          <w:p>
            <w:pPr>
              <w:ind w:left="200"/>
              <w:spacing w:after="0"/>
              <w:rPr>
                <w:sz w:val="20"/>
                <w:szCs w:val="20"/>
                <w:color w:val="auto"/>
              </w:rPr>
            </w:pPr>
            <w:r>
              <w:rPr>
                <w:rFonts w:ascii="Arial" w:cs="Arial" w:eastAsia="Arial" w:hAnsi="Arial"/>
                <w:sz w:val="12"/>
                <w:szCs w:val="12"/>
                <w:color w:val="auto"/>
              </w:rPr>
              <w:t>08/20/2021</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35,792,396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35,386,702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34,897,586</w:t>
            </w:r>
          </w:p>
        </w:tc>
        <w:tc>
          <w:tcPr>
            <w:tcW w:w="100" w:type="dxa"/>
            <w:vAlign w:val="bottom"/>
          </w:tcPr>
          <w:p>
            <w:pPr>
              <w:spacing w:after="0"/>
              <w:rPr>
                <w:sz w:val="12"/>
                <w:szCs w:val="12"/>
                <w:color w:val="auto"/>
              </w:rPr>
            </w:pPr>
          </w:p>
        </w:tc>
      </w:tr>
      <w:tr>
        <w:trPr>
          <w:trHeight w:val="148"/>
        </w:trPr>
        <w:tc>
          <w:tcPr>
            <w:tcW w:w="28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(PIK 13.00%)</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48,617,113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48,127,586</w:t>
            </w:r>
          </w:p>
        </w:tc>
        <w:tc>
          <w:tcPr>
            <w:tcW w:w="100" w:type="dxa"/>
            <w:vAlign w:val="bottom"/>
          </w:tcPr>
          <w:p>
            <w:pPr>
              <w:spacing w:after="0"/>
              <w:rPr>
                <w:sz w:val="12"/>
                <w:szCs w:val="12"/>
                <w:color w:val="auto"/>
              </w:rPr>
            </w:pPr>
          </w:p>
        </w:tc>
      </w:tr>
      <w:tr>
        <w:trPr>
          <w:trHeight w:val="142"/>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9"/>
                <w:szCs w:val="9"/>
                <w:b w:val="1"/>
                <w:bCs w:val="1"/>
                <w:color w:val="auto"/>
              </w:rPr>
              <w:t>(6)</w:t>
            </w:r>
          </w:p>
        </w:tc>
        <w:tc>
          <w:tcPr>
            <w:tcW w:w="980" w:type="dxa"/>
            <w:vAlign w:val="bottom"/>
            <w:tcBorders>
              <w:top w:val="single" w:sz="8" w:color="CFF0FC"/>
            </w:tcBorders>
            <w:shd w:val="clear" w:color="auto" w:fill="CFF0FC"/>
          </w:tcPr>
          <w:p>
            <w:pPr>
              <w:spacing w:after="0"/>
              <w:rPr>
                <w:sz w:val="12"/>
                <w:szCs w:val="12"/>
                <w:color w:val="auto"/>
              </w:rPr>
            </w:pPr>
          </w:p>
        </w:tc>
        <w:tc>
          <w:tcPr>
            <w:tcW w:w="26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2"/>
                <w:szCs w:val="12"/>
                <w:color w:val="auto"/>
              </w:rPr>
              <w:t>AH Holdings, Inc.</w:t>
            </w:r>
          </w:p>
        </w:tc>
        <w:tc>
          <w:tcPr>
            <w:tcW w:w="980" w:type="dxa"/>
            <w:vAlign w:val="bottom"/>
          </w:tcPr>
          <w:p>
            <w:pPr>
              <w:ind w:left="460"/>
              <w:spacing w:after="0"/>
              <w:rPr>
                <w:sz w:val="20"/>
                <w:szCs w:val="20"/>
                <w:color w:val="auto"/>
              </w:rPr>
            </w:pPr>
            <w:r>
              <w:rPr>
                <w:rFonts w:ascii="Arial" w:cs="Arial" w:eastAsia="Arial" w:hAnsi="Arial"/>
                <w:sz w:val="12"/>
                <w:szCs w:val="12"/>
                <w:color w:val="auto"/>
              </w:rPr>
              <w:t>—</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6.00%</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211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396,898</w:t>
            </w:r>
          </w:p>
        </w:tc>
        <w:tc>
          <w:tcPr>
            <w:tcW w:w="100" w:type="dxa"/>
            <w:vAlign w:val="bottom"/>
          </w:tcPr>
          <w:p>
            <w:pPr>
              <w:spacing w:after="0"/>
              <w:rPr>
                <w:sz w:val="12"/>
                <w:szCs w:val="12"/>
                <w:color w:val="auto"/>
              </w:rPr>
            </w:pPr>
          </w:p>
        </w:tc>
      </w:tr>
      <w:tr>
        <w:trPr>
          <w:trHeight w:val="148"/>
        </w:trPr>
        <w:tc>
          <w:tcPr>
            <w:tcW w:w="2880" w:type="dxa"/>
            <w:vAlign w:val="bottom"/>
            <w:shd w:val="clear" w:color="auto" w:fill="CFF0FC"/>
          </w:tcPr>
          <w:p>
            <w:pPr>
              <w:spacing w:after="0"/>
              <w:rPr>
                <w:sz w:val="20"/>
                <w:szCs w:val="20"/>
                <w:color w:val="auto"/>
              </w:rPr>
            </w:pPr>
            <w:r>
              <w:rPr>
                <w:rFonts w:ascii="Arial" w:cs="Arial" w:eastAsia="Arial" w:hAnsi="Arial"/>
                <w:sz w:val="12"/>
                <w:szCs w:val="12"/>
                <w:color w:val="auto"/>
              </w:rPr>
              <w:t>CI (PTN) Investment Holdings II, LLC</w:t>
            </w:r>
          </w:p>
        </w:tc>
        <w:tc>
          <w:tcPr>
            <w:tcW w:w="980" w:type="dxa"/>
            <w:vAlign w:val="bottom"/>
            <w:shd w:val="clear" w:color="auto" w:fill="CFF0FC"/>
          </w:tcPr>
          <w:p>
            <w:pPr>
              <w:ind w:left="460"/>
              <w:spacing w:after="0"/>
              <w:rPr>
                <w:sz w:val="20"/>
                <w:szCs w:val="20"/>
                <w:color w:val="auto"/>
              </w:rPr>
            </w:pPr>
            <w:r>
              <w:rPr>
                <w:rFonts w:ascii="Arial" w:cs="Arial" w:eastAsia="Arial" w:hAnsi="Arial"/>
                <w:sz w:val="12"/>
                <w:szCs w:val="12"/>
                <w:color w:val="auto"/>
              </w:rPr>
              <w:t>—</w:t>
            </w: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36,450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546,750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565,339</w:t>
            </w:r>
          </w:p>
        </w:tc>
        <w:tc>
          <w:tcPr>
            <w:tcW w:w="100" w:type="dxa"/>
            <w:vAlign w:val="bottom"/>
            <w:shd w:val="clear" w:color="auto" w:fill="CFF0FC"/>
          </w:tcPr>
          <w:p>
            <w:pPr>
              <w:spacing w:after="0"/>
              <w:rPr>
                <w:sz w:val="12"/>
                <w:szCs w:val="12"/>
                <w:color w:val="auto"/>
              </w:rPr>
            </w:pPr>
          </w:p>
        </w:tc>
      </w:tr>
      <w:tr>
        <w:trPr>
          <w:trHeight w:val="149"/>
        </w:trPr>
        <w:tc>
          <w:tcPr>
            <w:tcW w:w="288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(9)</w:t>
            </w:r>
          </w:p>
        </w:tc>
        <w:tc>
          <w:tcPr>
            <w:tcW w:w="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980" w:type="dxa"/>
            <w:vAlign w:val="bottom"/>
            <w:shd w:val="clear" w:color="auto" w:fill="CFF0FC"/>
          </w:tcPr>
          <w:p>
            <w:pPr>
              <w:ind w:left="460"/>
              <w:spacing w:after="0"/>
              <w:rPr>
                <w:sz w:val="20"/>
                <w:szCs w:val="20"/>
                <w:color w:val="auto"/>
              </w:rPr>
            </w:pPr>
            <w:r>
              <w:rPr>
                <w:rFonts w:ascii="Arial" w:cs="Arial" w:eastAsia="Arial" w:hAnsi="Arial"/>
                <w:sz w:val="12"/>
                <w:szCs w:val="12"/>
                <w:color w:val="auto"/>
              </w:rPr>
              <w:t>—</w:t>
            </w: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64,277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64,277</w:t>
            </w:r>
          </w:p>
        </w:tc>
        <w:tc>
          <w:tcPr>
            <w:tcW w:w="100" w:type="dxa"/>
            <w:vAlign w:val="bottom"/>
            <w:shd w:val="clear" w:color="auto" w:fill="CFF0FC"/>
          </w:tcPr>
          <w:p>
            <w:pPr>
              <w:spacing w:after="0"/>
              <w:rPr>
                <w:sz w:val="12"/>
                <w:szCs w:val="12"/>
                <w:color w:val="auto"/>
              </w:rPr>
            </w:pPr>
          </w:p>
        </w:tc>
      </w:tr>
      <w:tr>
        <w:trPr>
          <w:trHeight w:val="149"/>
        </w:trPr>
        <w:tc>
          <w:tcPr>
            <w:tcW w:w="2880" w:type="dxa"/>
            <w:vAlign w:val="bottom"/>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980" w:type="dxa"/>
            <w:vAlign w:val="bottom"/>
          </w:tcPr>
          <w:p>
            <w:pPr>
              <w:ind w:left="460"/>
              <w:spacing w:after="0"/>
              <w:rPr>
                <w:sz w:val="20"/>
                <w:szCs w:val="20"/>
                <w:color w:val="auto"/>
              </w:rPr>
            </w:pPr>
            <w:r>
              <w:rPr>
                <w:rFonts w:ascii="Arial" w:cs="Arial" w:eastAsia="Arial" w:hAnsi="Arial"/>
                <w:sz w:val="12"/>
                <w:szCs w:val="12"/>
                <w:color w:val="auto"/>
              </w:rPr>
              <w:t>—</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491,723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491,723</w:t>
            </w:r>
          </w:p>
        </w:tc>
        <w:tc>
          <w:tcPr>
            <w:tcW w:w="100" w:type="dxa"/>
            <w:vAlign w:val="bottom"/>
          </w:tcPr>
          <w:p>
            <w:pPr>
              <w:spacing w:after="0"/>
              <w:rPr>
                <w:sz w:val="12"/>
                <w:szCs w:val="12"/>
                <w:color w:val="auto"/>
              </w:rPr>
            </w:pPr>
          </w:p>
        </w:tc>
      </w:tr>
      <w:tr>
        <w:trPr>
          <w:trHeight w:val="149"/>
        </w:trPr>
        <w:tc>
          <w:tcPr>
            <w:tcW w:w="2880" w:type="dxa"/>
            <w:vAlign w:val="bottom"/>
            <w:shd w:val="clear" w:color="auto" w:fill="CFF0FC"/>
          </w:tcPr>
          <w:p>
            <w:pPr>
              <w:spacing w:after="0"/>
              <w:rPr>
                <w:sz w:val="20"/>
                <w:szCs w:val="20"/>
                <w:color w:val="auto"/>
              </w:rPr>
            </w:pPr>
            <w:r>
              <w:rPr>
                <w:rFonts w:ascii="Arial" w:cs="Arial" w:eastAsia="Arial" w:hAnsi="Arial"/>
                <w:sz w:val="12"/>
                <w:szCs w:val="12"/>
                <w:color w:val="auto"/>
              </w:rPr>
              <w:t>HW Holdco, LLC</w:t>
            </w:r>
          </w:p>
        </w:tc>
        <w:tc>
          <w:tcPr>
            <w:tcW w:w="980" w:type="dxa"/>
            <w:vAlign w:val="bottom"/>
            <w:shd w:val="clear" w:color="auto" w:fill="CFF0FC"/>
          </w:tcPr>
          <w:p>
            <w:pPr>
              <w:ind w:left="460"/>
              <w:spacing w:after="0"/>
              <w:rPr>
                <w:sz w:val="20"/>
                <w:szCs w:val="20"/>
                <w:color w:val="auto"/>
              </w:rPr>
            </w:pPr>
            <w:r>
              <w:rPr>
                <w:rFonts w:ascii="Arial" w:cs="Arial" w:eastAsia="Arial" w:hAnsi="Arial"/>
                <w:sz w:val="12"/>
                <w:szCs w:val="12"/>
                <w:color w:val="auto"/>
              </w:rPr>
              <w:t>—</w:t>
            </w: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8.00%</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3,591</w:t>
            </w:r>
          </w:p>
        </w:tc>
        <w:tc>
          <w:tcPr>
            <w:tcW w:w="24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25,771</w:t>
            </w:r>
          </w:p>
        </w:tc>
        <w:tc>
          <w:tcPr>
            <w:tcW w:w="100" w:type="dxa"/>
            <w:vAlign w:val="bottom"/>
            <w:shd w:val="clear" w:color="auto" w:fill="CFF0FC"/>
          </w:tcPr>
          <w:p>
            <w:pPr>
              <w:spacing w:after="0"/>
              <w:rPr>
                <w:sz w:val="12"/>
                <w:szCs w:val="12"/>
                <w:color w:val="auto"/>
              </w:rPr>
            </w:pPr>
          </w:p>
        </w:tc>
      </w:tr>
      <w:tr>
        <w:trPr>
          <w:trHeight w:val="142"/>
        </w:trPr>
        <w:tc>
          <w:tcPr>
            <w:tcW w:w="2880" w:type="dxa"/>
            <w:vAlign w:val="bottom"/>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1,602,750</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1,544,008</w:t>
            </w:r>
          </w:p>
        </w:tc>
        <w:tc>
          <w:tcPr>
            <w:tcW w:w="100" w:type="dxa"/>
            <w:vAlign w:val="bottom"/>
          </w:tcPr>
          <w:p>
            <w:pPr>
              <w:spacing w:after="0"/>
              <w:rPr>
                <w:sz w:val="12"/>
                <w:szCs w:val="1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2"/>
              </w:rPr>
              <w:t>Basis Point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3"/>
              </w:rPr>
              <w:t>Spread</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Maturity /</w:t>
            </w: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Expiration</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3"/>
              </w:rPr>
              <w:t xml:space="preserve">Common Equity/Partnership Interests/Warrants—7.0% </w:t>
            </w:r>
            <w:r>
              <w:rPr>
                <w:rFonts w:ascii="Arial" w:cs="Arial" w:eastAsia="Arial" w:hAnsi="Arial"/>
                <w:sz w:val="9"/>
                <w:szCs w:val="9"/>
                <w:b w:val="1"/>
                <w:bCs w:val="1"/>
                <w:color w:val="auto"/>
                <w:w w:val="93"/>
              </w:rPr>
              <w:t>(6)</w:t>
            </w:r>
          </w:p>
        </w:tc>
        <w:tc>
          <w:tcPr>
            <w:tcW w:w="960" w:type="dxa"/>
            <w:vAlign w:val="bottom"/>
            <w:tcBorders>
              <w:top w:val="single" w:sz="8" w:color="auto"/>
            </w:tcBorders>
            <w:shd w:val="clear" w:color="auto" w:fill="CCECFF"/>
          </w:tcPr>
          <w:p>
            <w:pPr>
              <w:spacing w:after="0"/>
              <w:rPr>
                <w:sz w:val="12"/>
                <w:szCs w:val="12"/>
                <w:color w:val="auto"/>
              </w:rPr>
            </w:pPr>
          </w:p>
        </w:tc>
        <w:tc>
          <w:tcPr>
            <w:tcW w:w="24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60" w:type="dxa"/>
            <w:vAlign w:val="bottom"/>
          </w:tcPr>
          <w:p>
            <w:pPr>
              <w:ind w:left="20"/>
              <w:spacing w:after="0"/>
              <w:rPr>
                <w:sz w:val="20"/>
                <w:szCs w:val="20"/>
                <w:color w:val="auto"/>
              </w:rPr>
            </w:pPr>
            <w:r>
              <w:rPr>
                <w:rFonts w:ascii="Arial" w:cs="Arial" w:eastAsia="Arial" w:hAnsi="Arial"/>
                <w:sz w:val="12"/>
                <w:szCs w:val="12"/>
                <w:color w:val="auto"/>
              </w:rPr>
              <w:t>03/23/2021</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753</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ASP LCG Holdings, Inc. (Warrants)</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05/05/2026</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6"/>
              </w:rPr>
              <w:t>Education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1,651,653</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Autumn Games,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Broadcasting and Entertainment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Cardinal Logistics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9"/>
              </w:rPr>
              <w:t>Cargo Transport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(13)</w:t>
            </w: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2,776,777</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(9)</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33,901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2,852,080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1,186,539</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CI (Allied) Investment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957,866</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(9)</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333,333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tcPr>
          <w:p>
            <w:pPr>
              <w:spacing w:after="0"/>
              <w:rPr>
                <w:sz w:val="13"/>
                <w:szCs w:val="13"/>
                <w:color w:val="auto"/>
              </w:rPr>
            </w:pPr>
          </w:p>
        </w:tc>
      </w:tr>
      <w:tr>
        <w:trPr>
          <w:trHeight w:val="141"/>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(9)</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1,245,827</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(SFP Holdings, Inc.)</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Cowboy Parent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2,250,000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2,250,000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2,250,000</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(Blackhawk Industrial Distribution, Inc.)</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4,165,759</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1,049,378</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1,147,011</w:t>
            </w: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Green Veracity Holdings, LP - Class A</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1,500,000</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(VT Topco, Inc.)</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388,378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2,787,265</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Infogroup Parent Holdings,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2,167,874</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204,985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2,049,849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3,654,472</w:t>
            </w: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JWC-WE Holdings, L.P.</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Home and Office Furnishings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1,906,433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1,906,433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1,906,433</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(Walker Edison Furniture Company LLC)</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841,727</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522,889</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1,148,703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1,158,703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672,195</w:t>
            </w: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1,500,000</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Class A (US Dominion, Inc.)</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SSC Dominion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Class B (US Dominion, Inc.)</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WBB Equity,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628,571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628,571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1,181,714</w:t>
            </w:r>
          </w:p>
        </w:tc>
        <w:tc>
          <w:tcPr>
            <w:tcW w:w="100" w:type="dxa"/>
            <w:vAlign w:val="bottom"/>
          </w:tcPr>
          <w:p>
            <w:pPr>
              <w:spacing w:after="0"/>
              <w:rPr>
                <w:sz w:val="13"/>
                <w:szCs w:val="13"/>
                <w:color w:val="auto"/>
              </w:rPr>
            </w:pPr>
          </w:p>
        </w:tc>
      </w:tr>
      <w:tr>
        <w:trPr>
          <w:trHeight w:val="141"/>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(Whitney, Bradley &amp; Brown, Inc.) </w:t>
            </w:r>
            <w:r>
              <w:rPr>
                <w:rFonts w:ascii="Arial" w:cs="Arial" w:eastAsia="Arial" w:hAnsi="Arial"/>
                <w:sz w:val="9"/>
                <w:szCs w:val="9"/>
                <w:color w:val="auto"/>
              </w:rPr>
              <w:t>(9)</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Wheel Pros Holdings, L.P.</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Auto Sector</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4,513,118</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(Winter Park Intermediate, Inc.)</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ZS Juniper L.P.</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856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855,515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1,035,599</w:t>
            </w:r>
          </w:p>
        </w:tc>
        <w:tc>
          <w:tcPr>
            <w:tcW w:w="100" w:type="dxa"/>
            <w:vAlign w:val="bottom"/>
          </w:tcPr>
          <w:p>
            <w:pPr>
              <w:spacing w:after="0"/>
              <w:rPr>
                <w:sz w:val="13"/>
                <w:szCs w:val="13"/>
                <w:color w:val="auto"/>
              </w:rPr>
            </w:pPr>
          </w:p>
        </w:tc>
      </w:tr>
      <w:tr>
        <w:trPr>
          <w:trHeight w:val="141"/>
        </w:trPr>
        <w:tc>
          <w:tcPr>
            <w:tcW w:w="3040" w:type="dxa"/>
            <w:vAlign w:val="bottom"/>
            <w:tcBorders>
              <w:bottom w:val="single" w:sz="8" w:color="CCECFF"/>
            </w:tcBorders>
          </w:tcPr>
          <w:p>
            <w:pPr>
              <w:ind w:left="14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(9)</w:t>
            </w:r>
          </w:p>
        </w:tc>
        <w:tc>
          <w:tcPr>
            <w:tcW w:w="960" w:type="dxa"/>
            <w:vAlign w:val="bottom"/>
            <w:tcBorders>
              <w:bottom w:val="single" w:sz="8" w:color="CCECFF"/>
            </w:tcBorders>
          </w:tcPr>
          <w:p>
            <w:pPr>
              <w:spacing w:after="0"/>
              <w:rPr>
                <w:sz w:val="12"/>
                <w:szCs w:val="12"/>
                <w:color w:val="auto"/>
              </w:rPr>
            </w:pP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9"/>
              </w:rPr>
              <w:t>Total Common Equity/Partnership Interests/Warrants</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43,004,366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43,714,096</w:t>
            </w:r>
          </w:p>
        </w:tc>
        <w:tc>
          <w:tcPr>
            <w:tcW w:w="100" w:type="dxa"/>
            <w:vAlign w:val="bottom"/>
            <w:shd w:val="clear" w:color="auto" w:fill="CCECFF"/>
          </w:tcPr>
          <w:p>
            <w:pPr>
              <w:spacing w:after="0"/>
              <w:rPr>
                <w:sz w:val="12"/>
                <w:szCs w:val="12"/>
                <w:color w:val="auto"/>
              </w:rPr>
            </w:pPr>
          </w:p>
        </w:tc>
      </w:tr>
      <w:tr>
        <w:trPr>
          <w:trHeight w:val="142"/>
        </w:trPr>
        <w:tc>
          <w:tcPr>
            <w:tcW w:w="40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896,720,950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905,271,258</w:t>
            </w:r>
          </w:p>
        </w:tc>
        <w:tc>
          <w:tcPr>
            <w:tcW w:w="100" w:type="dxa"/>
            <w:vAlign w:val="bottom"/>
            <w:tcBorders>
              <w:bottom w:val="single" w:sz="8" w:color="CCECFF"/>
            </w:tcBorders>
          </w:tcPr>
          <w:p>
            <w:pPr>
              <w:spacing w:after="0"/>
              <w:rPr>
                <w:sz w:val="12"/>
                <w:szCs w:val="12"/>
                <w:color w:val="auto"/>
              </w:rPr>
            </w:pPr>
          </w:p>
        </w:tc>
      </w:tr>
      <w:tr>
        <w:trPr>
          <w:trHeight w:val="142"/>
        </w:trPr>
        <w:tc>
          <w:tcPr>
            <w:tcW w:w="400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 xml:space="preserve">Investments in Non-Controlled, Affiliated Portfolio Companies—12.4% </w:t>
            </w:r>
            <w:r>
              <w:rPr>
                <w:rFonts w:ascii="Arial" w:cs="Arial" w:eastAsia="Arial" w:hAnsi="Arial"/>
                <w:sz w:val="9"/>
                <w:szCs w:val="9"/>
                <w:b w:val="1"/>
                <w:bCs w:val="1"/>
                <w:color w:val="auto"/>
                <w:w w:val="92"/>
              </w:rPr>
              <w:t>(1), (2)</w:t>
            </w: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b w:val="1"/>
                <w:bCs w:val="1"/>
                <w:color w:val="auto"/>
              </w:rPr>
              <w:t>First Lien Secured Debt—1.9%</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U.S. Well Services, LLC</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02/02/2022</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13.08%</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L+1,100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10,160,537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10,098,625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10,160,537</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13.08%)</w:t>
            </w: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U.S. Well Services, LLC (Revolver)</w:t>
            </w:r>
          </w:p>
        </w:tc>
        <w:tc>
          <w:tcPr>
            <w:tcW w:w="960" w:type="dxa"/>
            <w:vAlign w:val="bottom"/>
          </w:tcPr>
          <w:p>
            <w:pPr>
              <w:ind w:left="20"/>
              <w:spacing w:after="0"/>
              <w:rPr>
                <w:sz w:val="20"/>
                <w:szCs w:val="20"/>
                <w:color w:val="auto"/>
              </w:rPr>
            </w:pPr>
            <w:r>
              <w:rPr>
                <w:rFonts w:ascii="Arial" w:cs="Arial" w:eastAsia="Arial" w:hAnsi="Arial"/>
                <w:sz w:val="12"/>
                <w:szCs w:val="12"/>
                <w:color w:val="auto"/>
              </w:rPr>
              <w:t>02/02/2022</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8.08%</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tcPr>
          <w:p>
            <w:pPr>
              <w:jc w:val="right"/>
              <w:spacing w:after="0"/>
              <w:rPr>
                <w:sz w:val="20"/>
                <w:szCs w:val="20"/>
                <w:color w:val="auto"/>
              </w:rPr>
            </w:pPr>
            <w:r>
              <w:rPr>
                <w:rFonts w:ascii="Arial" w:cs="Arial" w:eastAsia="Arial" w:hAnsi="Arial"/>
                <w:sz w:val="12"/>
                <w:szCs w:val="12"/>
                <w:color w:val="auto"/>
              </w:rPr>
              <w:t>1,680,528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1,680,528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1,680,528</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(7)</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02/02/2022</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511,893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tcBorders>
              <w:bottom w:val="single" w:sz="8" w:color="CCECFF"/>
            </w:tcBorders>
          </w:tcPr>
          <w:p>
            <w:pPr>
              <w:spacing w:after="0"/>
              <w:rPr>
                <w:sz w:val="12"/>
                <w:szCs w:val="12"/>
                <w:color w:val="auto"/>
              </w:rPr>
            </w:pP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11,779,153</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11,841,065</w:t>
            </w:r>
          </w:p>
        </w:tc>
        <w:tc>
          <w:tcPr>
            <w:tcW w:w="10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Interests/Warrants—10.5% </w:t>
            </w:r>
            <w:r>
              <w:rPr>
                <w:rFonts w:ascii="Arial" w:cs="Arial" w:eastAsia="Arial" w:hAnsi="Arial"/>
                <w:sz w:val="9"/>
                <w:szCs w:val="9"/>
                <w:b w:val="1"/>
                <w:bCs w:val="1"/>
                <w:color w:val="auto"/>
                <w:w w:val="91"/>
              </w:rPr>
              <w:t>(6)</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859,496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18,137,081</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37,181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10,265,973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29,841</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Big Run,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143,668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674,943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397,025</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1,658,389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29,711,576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33,040,294</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ETX Energy Management Company,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1,754,104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1,562,020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1,761,079</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USWS Holdings, LLC - Class A and Class B </w:t>
            </w:r>
            <w:r>
              <w:rPr>
                <w:rFonts w:ascii="Arial" w:cs="Arial" w:eastAsia="Arial" w:hAnsi="Arial"/>
                <w:sz w:val="9"/>
                <w:szCs w:val="9"/>
                <w:color w:val="auto"/>
              </w:rPr>
              <w:t>(9)</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8,190,817</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7,023,750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12,871,946</w:t>
            </w:r>
          </w:p>
        </w:tc>
        <w:tc>
          <w:tcPr>
            <w:tcW w:w="100" w:type="dxa"/>
            <w:vAlign w:val="bottom"/>
            <w:shd w:val="clear" w:color="auto" w:fill="CCECFF"/>
          </w:tcPr>
          <w:p>
            <w:pPr>
              <w:spacing w:after="0"/>
              <w:rPr>
                <w:sz w:val="12"/>
                <w:szCs w:val="12"/>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w w:val="99"/>
              </w:rPr>
              <w:t>Total Common Equity/Partnership Interests/Warrants</w:t>
            </w:r>
          </w:p>
        </w:tc>
        <w:tc>
          <w:tcPr>
            <w:tcW w:w="960" w:type="dxa"/>
            <w:vAlign w:val="bottom"/>
            <w:tcBorders>
              <w:bottom w:val="single" w:sz="8" w:color="CCECFF"/>
            </w:tcBorders>
          </w:tcPr>
          <w:p>
            <w:pPr>
              <w:spacing w:after="0"/>
              <w:rPr>
                <w:sz w:val="12"/>
                <w:szCs w:val="12"/>
                <w:color w:val="auto"/>
              </w:rPr>
            </w:pP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79,741,755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66,237,266</w:t>
            </w:r>
          </w:p>
        </w:tc>
        <w:tc>
          <w:tcPr>
            <w:tcW w:w="100" w:type="dxa"/>
            <w:vAlign w:val="bottom"/>
            <w:tcBorders>
              <w:bottom w:val="single" w:sz="8" w:color="CCECFF"/>
            </w:tcBorders>
          </w:tcPr>
          <w:p>
            <w:pPr>
              <w:spacing w:after="0"/>
              <w:rPr>
                <w:sz w:val="12"/>
                <w:szCs w:val="12"/>
                <w:color w:val="auto"/>
              </w:rPr>
            </w:pPr>
          </w:p>
        </w:tc>
      </w:tr>
      <w:tr>
        <w:trPr>
          <w:trHeight w:val="142"/>
        </w:trPr>
        <w:tc>
          <w:tcPr>
            <w:tcW w:w="400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91,520,908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78,078,331</w:t>
            </w:r>
          </w:p>
        </w:tc>
        <w:tc>
          <w:tcPr>
            <w:tcW w:w="100" w:type="dxa"/>
            <w:vAlign w:val="bottom"/>
            <w:shd w:val="clear" w:color="auto" w:fill="CCECFF"/>
          </w:tcPr>
          <w:p>
            <w:pPr>
              <w:spacing w:after="0"/>
              <w:rPr>
                <w:sz w:val="12"/>
                <w:szCs w:val="12"/>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Basis Point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3"/>
              </w:rPr>
              <w:t>Spread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80" w:type="dxa"/>
            <w:vAlign w:val="bottom"/>
          </w:tcPr>
          <w:p>
            <w:pPr>
              <w:spacing w:after="0"/>
              <w:rPr>
                <w:sz w:val="11"/>
                <w:szCs w:val="11"/>
                <w:color w:val="auto"/>
              </w:rPr>
            </w:pPr>
          </w:p>
        </w:tc>
        <w:tc>
          <w:tcPr>
            <w:tcW w:w="118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Maturity /</w:t>
            </w: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10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78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ind w:left="280"/>
              <w:spacing w:after="0"/>
              <w:rPr>
                <w:sz w:val="20"/>
                <w:szCs w:val="20"/>
                <w:color w:val="auto"/>
              </w:rPr>
            </w:pPr>
            <w:r>
              <w:rPr>
                <w:rFonts w:ascii="Arial" w:cs="Arial" w:eastAsia="Arial" w:hAnsi="Arial"/>
                <w:sz w:val="12"/>
                <w:szCs w:val="12"/>
                <w:b w:val="1"/>
                <w:bCs w:val="1"/>
                <w:color w:val="auto"/>
              </w:rPr>
              <w:t>Expiration</w:t>
            </w:r>
          </w:p>
        </w:tc>
        <w:tc>
          <w:tcPr>
            <w:tcW w:w="25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10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r>
      <w:tr>
        <w:trPr>
          <w:trHeight w:val="142"/>
        </w:trPr>
        <w:tc>
          <w:tcPr>
            <w:tcW w:w="39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7"/>
              </w:rPr>
              <w:t xml:space="preserve">Investments in Controlled, Affiliated Portfolio Companies—23.6% </w:t>
            </w:r>
            <w:r>
              <w:rPr>
                <w:rFonts w:ascii="Arial" w:cs="Arial" w:eastAsia="Arial" w:hAnsi="Arial"/>
                <w:sz w:val="9"/>
                <w:szCs w:val="9"/>
                <w:b w:val="1"/>
                <w:bCs w:val="1"/>
                <w:color w:val="auto"/>
                <w:w w:val="97"/>
              </w:rPr>
              <w:t>(1), (2)</w:t>
            </w:r>
          </w:p>
        </w:tc>
        <w:tc>
          <w:tcPr>
            <w:tcW w:w="246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2"/>
                <w:szCs w:val="12"/>
                <w:b w:val="1"/>
                <w:bCs w:val="1"/>
                <w:color w:val="auto"/>
              </w:rPr>
              <w:t>First Lien Secured Debt—15.7%</w:t>
            </w: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7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180" w:type="dxa"/>
            <w:vAlign w:val="bottom"/>
            <w:shd w:val="clear" w:color="auto" w:fill="CCECFF"/>
          </w:tcPr>
          <w:p>
            <w:pPr>
              <w:ind w:left="280"/>
              <w:spacing w:after="0"/>
              <w:rPr>
                <w:sz w:val="20"/>
                <w:szCs w:val="20"/>
                <w:color w:val="auto"/>
              </w:rPr>
            </w:pPr>
            <w:r>
              <w:rPr>
                <w:rFonts w:ascii="Arial" w:cs="Arial" w:eastAsia="Arial" w:hAnsi="Arial"/>
                <w:sz w:val="12"/>
                <w:szCs w:val="12"/>
                <w:color w:val="auto"/>
              </w:rPr>
              <w:t>03/13/2024</w:t>
            </w:r>
          </w:p>
        </w:tc>
        <w:tc>
          <w:tcPr>
            <w:tcW w:w="258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6.55%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L+575</w:t>
            </w: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39,051,600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36,513,484</w:t>
            </w:r>
          </w:p>
        </w:tc>
        <w:tc>
          <w:tcPr>
            <w:tcW w:w="100" w:type="dxa"/>
            <w:vAlign w:val="bottom"/>
            <w:shd w:val="clear" w:color="auto" w:fill="CCECFF"/>
          </w:tcPr>
          <w:p>
            <w:pPr>
              <w:spacing w:after="0"/>
              <w:rPr>
                <w:sz w:val="12"/>
                <w:szCs w:val="12"/>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2"/>
                <w:szCs w:val="12"/>
                <w:color w:val="auto"/>
              </w:rPr>
              <w:t>RAM Energy LLC</w:t>
            </w:r>
          </w:p>
        </w:tc>
        <w:tc>
          <w:tcPr>
            <w:tcW w:w="1180" w:type="dxa"/>
            <w:vAlign w:val="bottom"/>
          </w:tcPr>
          <w:p>
            <w:pPr>
              <w:ind w:left="280"/>
              <w:spacing w:after="0"/>
              <w:rPr>
                <w:sz w:val="20"/>
                <w:szCs w:val="20"/>
                <w:color w:val="auto"/>
              </w:rPr>
            </w:pPr>
            <w:r>
              <w:rPr>
                <w:rFonts w:ascii="Arial" w:cs="Arial" w:eastAsia="Arial" w:hAnsi="Arial"/>
                <w:sz w:val="12"/>
                <w:szCs w:val="12"/>
                <w:color w:val="auto"/>
              </w:rPr>
              <w:t>07/01/2022</w:t>
            </w:r>
          </w:p>
        </w:tc>
        <w:tc>
          <w:tcPr>
            <w:tcW w:w="258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Energy and Utilities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tcPr>
          <w:p>
            <w:pPr>
              <w:spacing w:after="0"/>
              <w:rPr>
                <w:sz w:val="12"/>
                <w:szCs w:val="12"/>
                <w:color w:val="auto"/>
              </w:rPr>
            </w:pPr>
          </w:p>
        </w:tc>
      </w:tr>
      <w:tr>
        <w:trPr>
          <w:trHeight w:val="148"/>
        </w:trPr>
        <w:tc>
          <w:tcPr>
            <w:tcW w:w="2780" w:type="dxa"/>
            <w:vAlign w:val="bottom"/>
            <w:shd w:val="clear" w:color="auto" w:fill="CCECFF"/>
          </w:tcPr>
          <w:p>
            <w:pPr>
              <w:spacing w:after="0"/>
              <w:rPr>
                <w:sz w:val="20"/>
                <w:szCs w:val="20"/>
                <w:color w:val="auto"/>
              </w:rPr>
            </w:pPr>
            <w:r>
              <w:rPr>
                <w:rFonts w:ascii="Arial" w:cs="Arial" w:eastAsia="Arial" w:hAnsi="Arial"/>
                <w:sz w:val="12"/>
                <w:szCs w:val="12"/>
                <w:color w:val="auto"/>
              </w:rPr>
              <w:t>RAM Energy LLC (Revolver)</w:t>
            </w:r>
          </w:p>
        </w:tc>
        <w:tc>
          <w:tcPr>
            <w:tcW w:w="1180" w:type="dxa"/>
            <w:vAlign w:val="bottom"/>
            <w:shd w:val="clear" w:color="auto" w:fill="CCECFF"/>
          </w:tcPr>
          <w:p>
            <w:pPr>
              <w:ind w:left="280"/>
              <w:spacing w:after="0"/>
              <w:rPr>
                <w:sz w:val="20"/>
                <w:szCs w:val="20"/>
                <w:color w:val="auto"/>
              </w:rPr>
            </w:pPr>
            <w:r>
              <w:rPr>
                <w:rFonts w:ascii="Arial" w:cs="Arial" w:eastAsia="Arial" w:hAnsi="Arial"/>
                <w:sz w:val="12"/>
                <w:szCs w:val="12"/>
                <w:color w:val="auto"/>
              </w:rPr>
              <w:t>07/01/2022</w:t>
            </w:r>
          </w:p>
        </w:tc>
        <w:tc>
          <w:tcPr>
            <w:tcW w:w="258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0"/>
              </w:rPr>
              <w:t>Energy and Utilities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100" w:type="dxa"/>
            <w:vAlign w:val="bottom"/>
            <w:shd w:val="clear" w:color="auto" w:fill="CCECFF"/>
          </w:tcPr>
          <w:p>
            <w:pPr>
              <w:spacing w:after="0"/>
              <w:rPr>
                <w:sz w:val="12"/>
                <w:szCs w:val="12"/>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2"/>
                <w:szCs w:val="12"/>
                <w:color w:val="auto"/>
              </w:rPr>
              <w:t xml:space="preserve">RAM Energy LLC (Revolver) </w:t>
            </w:r>
            <w:r>
              <w:rPr>
                <w:rFonts w:ascii="Arial" w:cs="Arial" w:eastAsia="Arial" w:hAnsi="Arial"/>
                <w:sz w:val="9"/>
                <w:szCs w:val="9"/>
                <w:color w:val="auto"/>
              </w:rPr>
              <w:t>(7)</w:t>
            </w:r>
          </w:p>
        </w:tc>
        <w:tc>
          <w:tcPr>
            <w:tcW w:w="1180" w:type="dxa"/>
            <w:vAlign w:val="bottom"/>
          </w:tcPr>
          <w:p>
            <w:pPr>
              <w:ind w:left="280"/>
              <w:spacing w:after="0"/>
              <w:rPr>
                <w:sz w:val="20"/>
                <w:szCs w:val="20"/>
                <w:color w:val="auto"/>
              </w:rPr>
            </w:pPr>
            <w:r>
              <w:rPr>
                <w:rFonts w:ascii="Arial" w:cs="Arial" w:eastAsia="Arial" w:hAnsi="Arial"/>
                <w:sz w:val="12"/>
                <w:szCs w:val="12"/>
                <w:color w:val="auto"/>
              </w:rPr>
              <w:t>07/01/2022</w:t>
            </w:r>
          </w:p>
        </w:tc>
        <w:tc>
          <w:tcPr>
            <w:tcW w:w="258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Energy and Utilities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78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LLC</w:t>
            </w:r>
          </w:p>
        </w:tc>
        <w:tc>
          <w:tcPr>
            <w:tcW w:w="1180" w:type="dxa"/>
            <w:vAlign w:val="bottom"/>
            <w:shd w:val="clear" w:color="auto" w:fill="CCECFF"/>
          </w:tcPr>
          <w:p>
            <w:pPr>
              <w:ind w:left="280"/>
              <w:spacing w:after="0"/>
              <w:rPr>
                <w:sz w:val="20"/>
                <w:szCs w:val="20"/>
                <w:color w:val="auto"/>
              </w:rPr>
            </w:pPr>
            <w:r>
              <w:rPr>
                <w:rFonts w:ascii="Arial" w:cs="Arial" w:eastAsia="Arial" w:hAnsi="Arial"/>
                <w:sz w:val="12"/>
                <w:szCs w:val="12"/>
                <w:color w:val="auto"/>
              </w:rPr>
              <w:t>12/31/2018</w:t>
            </w:r>
          </w:p>
        </w:tc>
        <w:tc>
          <w:tcPr>
            <w:tcW w:w="258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L+550</w:t>
            </w: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23,208,601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22,749,435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17,220,000</w:t>
            </w:r>
          </w:p>
        </w:tc>
        <w:tc>
          <w:tcPr>
            <w:tcW w:w="100" w:type="dxa"/>
            <w:vAlign w:val="bottom"/>
            <w:shd w:val="clear" w:color="auto" w:fill="CCECFF"/>
          </w:tcPr>
          <w:p>
            <w:pPr>
              <w:spacing w:after="0"/>
              <w:rPr>
                <w:sz w:val="12"/>
                <w:szCs w:val="12"/>
                <w:color w:val="auto"/>
              </w:rPr>
            </w:pPr>
          </w:p>
        </w:tc>
      </w:tr>
      <w:tr>
        <w:trPr>
          <w:trHeight w:val="148"/>
        </w:trPr>
        <w:tc>
          <w:tcPr>
            <w:tcW w:w="2780" w:type="dxa"/>
            <w:vAlign w:val="bottom"/>
            <w:tcBorders>
              <w:bottom w:val="single" w:sz="8" w:color="CFF0FC"/>
            </w:tcBorders>
          </w:tcPr>
          <w:p>
            <w:pPr>
              <w:spacing w:after="0"/>
              <w:rPr>
                <w:sz w:val="12"/>
                <w:szCs w:val="12"/>
                <w:color w:val="auto"/>
              </w:rPr>
            </w:pPr>
          </w:p>
        </w:tc>
        <w:tc>
          <w:tcPr>
            <w:tcW w:w="1180" w:type="dxa"/>
            <w:vAlign w:val="bottom"/>
            <w:tcBorders>
              <w:bottom w:val="single" w:sz="8" w:color="CFF0FC"/>
            </w:tcBorders>
          </w:tcPr>
          <w:p>
            <w:pPr>
              <w:spacing w:after="0"/>
              <w:rPr>
                <w:sz w:val="12"/>
                <w:szCs w:val="12"/>
                <w:color w:val="auto"/>
              </w:rPr>
            </w:pPr>
          </w:p>
        </w:tc>
        <w:tc>
          <w:tcPr>
            <w:tcW w:w="24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9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2"/>
                <w:szCs w:val="12"/>
                <w:color w:val="auto"/>
              </w:rPr>
              <w:t>(PIK 7.84%)</w:t>
            </w:r>
          </w:p>
        </w:tc>
        <w:tc>
          <w:tcPr>
            <w:tcW w:w="6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142"/>
        </w:trPr>
        <w:tc>
          <w:tcPr>
            <w:tcW w:w="27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shd w:val="clear" w:color="auto" w:fill="CFF0FC"/>
          </w:tcPr>
          <w:p>
            <w:pPr>
              <w:spacing w:after="0"/>
              <w:rPr>
                <w:sz w:val="12"/>
                <w:szCs w:val="12"/>
                <w:color w:val="auto"/>
              </w:rPr>
            </w:pPr>
          </w:p>
        </w:tc>
        <w:tc>
          <w:tcPr>
            <w:tcW w:w="2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106,801,035</w:t>
            </w:r>
          </w:p>
        </w:tc>
        <w:tc>
          <w:tcPr>
            <w:tcW w:w="2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98,733,484</w:t>
            </w:r>
          </w:p>
        </w:tc>
        <w:tc>
          <w:tcPr>
            <w:tcW w:w="100" w:type="dxa"/>
            <w:vAlign w:val="bottom"/>
            <w:shd w:val="clear" w:color="auto" w:fill="CFF0FC"/>
          </w:tcPr>
          <w:p>
            <w:pPr>
              <w:spacing w:after="0"/>
              <w:rPr>
                <w:sz w:val="12"/>
                <w:szCs w:val="12"/>
                <w:color w:val="auto"/>
              </w:rPr>
            </w:pPr>
          </w:p>
        </w:tc>
      </w:tr>
      <w:tr>
        <w:trPr>
          <w:trHeight w:val="142"/>
        </w:trPr>
        <w:tc>
          <w:tcPr>
            <w:tcW w:w="278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Equity—1.9% </w:t>
            </w:r>
            <w:r>
              <w:rPr>
                <w:rFonts w:ascii="Arial" w:cs="Arial" w:eastAsia="Arial" w:hAnsi="Arial"/>
                <w:sz w:val="9"/>
                <w:szCs w:val="9"/>
                <w:b w:val="1"/>
                <w:bCs w:val="1"/>
                <w:color w:val="auto"/>
              </w:rPr>
              <w:t>(6)</w:t>
            </w: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780" w:type="dxa"/>
            <w:vAlign w:val="bottom"/>
            <w:shd w:val="clear" w:color="auto" w:fill="CFF0FC"/>
          </w:tcPr>
          <w:p>
            <w:pPr>
              <w:spacing w:after="0"/>
              <w:rPr>
                <w:sz w:val="20"/>
                <w:szCs w:val="20"/>
                <w:color w:val="auto"/>
              </w:rPr>
            </w:pPr>
            <w:r>
              <w:rPr>
                <w:rFonts w:ascii="Arial" w:cs="Arial" w:eastAsia="Arial" w:hAnsi="Arial"/>
                <w:sz w:val="12"/>
                <w:szCs w:val="12"/>
                <w:color w:val="auto"/>
              </w:rPr>
              <w:t>MidOcean JF Holdings Corp.</w:t>
            </w:r>
          </w:p>
        </w:tc>
        <w:tc>
          <w:tcPr>
            <w:tcW w:w="1180" w:type="dxa"/>
            <w:vAlign w:val="bottom"/>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2580" w:type="dxa"/>
            <w:vAlign w:val="bottom"/>
            <w:gridSpan w:val="2"/>
            <w:shd w:val="clear" w:color="auto" w:fill="CFF0FC"/>
          </w:tcPr>
          <w:p>
            <w:pPr>
              <w:jc w:val="center"/>
              <w:ind w:right="260"/>
              <w:spacing w:after="0"/>
              <w:rPr>
                <w:sz w:val="20"/>
                <w:szCs w:val="20"/>
                <w:color w:val="auto"/>
              </w:rPr>
            </w:pPr>
            <w:r>
              <w:rPr>
                <w:rFonts w:ascii="Arial" w:cs="Arial" w:eastAsia="Arial" w:hAnsi="Arial"/>
                <w:sz w:val="12"/>
                <w:szCs w:val="12"/>
                <w:color w:val="auto"/>
                <w:w w:val="93"/>
              </w:rPr>
              <w:t>Distribution</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153,922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15,392,189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12,099,647</w:t>
            </w:r>
          </w:p>
        </w:tc>
        <w:tc>
          <w:tcPr>
            <w:tcW w:w="100" w:type="dxa"/>
            <w:vAlign w:val="bottom"/>
            <w:shd w:val="clear" w:color="auto" w:fill="CFF0FC"/>
          </w:tcPr>
          <w:p>
            <w:pPr>
              <w:spacing w:after="0"/>
              <w:rPr>
                <w:sz w:val="12"/>
                <w:szCs w:val="12"/>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2"/>
                <w:szCs w:val="12"/>
                <w:color w:val="auto"/>
              </w:rPr>
              <w:t>Superior Digital Displays Holdings, Inc.</w:t>
            </w:r>
          </w:p>
        </w:tc>
        <w:tc>
          <w:tcPr>
            <w:tcW w:w="1180" w:type="dxa"/>
            <w:vAlign w:val="bottom"/>
          </w:tcPr>
          <w:p>
            <w:pPr>
              <w:ind w:left="540"/>
              <w:spacing w:after="0"/>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28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873,289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30,011,026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Total Preferred Equity</w:t>
            </w:r>
          </w:p>
        </w:tc>
        <w:tc>
          <w:tcPr>
            <w:tcW w:w="1180" w:type="dxa"/>
            <w:vAlign w:val="bottom"/>
            <w:tcBorders>
              <w:top w:val="single" w:sz="8" w:color="CFF0FC"/>
            </w:tcBorders>
            <w:shd w:val="clear" w:color="auto" w:fill="CFF0FC"/>
          </w:tcPr>
          <w:p>
            <w:pPr>
              <w:spacing w:after="0"/>
              <w:rPr>
                <w:sz w:val="12"/>
                <w:szCs w:val="12"/>
                <w:color w:val="auto"/>
              </w:rPr>
            </w:pPr>
          </w:p>
        </w:tc>
        <w:tc>
          <w:tcPr>
            <w:tcW w:w="24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45,403,215</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12,099,647</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2780" w:type="dxa"/>
            <w:vAlign w:val="bottom"/>
          </w:tcPr>
          <w:p>
            <w:pPr>
              <w:spacing w:after="0"/>
              <w:rPr>
                <w:sz w:val="20"/>
                <w:szCs w:val="20"/>
                <w:color w:val="auto"/>
              </w:rPr>
            </w:pPr>
            <w:r>
              <w:rPr>
                <w:rFonts w:ascii="Arial" w:cs="Arial" w:eastAsia="Arial" w:hAnsi="Arial"/>
                <w:sz w:val="12"/>
                <w:szCs w:val="12"/>
                <w:b w:val="1"/>
                <w:bCs w:val="1"/>
                <w:color w:val="auto"/>
              </w:rPr>
              <w:t xml:space="preserve">Common Equity—6.0% </w:t>
            </w:r>
            <w:r>
              <w:rPr>
                <w:rFonts w:ascii="Arial" w:cs="Arial" w:eastAsia="Arial" w:hAnsi="Arial"/>
                <w:sz w:val="9"/>
                <w:szCs w:val="9"/>
                <w:b w:val="1"/>
                <w:bCs w:val="1"/>
                <w:color w:val="auto"/>
              </w:rPr>
              <w:t>(6)</w:t>
            </w: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7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180" w:type="dxa"/>
            <w:vAlign w:val="bottom"/>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2580" w:type="dxa"/>
            <w:vAlign w:val="bottom"/>
            <w:gridSpan w:val="2"/>
            <w:shd w:val="clear" w:color="auto" w:fill="CFF0FC"/>
          </w:tcPr>
          <w:p>
            <w:pPr>
              <w:jc w:val="center"/>
              <w:ind w:right="26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132,497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3,987,794</w:t>
            </w:r>
          </w:p>
        </w:tc>
        <w:tc>
          <w:tcPr>
            <w:tcW w:w="100" w:type="dxa"/>
            <w:vAlign w:val="bottom"/>
            <w:shd w:val="clear" w:color="auto" w:fill="CFF0FC"/>
          </w:tcPr>
          <w:p>
            <w:pPr>
              <w:spacing w:after="0"/>
              <w:rPr>
                <w:sz w:val="12"/>
                <w:szCs w:val="12"/>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2"/>
                <w:szCs w:val="12"/>
                <w:color w:val="auto"/>
              </w:rPr>
              <w:t>MidOcean JF Holdings Corp.</w:t>
            </w:r>
          </w:p>
        </w:tc>
        <w:tc>
          <w:tcPr>
            <w:tcW w:w="1180" w:type="dxa"/>
            <w:vAlign w:val="bottom"/>
          </w:tcPr>
          <w:p>
            <w:pPr>
              <w:ind w:left="540"/>
              <w:spacing w:after="0"/>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260"/>
              <w:spacing w:after="0"/>
              <w:rPr>
                <w:sz w:val="20"/>
                <w:szCs w:val="20"/>
                <w:color w:val="auto"/>
              </w:rPr>
            </w:pPr>
            <w:r>
              <w:rPr>
                <w:rFonts w:ascii="Arial" w:cs="Arial" w:eastAsia="Arial" w:hAnsi="Arial"/>
                <w:sz w:val="12"/>
                <w:szCs w:val="12"/>
                <w:color w:val="auto"/>
                <w:w w:val="93"/>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780" w:type="dxa"/>
            <w:vAlign w:val="bottom"/>
            <w:shd w:val="clear" w:color="auto" w:fill="CFF0FC"/>
          </w:tcPr>
          <w:p>
            <w:pPr>
              <w:spacing w:after="0"/>
              <w:rPr>
                <w:sz w:val="20"/>
                <w:szCs w:val="20"/>
                <w:color w:val="auto"/>
              </w:rPr>
            </w:pPr>
            <w:r>
              <w:rPr>
                <w:rFonts w:ascii="Arial" w:cs="Arial" w:eastAsia="Arial" w:hAnsi="Arial"/>
                <w:sz w:val="12"/>
                <w:szCs w:val="12"/>
                <w:color w:val="auto"/>
              </w:rPr>
              <w:t>RAM Energy Holdings LLC</w:t>
            </w:r>
          </w:p>
        </w:tc>
        <w:tc>
          <w:tcPr>
            <w:tcW w:w="1180" w:type="dxa"/>
            <w:vAlign w:val="bottom"/>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2580" w:type="dxa"/>
            <w:vAlign w:val="bottom"/>
            <w:gridSpan w:val="2"/>
            <w:shd w:val="clear" w:color="auto" w:fill="CFF0FC"/>
          </w:tcPr>
          <w:p>
            <w:pPr>
              <w:jc w:val="center"/>
              <w:ind w:right="280"/>
              <w:spacing w:after="0"/>
              <w:rPr>
                <w:sz w:val="20"/>
                <w:szCs w:val="20"/>
                <w:color w:val="auto"/>
              </w:rPr>
            </w:pPr>
            <w:r>
              <w:rPr>
                <w:rFonts w:ascii="Arial" w:cs="Arial" w:eastAsia="Arial" w:hAnsi="Arial"/>
                <w:sz w:val="12"/>
                <w:szCs w:val="12"/>
                <w:color w:val="auto"/>
                <w:w w:val="90"/>
              </w:rPr>
              <w:t>Energy and Utilities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76,264,739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33,914,960</w:t>
            </w:r>
          </w:p>
        </w:tc>
        <w:tc>
          <w:tcPr>
            <w:tcW w:w="100" w:type="dxa"/>
            <w:vAlign w:val="bottom"/>
            <w:shd w:val="clear" w:color="auto" w:fill="CFF0FC"/>
          </w:tcPr>
          <w:p>
            <w:pPr>
              <w:spacing w:after="0"/>
              <w:rPr>
                <w:sz w:val="12"/>
                <w:szCs w:val="12"/>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2"/>
                <w:szCs w:val="12"/>
                <w:color w:val="auto"/>
              </w:rPr>
              <w:t>Superior Digital Displays Holdings, Inc.</w:t>
            </w:r>
          </w:p>
        </w:tc>
        <w:tc>
          <w:tcPr>
            <w:tcW w:w="1180" w:type="dxa"/>
            <w:vAlign w:val="bottom"/>
          </w:tcPr>
          <w:p>
            <w:pPr>
              <w:ind w:left="540"/>
              <w:spacing w:after="0"/>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28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Total Common Equity</w:t>
            </w:r>
          </w:p>
        </w:tc>
        <w:tc>
          <w:tcPr>
            <w:tcW w:w="1180" w:type="dxa"/>
            <w:vAlign w:val="bottom"/>
            <w:tcBorders>
              <w:top w:val="single" w:sz="8" w:color="CFF0FC"/>
            </w:tcBorders>
            <w:shd w:val="clear" w:color="auto" w:fill="CFF0FC"/>
          </w:tcPr>
          <w:p>
            <w:pPr>
              <w:spacing w:after="0"/>
              <w:rPr>
                <w:sz w:val="12"/>
                <w:szCs w:val="12"/>
                <w:color w:val="auto"/>
              </w:rPr>
            </w:pPr>
          </w:p>
        </w:tc>
        <w:tc>
          <w:tcPr>
            <w:tcW w:w="24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103,370,067</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37,902,754</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396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4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255,574,317</w:t>
            </w: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148,735,885</w:t>
            </w:r>
          </w:p>
        </w:tc>
        <w:tc>
          <w:tcPr>
            <w:tcW w:w="100" w:type="dxa"/>
            <w:vAlign w:val="bottom"/>
            <w:tcBorders>
              <w:bottom w:val="single" w:sz="8" w:color="CFF0FC"/>
            </w:tcBorders>
          </w:tcPr>
          <w:p>
            <w:pPr>
              <w:spacing w:after="0"/>
              <w:rPr>
                <w:sz w:val="12"/>
                <w:szCs w:val="12"/>
                <w:color w:val="auto"/>
              </w:rPr>
            </w:pPr>
          </w:p>
        </w:tc>
      </w:tr>
      <w:tr>
        <w:trPr>
          <w:trHeight w:val="142"/>
        </w:trPr>
        <w:tc>
          <w:tcPr>
            <w:tcW w:w="27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Investments—180.0%</w:t>
            </w:r>
          </w:p>
        </w:tc>
        <w:tc>
          <w:tcPr>
            <w:tcW w:w="1180" w:type="dxa"/>
            <w:vAlign w:val="bottom"/>
            <w:shd w:val="clear" w:color="auto" w:fill="CFF0FC"/>
          </w:tcPr>
          <w:p>
            <w:pPr>
              <w:spacing w:after="0"/>
              <w:rPr>
                <w:sz w:val="12"/>
                <w:szCs w:val="12"/>
                <w:color w:val="auto"/>
              </w:rPr>
            </w:pPr>
          </w:p>
        </w:tc>
        <w:tc>
          <w:tcPr>
            <w:tcW w:w="2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8"/>
              </w:rPr>
              <w:t>1,243,816,175</w:t>
            </w:r>
          </w:p>
        </w:tc>
        <w:tc>
          <w:tcPr>
            <w:tcW w:w="2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8"/>
              </w:rPr>
              <w:t>1,132,085,474</w:t>
            </w:r>
          </w:p>
        </w:tc>
        <w:tc>
          <w:tcPr>
            <w:tcW w:w="100" w:type="dxa"/>
            <w:vAlign w:val="bottom"/>
            <w:shd w:val="clear" w:color="auto" w:fill="CFF0FC"/>
          </w:tcPr>
          <w:p>
            <w:pPr>
              <w:spacing w:after="0"/>
              <w:rPr>
                <w:sz w:val="12"/>
                <w:szCs w:val="12"/>
                <w:color w:val="auto"/>
              </w:rPr>
            </w:pPr>
          </w:p>
        </w:tc>
      </w:tr>
      <w:tr>
        <w:trPr>
          <w:trHeight w:val="142"/>
        </w:trPr>
        <w:tc>
          <w:tcPr>
            <w:tcW w:w="2780" w:type="dxa"/>
            <w:vAlign w:val="bottom"/>
          </w:tcPr>
          <w:p>
            <w:pPr>
              <w:spacing w:after="0"/>
              <w:rPr>
                <w:sz w:val="20"/>
                <w:szCs w:val="20"/>
                <w:color w:val="auto"/>
              </w:rPr>
            </w:pPr>
            <w:r>
              <w:rPr>
                <w:rFonts w:ascii="Arial" w:cs="Arial" w:eastAsia="Arial" w:hAnsi="Arial"/>
                <w:sz w:val="12"/>
                <w:szCs w:val="12"/>
                <w:b w:val="1"/>
                <w:bCs w:val="1"/>
                <w:color w:val="auto"/>
              </w:rPr>
              <w:t>Cash and Cash Equivalents—3.1%</w:t>
            </w: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780" w:type="dxa"/>
            <w:vAlign w:val="bottom"/>
            <w:shd w:val="clear" w:color="auto" w:fill="CFF0FC"/>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shd w:val="clear" w:color="auto" w:fill="CFF0FC"/>
          </w:tcPr>
          <w:p>
            <w:pPr>
              <w:spacing w:after="0"/>
              <w:rPr>
                <w:sz w:val="12"/>
                <w:szCs w:val="12"/>
                <w:color w:val="auto"/>
              </w:rPr>
            </w:pPr>
          </w:p>
        </w:tc>
        <w:tc>
          <w:tcPr>
            <w:tcW w:w="2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531,379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531,379</w:t>
            </w:r>
          </w:p>
        </w:tc>
        <w:tc>
          <w:tcPr>
            <w:tcW w:w="100" w:type="dxa"/>
            <w:vAlign w:val="bottom"/>
            <w:shd w:val="clear" w:color="auto" w:fill="CFF0FC"/>
          </w:tcPr>
          <w:p>
            <w:pPr>
              <w:spacing w:after="0"/>
              <w:rPr>
                <w:sz w:val="12"/>
                <w:szCs w:val="12"/>
                <w:color w:val="auto"/>
              </w:rPr>
            </w:pPr>
          </w:p>
        </w:tc>
      </w:tr>
      <w:tr>
        <w:trPr>
          <w:trHeight w:val="148"/>
        </w:trPr>
        <w:tc>
          <w:tcPr>
            <w:tcW w:w="27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BNY Mellon Cash Reserve and Cash</w:t>
            </w:r>
          </w:p>
        </w:tc>
        <w:tc>
          <w:tcPr>
            <w:tcW w:w="1180" w:type="dxa"/>
            <w:vAlign w:val="bottom"/>
            <w:tcBorders>
              <w:bottom w:val="single" w:sz="8" w:color="CFF0FC"/>
            </w:tcBorders>
          </w:tcPr>
          <w:p>
            <w:pPr>
              <w:spacing w:after="0"/>
              <w:rPr>
                <w:sz w:val="12"/>
                <w:szCs w:val="12"/>
                <w:color w:val="auto"/>
              </w:rPr>
            </w:pPr>
          </w:p>
        </w:tc>
        <w:tc>
          <w:tcPr>
            <w:tcW w:w="24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19,012,246</w:t>
            </w: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18,974,775</w:t>
            </w:r>
          </w:p>
        </w:tc>
        <w:tc>
          <w:tcPr>
            <w:tcW w:w="100" w:type="dxa"/>
            <w:vAlign w:val="bottom"/>
            <w:tcBorders>
              <w:bottom w:val="single" w:sz="8" w:color="CFF0FC"/>
            </w:tcBorders>
          </w:tcPr>
          <w:p>
            <w:pPr>
              <w:spacing w:after="0"/>
              <w:rPr>
                <w:sz w:val="12"/>
                <w:szCs w:val="12"/>
                <w:color w:val="auto"/>
              </w:rPr>
            </w:pPr>
          </w:p>
        </w:tc>
      </w:tr>
      <w:tr>
        <w:trPr>
          <w:trHeight w:val="142"/>
        </w:trPr>
        <w:tc>
          <w:tcPr>
            <w:tcW w:w="27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shd w:val="clear" w:color="auto" w:fill="CFF0FC"/>
          </w:tcPr>
          <w:p>
            <w:pPr>
              <w:spacing w:after="0"/>
              <w:rPr>
                <w:sz w:val="12"/>
                <w:szCs w:val="12"/>
                <w:color w:val="auto"/>
              </w:rPr>
            </w:pPr>
          </w:p>
        </w:tc>
        <w:tc>
          <w:tcPr>
            <w:tcW w:w="2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19,543,625</w:t>
            </w:r>
          </w:p>
        </w:tc>
        <w:tc>
          <w:tcPr>
            <w:tcW w:w="2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19,506,154</w:t>
            </w:r>
          </w:p>
        </w:tc>
        <w:tc>
          <w:tcPr>
            <w:tcW w:w="100" w:type="dxa"/>
            <w:vAlign w:val="bottom"/>
            <w:shd w:val="clear" w:color="auto" w:fill="CFF0FC"/>
          </w:tcPr>
          <w:p>
            <w:pPr>
              <w:spacing w:after="0"/>
              <w:rPr>
                <w:sz w:val="12"/>
                <w:szCs w:val="12"/>
                <w:color w:val="auto"/>
              </w:rPr>
            </w:pPr>
          </w:p>
        </w:tc>
      </w:tr>
      <w:tr>
        <w:trPr>
          <w:trHeight w:val="182"/>
        </w:trPr>
        <w:tc>
          <w:tcPr>
            <w:tcW w:w="278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w w:val="97"/>
              </w:rPr>
              <w:t>Total Investments and Cash Equivalents—183.1%</w:t>
            </w:r>
          </w:p>
        </w:tc>
        <w:tc>
          <w:tcPr>
            <w:tcW w:w="1180" w:type="dxa"/>
            <w:vAlign w:val="bottom"/>
            <w:tcBorders>
              <w:bottom w:val="single" w:sz="8" w:color="CFF0FC"/>
            </w:tcBorders>
          </w:tcPr>
          <w:p>
            <w:pPr>
              <w:spacing w:after="0"/>
              <w:rPr>
                <w:sz w:val="15"/>
                <w:szCs w:val="15"/>
                <w:color w:val="auto"/>
              </w:rPr>
            </w:pPr>
          </w:p>
        </w:tc>
        <w:tc>
          <w:tcPr>
            <w:tcW w:w="24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58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1,263,359,800</w:t>
            </w:r>
          </w:p>
        </w:tc>
        <w:tc>
          <w:tcPr>
            <w:tcW w:w="2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1,151,591,628</w:t>
            </w:r>
          </w:p>
        </w:tc>
        <w:tc>
          <w:tcPr>
            <w:tcW w:w="100" w:type="dxa"/>
            <w:vAlign w:val="bottom"/>
            <w:tcBorders>
              <w:bottom w:val="single" w:sz="8" w:color="CFF0FC"/>
            </w:tcBorders>
          </w:tcPr>
          <w:p>
            <w:pPr>
              <w:spacing w:after="0"/>
              <w:rPr>
                <w:sz w:val="15"/>
                <w:szCs w:val="15"/>
                <w:color w:val="auto"/>
              </w:rPr>
            </w:pPr>
          </w:p>
        </w:tc>
      </w:tr>
      <w:tr>
        <w:trPr>
          <w:trHeight w:val="129"/>
        </w:trPr>
        <w:tc>
          <w:tcPr>
            <w:tcW w:w="278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Liabilities in Excess of Other Assets—(83.1%)</w:t>
            </w:r>
          </w:p>
        </w:tc>
        <w:tc>
          <w:tcPr>
            <w:tcW w:w="1180" w:type="dxa"/>
            <w:vAlign w:val="bottom"/>
            <w:shd w:val="clear" w:color="auto" w:fill="CFF0FC"/>
          </w:tcPr>
          <w:p>
            <w:pPr>
              <w:spacing w:after="0"/>
              <w:rPr>
                <w:sz w:val="11"/>
                <w:szCs w:val="11"/>
                <w:color w:val="auto"/>
              </w:rPr>
            </w:pPr>
          </w:p>
        </w:tc>
        <w:tc>
          <w:tcPr>
            <w:tcW w:w="2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2"/>
                <w:szCs w:val="12"/>
                <w:color w:val="auto"/>
                <w:w w:val="98"/>
              </w:rPr>
              <w:t>(522,689,733)</w:t>
            </w:r>
          </w:p>
        </w:tc>
      </w:tr>
      <w:tr>
        <w:trPr>
          <w:trHeight w:val="148"/>
        </w:trPr>
        <w:tc>
          <w:tcPr>
            <w:tcW w:w="2780" w:type="dxa"/>
            <w:vAlign w:val="bottom"/>
          </w:tcPr>
          <w:p>
            <w:pPr>
              <w:spacing w:after="0"/>
              <w:rPr>
                <w:sz w:val="20"/>
                <w:szCs w:val="20"/>
                <w:color w:val="auto"/>
              </w:rPr>
            </w:pPr>
            <w:r>
              <w:rPr>
                <w:rFonts w:ascii="Arial" w:cs="Arial" w:eastAsia="Arial" w:hAnsi="Arial"/>
                <w:sz w:val="12"/>
                <w:szCs w:val="12"/>
                <w:b w:val="1"/>
                <w:bCs w:val="1"/>
                <w:color w:val="auto"/>
              </w:rPr>
              <w:t>Net Assets—100.0%</w:t>
            </w: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628,901,895</w:t>
            </w:r>
          </w:p>
        </w:tc>
        <w:tc>
          <w:tcPr>
            <w:tcW w:w="100" w:type="dxa"/>
            <w:vAlign w:val="bottom"/>
          </w:tcPr>
          <w:p>
            <w:pPr>
              <w:spacing w:after="0"/>
              <w:rPr>
                <w:sz w:val="12"/>
                <w:szCs w:val="12"/>
                <w:color w:val="auto"/>
              </w:rPr>
            </w:pPr>
          </w:p>
        </w:tc>
      </w:tr>
      <w:tr>
        <w:trPr>
          <w:trHeight w:val="20"/>
        </w:trPr>
        <w:tc>
          <w:tcPr>
            <w:tcW w:w="2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17" w:lineRule="exact"/>
        <w:rPr>
          <w:sz w:val="20"/>
          <w:szCs w:val="20"/>
          <w:color w:val="auto"/>
        </w:rPr>
      </w:pPr>
    </w:p>
    <w:p>
      <w:pPr>
        <w:ind w:left="380" w:hanging="372"/>
        <w:spacing w:after="0" w:line="243"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40" w:hanging="372"/>
        <w:spacing w:after="0" w:line="25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LIBOR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PIK interest and other fee rates, if any.</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380" w:right="20" w:hanging="372"/>
        <w:spacing w:after="0" w:line="25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88% of the Company’s total assets and non-qualifying assets represent 12% of the Company’s total assets.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60"/>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ind w:left="5140"/>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221"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88"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88" w:lineRule="exact"/>
        <w:rPr>
          <w:sz w:val="20"/>
          <w:szCs w:val="20"/>
          <w:color w:val="auto"/>
        </w:rPr>
      </w:pPr>
    </w:p>
    <w:p>
      <w:pPr>
        <w:jc w:val="both"/>
        <w:ind w:right="240" w:firstLine="438"/>
        <w:spacing w:after="0" w:line="296" w:lineRule="auto"/>
        <w:rPr>
          <w:sz w:val="20"/>
          <w:szCs w:val="20"/>
          <w:color w:val="auto"/>
        </w:rPr>
      </w:pPr>
      <w:r>
        <w:rPr>
          <w:rFonts w:ascii="Arial" w:cs="Arial" w:eastAsia="Arial" w:hAnsi="Arial"/>
          <w:sz w:val="12"/>
          <w:szCs w:val="12"/>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SBA-eligible businesses that meet the investment selection criteria used by PennantPark Investment. During the quarter ended June 30, 2019 we liquidated SBIC I.</w:t>
      </w:r>
    </w:p>
    <w:p>
      <w:pPr>
        <w:spacing w:after="0" w:line="164"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 The BNP Credit Facility allows Funding I to borrow up to $250 million at LIBOR plus 260 basis points during the reinvestment period. The BNP Credit Facility is secured by all of the assets held by Funding I. See Note 10.</w:t>
      </w:r>
    </w:p>
    <w:p>
      <w:pPr>
        <w:spacing w:after="0" w:line="188"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221"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92" w:lineRule="exact"/>
        <w:rPr>
          <w:sz w:val="20"/>
          <w:szCs w:val="20"/>
          <w:color w:val="auto"/>
        </w:rPr>
      </w:pPr>
    </w:p>
    <w:p>
      <w:pPr>
        <w:jc w:val="both"/>
        <w:ind w:right="10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17" w:lineRule="exact"/>
        <w:rPr>
          <w:sz w:val="20"/>
          <w:szCs w:val="20"/>
          <w:color w:val="auto"/>
        </w:rPr>
      </w:pPr>
    </w:p>
    <w:p>
      <w:pPr>
        <w:ind w:left="1080" w:hanging="824"/>
        <w:spacing w:after="0"/>
        <w:tabs>
          <w:tab w:leader="none" w:pos="108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217" w:lineRule="exact"/>
        <w:rPr>
          <w:sz w:val="20"/>
          <w:szCs w:val="20"/>
          <w:color w:val="auto"/>
        </w:rPr>
      </w:pPr>
    </w:p>
    <w:p>
      <w:pPr>
        <w:ind w:right="12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92"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87" w:lineRule="exact"/>
        <w:rPr>
          <w:sz w:val="20"/>
          <w:szCs w:val="20"/>
          <w:color w:val="auto"/>
        </w:rPr>
      </w:pPr>
    </w:p>
    <w:p>
      <w:pPr>
        <w:ind w:left="800" w:right="420" w:hanging="360"/>
        <w:spacing w:after="0" w:line="253"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87" w:lineRule="exact"/>
        <w:rPr>
          <w:rFonts w:ascii="Arial" w:cs="Arial" w:eastAsia="Arial" w:hAnsi="Arial"/>
          <w:sz w:val="14"/>
          <w:szCs w:val="14"/>
          <w:color w:val="auto"/>
        </w:rPr>
      </w:pPr>
    </w:p>
    <w:p>
      <w:pPr>
        <w:ind w:left="800" w:hanging="360"/>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217" w:lineRule="exact"/>
        <w:rPr>
          <w:rFonts w:ascii="Arial" w:cs="Arial" w:eastAsia="Arial" w:hAnsi="Arial"/>
          <w:sz w:val="14"/>
          <w:szCs w:val="14"/>
          <w:color w:val="auto"/>
        </w:rPr>
      </w:pPr>
    </w:p>
    <w:p>
      <w:pPr>
        <w:jc w:val="both"/>
        <w:ind w:left="800" w:right="180" w:hanging="360"/>
        <w:spacing w:after="0" w:line="264" w:lineRule="auto"/>
        <w:tabs>
          <w:tab w:leader="none" w:pos="8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81" w:lineRule="exact"/>
        <w:rPr>
          <w:rFonts w:ascii="Arial" w:cs="Arial" w:eastAsia="Arial" w:hAnsi="Arial"/>
          <w:sz w:val="13"/>
          <w:szCs w:val="13"/>
          <w:color w:val="auto"/>
        </w:rPr>
      </w:pPr>
    </w:p>
    <w:p>
      <w:pPr>
        <w:ind w:left="800" w:right="60" w:hanging="360"/>
        <w:spacing w:after="0" w:line="238"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96" w:lineRule="exact"/>
        <w:rPr>
          <w:rFonts w:ascii="Arial" w:cs="Arial" w:eastAsia="Arial" w:hAnsi="Arial"/>
          <w:sz w:val="14"/>
          <w:szCs w:val="14"/>
          <w:color w:val="auto"/>
        </w:rPr>
      </w:pPr>
    </w:p>
    <w:p>
      <w:pPr>
        <w:ind w:left="800" w:right="200" w:hanging="360"/>
        <w:spacing w:after="0" w:line="253"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 w:name="page15"/>
    <w:bookmarkEnd w:id="14"/>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ind w:right="400" w:firstLine="438"/>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73" w:lineRule="exact"/>
        <w:rPr>
          <w:sz w:val="20"/>
          <w:szCs w:val="20"/>
          <w:color w:val="auto"/>
        </w:rPr>
      </w:pPr>
    </w:p>
    <w:p>
      <w:pPr>
        <w:ind w:left="1080" w:hanging="824"/>
        <w:spacing w:after="0"/>
        <w:tabs>
          <w:tab w:leader="none" w:pos="108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21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Facilities and the 2019 Notes during the reporting period, including any reversal of previously recorded unrealized appreciation or depreciation, when gains or losses are realized.</w:t>
      </w:r>
    </w:p>
    <w:p>
      <w:pPr>
        <w:spacing w:after="0" w:line="198"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92"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June 30, 2019, we had one portfolio company on non-accrual, respectively representing 1.5% and 0.7% of our overall portfolio on a cost and fair value basis.</w:t>
      </w:r>
    </w:p>
    <w:p>
      <w:pPr>
        <w:spacing w:after="0" w:line="188" w:lineRule="exact"/>
        <w:rPr>
          <w:sz w:val="20"/>
          <w:szCs w:val="20"/>
          <w:color w:val="auto"/>
        </w:rPr>
      </w:pPr>
    </w:p>
    <w:p>
      <w:pPr>
        <w:ind w:left="1060" w:hanging="804"/>
        <w:spacing w:after="0"/>
        <w:tabs>
          <w:tab w:leader="none" w:pos="106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217" w:lineRule="exact"/>
        <w:rPr>
          <w:sz w:val="20"/>
          <w:szCs w:val="20"/>
          <w:color w:val="auto"/>
        </w:rPr>
      </w:pPr>
    </w:p>
    <w:p>
      <w:pPr>
        <w:ind w:firstLine="438"/>
        <w:spacing w:after="0" w:line="271" w:lineRule="auto"/>
        <w:rPr>
          <w:sz w:val="20"/>
          <w:szCs w:val="20"/>
          <w:color w:val="auto"/>
        </w:rPr>
      </w:pPr>
      <w:r>
        <w:rPr>
          <w:rFonts w:ascii="Arial" w:cs="Arial" w:eastAsia="Arial" w:hAnsi="Arial"/>
          <w:sz w:val="12"/>
          <w:szCs w:val="12"/>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the three and nine months ended June 30, 2019, we recorded a provision for taxes of $0.3 million ($0.1 million of excise tax and $0.2 million of U.S. federal and state income taxes related to the Taxable Subsidiaries) and $0.9 million ($0.3 million of excise tax and $0.6 million of U.S. federal and state income taxes related to the Taxable Subsidiaries), respectively. For both the three and nine months ended June 30, 2018, we did not record a provision for taxes.</w:t>
      </w:r>
    </w:p>
    <w:p>
      <w:pPr>
        <w:spacing w:after="0" w:line="178" w:lineRule="exact"/>
        <w:rPr>
          <w:sz w:val="20"/>
          <w:szCs w:val="20"/>
          <w:color w:val="auto"/>
        </w:rPr>
      </w:pPr>
    </w:p>
    <w:p>
      <w:pPr>
        <w:ind w:right="22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June 30, 2019,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3" w:lineRule="exact"/>
        <w:rPr>
          <w:sz w:val="20"/>
          <w:szCs w:val="20"/>
          <w:color w:val="auto"/>
        </w:rPr>
      </w:pPr>
    </w:p>
    <w:p>
      <w:pPr>
        <w:ind w:right="400"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64" w:lineRule="exact"/>
        <w:rPr>
          <w:sz w:val="20"/>
          <w:szCs w:val="20"/>
          <w:color w:val="auto"/>
        </w:rPr>
      </w:pPr>
    </w:p>
    <w:p>
      <w:pPr>
        <w:ind w:left="1080" w:hanging="824"/>
        <w:spacing w:after="0"/>
        <w:tabs>
          <w:tab w:leader="none" w:pos="108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217"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96"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87" w:lineRule="exact"/>
        <w:rPr>
          <w:sz w:val="20"/>
          <w:szCs w:val="20"/>
          <w:color w:val="auto"/>
        </w:rPr>
      </w:pPr>
    </w:p>
    <w:p>
      <w:pPr>
        <w:ind w:left="1060" w:hanging="804"/>
        <w:spacing w:after="0"/>
        <w:tabs>
          <w:tab w:leader="none" w:pos="106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800" w:hanging="360"/>
        <w:spacing w:after="0"/>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22" w:lineRule="exact"/>
        <w:rPr>
          <w:rFonts w:ascii="Arial" w:cs="Arial" w:eastAsia="Arial" w:hAnsi="Arial"/>
          <w:sz w:val="14"/>
          <w:szCs w:val="14"/>
          <w:color w:val="auto"/>
        </w:rPr>
      </w:pPr>
    </w:p>
    <w:p>
      <w:pPr>
        <w:ind w:left="800" w:hanging="360"/>
        <w:spacing w:after="0"/>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31" w:lineRule="exact"/>
        <w:rPr>
          <w:sz w:val="20"/>
          <w:szCs w:val="20"/>
          <w:color w:val="auto"/>
        </w:rPr>
      </w:pPr>
    </w:p>
    <w:p>
      <w:pPr>
        <w:jc w:val="both"/>
        <w:ind w:right="2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96" w:lineRule="exact"/>
        <w:rPr>
          <w:sz w:val="20"/>
          <w:szCs w:val="20"/>
          <w:color w:val="auto"/>
        </w:rPr>
      </w:pPr>
    </w:p>
    <w:p>
      <w:pPr>
        <w:ind w:left="1040" w:hanging="784"/>
        <w:spacing w:after="0"/>
        <w:tabs>
          <w:tab w:leader="none" w:pos="104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217" w:lineRule="exact"/>
        <w:rPr>
          <w:sz w:val="20"/>
          <w:szCs w:val="20"/>
          <w:color w:val="auto"/>
        </w:rPr>
      </w:pPr>
    </w:p>
    <w:p>
      <w:pPr>
        <w:jc w:val="both"/>
        <w:ind w:right="440" w:firstLine="438"/>
        <w:spacing w:after="0" w:line="238" w:lineRule="auto"/>
        <w:rPr>
          <w:sz w:val="20"/>
          <w:szCs w:val="20"/>
          <w:color w:val="auto"/>
        </w:rPr>
      </w:pPr>
      <w:r>
        <w:rPr>
          <w:rFonts w:ascii="Arial" w:cs="Arial" w:eastAsia="Arial" w:hAnsi="Arial"/>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96" w:lineRule="exact"/>
        <w:rPr>
          <w:sz w:val="20"/>
          <w:szCs w:val="20"/>
          <w:color w:val="auto"/>
        </w:rPr>
      </w:pPr>
    </w:p>
    <w:p>
      <w:pPr>
        <w:ind w:left="1080" w:hanging="824"/>
        <w:spacing w:after="0"/>
        <w:tabs>
          <w:tab w:leader="none" w:pos="108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Asset Transfers and Servicing</w:t>
      </w:r>
    </w:p>
    <w:p>
      <w:pPr>
        <w:spacing w:after="0" w:line="217"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Consolidated Schedules of Investments as investments. The creditors of Funding I have received a security interest in all its assets and such assets are not intended to be available to the creditors of PennantPark Investment or any of its affiliates.</w:t>
      </w:r>
    </w:p>
    <w:p>
      <w:pPr>
        <w:spacing w:after="0" w:line="196" w:lineRule="exact"/>
        <w:rPr>
          <w:sz w:val="20"/>
          <w:szCs w:val="20"/>
          <w:color w:val="auto"/>
        </w:rPr>
      </w:pPr>
    </w:p>
    <w:p>
      <w:pPr>
        <w:ind w:left="1080" w:hanging="824"/>
        <w:spacing w:after="0"/>
        <w:tabs>
          <w:tab w:leader="none" w:pos="108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Recent Accounting Pronouncements</w:t>
      </w:r>
    </w:p>
    <w:p>
      <w:pPr>
        <w:spacing w:after="0" w:line="2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August 2018, the FASB issued Accounting Standards Update, or ASU, 2018-13, Fair Value Measurement (Topic 820): Disclosure Framework - Changes to the Disclosure Requirements for Fair Value Measurement, or ASU 2018-13, which changed the fair value measurement disclosure requirements of ASC Topic 820, Fair Value Measurements and Disclosures, or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97"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 xml:space="preserve">In August 2018, the SEC issued Securities Act Release No. 33-10532, </w:t>
      </w:r>
      <w:r>
        <w:rPr>
          <w:rFonts w:ascii="Arial" w:cs="Arial" w:eastAsia="Arial" w:hAnsi="Arial"/>
          <w:sz w:val="14"/>
          <w:szCs w:val="14"/>
          <w:i w:val="1"/>
          <w:iCs w:val="1"/>
          <w:color w:val="auto"/>
        </w:rPr>
        <w:t>Disclosure Update and Simplification</w:t>
      </w:r>
      <w:r>
        <w:rPr>
          <w:rFonts w:ascii="Arial" w:cs="Arial" w:eastAsia="Arial" w:hAnsi="Arial"/>
          <w:sz w:val="14"/>
          <w:szCs w:val="14"/>
          <w:color w:val="auto"/>
        </w:rPr>
        <w:t>, or the Final Rule Release, amending certain disclosure requirements that were redundant, duplicative, overlapping, outdated or superseded. The amendments are intended to facilitate the disclosure of information to investors and simplify compliance. The Final Rule Release became effective for all filings on or after November 5, 2018. We adopted these amendments as currently required and they are reflected in the Company’s consolidated financial statements and related disclosures. Certain prior year information has been adjusted to conform to these amendments.</w:t>
      </w:r>
    </w:p>
    <w:p>
      <w:pPr>
        <w:spacing w:after="0" w:line="198"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 xml:space="preserve">In March 2019, the SEC issued the Final Rule Release No. 33-10618, </w:t>
      </w:r>
      <w:r>
        <w:rPr>
          <w:rFonts w:ascii="Arial" w:cs="Arial" w:eastAsia="Arial" w:hAnsi="Arial"/>
          <w:sz w:val="13"/>
          <w:szCs w:val="13"/>
          <w:i w:val="1"/>
          <w:iCs w:val="1"/>
          <w:color w:val="auto"/>
        </w:rPr>
        <w:t>FAST Act Modernization and Simplification of Regulation S-K</w:t>
      </w:r>
      <w:r>
        <w:rPr>
          <w:rFonts w:ascii="Arial" w:cs="Arial" w:eastAsia="Arial" w:hAnsi="Arial"/>
          <w:sz w:val="13"/>
          <w:szCs w:val="13"/>
          <w:color w:val="auto"/>
        </w:rPr>
        <w:t>, which amends certain SEC disclosure requirements. The amendments are intended to simplify certain disclosure requirements and to provide for a consistent set of rules to govern incorporating information by reference and hyperlinking, improve readability and navigability of disclosure documents, and discourage repetition and disclosure of immaterial information. The amendments are effective for all filings submitted on or after May 2, 2019. The Company adopted the requisite amendments effective May 2, 2019. As it pertains to the Company for this Form 10-Q, there were no significant changes to the Company’s consolidated financial position or disclosures. The Company is still evaluating the impact these amendments will have on its other future periodic filings and registration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221" w:lineRule="exact"/>
        <w:rPr>
          <w:sz w:val="20"/>
          <w:szCs w:val="20"/>
          <w:color w:val="auto"/>
        </w:rPr>
      </w:pPr>
    </w:p>
    <w:p>
      <w:pPr>
        <w:ind w:right="80" w:firstLine="438"/>
        <w:spacing w:after="0" w:line="228" w:lineRule="auto"/>
        <w:rPr>
          <w:sz w:val="20"/>
          <w:szCs w:val="20"/>
          <w:color w:val="auto"/>
        </w:rPr>
      </w:pPr>
      <w:r>
        <w:rPr>
          <w:rFonts w:ascii="Arial" w:cs="Arial" w:eastAsia="Arial" w:hAnsi="Arial"/>
          <w:sz w:val="14"/>
          <w:szCs w:val="14"/>
          <w:color w:val="auto"/>
        </w:rPr>
        <w:t>Under the Investment Management Agreement,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2019.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Our SBIC Funds’ investment management agreements do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98" w:lineRule="exact"/>
        <w:rPr>
          <w:sz w:val="20"/>
          <w:szCs w:val="20"/>
          <w:color w:val="auto"/>
        </w:rPr>
      </w:pPr>
    </w:p>
    <w:p>
      <w:pPr>
        <w:ind w:right="20" w:firstLine="438"/>
        <w:spacing w:after="0" w:line="264" w:lineRule="auto"/>
        <w:rPr>
          <w:sz w:val="20"/>
          <w:szCs w:val="20"/>
          <w:color w:val="auto"/>
        </w:rPr>
      </w:pPr>
      <w:r>
        <w:rPr>
          <w:rFonts w:ascii="Arial" w:cs="Arial" w:eastAsia="Arial" w:hAnsi="Arial"/>
          <w:sz w:val="12"/>
          <w:szCs w:val="12"/>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three and nine months ended June 30, 2019, the Investment Adviser earned a base management fee of $4.7 million and $13.6 million, respectively, from us. For the three and nine months ended June 30, 2018, the Investment Adviser earned a base management fee of $3.8 million and $12.5 million (after a waiver of $0.9 million), respectively, from us.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right="60" w:firstLine="438"/>
        <w:spacing w:after="0" w:line="269"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340"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three and nine months ended June 30, 2019, the Investment Adviser earned $2.5 million and $5.1 million, respectively, in incentive fees on net investment income from us. For the three and nine months ended June 30, 2018, the Investment Adviser earned $2.5 million and $8.0 million (after a waiver of $0.5 million), respectively, in incentive fees on net investment income from us.</w:t>
      </w:r>
    </w:p>
    <w:p>
      <w:pPr>
        <w:spacing w:after="0" w:line="104" w:lineRule="exact"/>
        <w:rPr>
          <w:sz w:val="20"/>
          <w:szCs w:val="20"/>
          <w:color w:val="auto"/>
        </w:rPr>
      </w:pPr>
    </w:p>
    <w:p>
      <w:pPr>
        <w:ind w:right="80" w:firstLine="438"/>
        <w:spacing w:after="0" w:line="283"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months ended June 30, 2019 and 2018, the Investment Adviser did not accrue an incentive fee on capital gains as calculated under the Investment Management Agreement (as described above).</w:t>
      </w:r>
    </w:p>
    <w:p>
      <w:pPr>
        <w:spacing w:after="0" w:line="92" w:lineRule="exact"/>
        <w:rPr>
          <w:sz w:val="20"/>
          <w:szCs w:val="20"/>
          <w:color w:val="auto"/>
        </w:rPr>
      </w:pPr>
    </w:p>
    <w:p>
      <w:pPr>
        <w:ind w:right="60" w:firstLine="438"/>
        <w:spacing w:after="0" w:line="271"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and nine months ended June 30, 2019 and 2018, the Investment Adviser did not accrue an incentive fee on capital gains as calculated under GAAP.</w:t>
      </w:r>
    </w:p>
    <w:p>
      <w:pPr>
        <w:spacing w:after="0" w:line="178" w:lineRule="exact"/>
        <w:rPr>
          <w:sz w:val="20"/>
          <w:szCs w:val="20"/>
          <w:color w:val="auto"/>
        </w:rPr>
      </w:pPr>
    </w:p>
    <w:p>
      <w:pPr>
        <w:ind w:right="100" w:firstLine="438"/>
        <w:spacing w:after="0" w:line="244"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2019.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2019, we reimbursed the Investment Adviser approximately $0.4 million and $1.5 million, respectively, including expenses the Investment Adviser incurred on behalf of the Administrator, for services described above. For the three and nine months ended June 30, 2018, we reimbursed the Investment Adviser approximately $0.5 million and $1.5 million, respectively, including expenses the Investment Adviser incurred on behalf of the Administrator, for services described above.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There were no transactions subject to Rule 17a-7 under the 1940 Act during both the three and nine months ended June 30, 2019 and 2018.</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221" w:lineRule="exact"/>
        <w:rPr>
          <w:sz w:val="20"/>
          <w:szCs w:val="20"/>
          <w:color w:val="auto"/>
        </w:rPr>
      </w:pPr>
    </w:p>
    <w:p>
      <w:pPr>
        <w:ind w:right="100" w:firstLine="438"/>
        <w:spacing w:after="0" w:line="296" w:lineRule="auto"/>
        <w:rPr>
          <w:sz w:val="20"/>
          <w:szCs w:val="20"/>
          <w:color w:val="auto"/>
        </w:rPr>
      </w:pPr>
      <w:r>
        <w:rPr>
          <w:rFonts w:ascii="Arial" w:cs="Arial" w:eastAsia="Arial" w:hAnsi="Arial"/>
          <w:sz w:val="12"/>
          <w:szCs w:val="12"/>
          <w:color w:val="auto"/>
        </w:rPr>
        <w:t>Purchases of investments, including PIK interest, for the three and nine months ended June 30, 2019 totaled $120.5 million and $503.6 million, respectively. For the same periods in the prior year, purchases of investments, including PIK interest, totaled $190.2 million and $433.0 million, respectively. Sales and repayments of investments for the three and nine months ended June 30, 2019 totaled $84.7 million and $325.6 million, respectively. For the same periods in the prior year, sales and repayments of investments totaled $117.7 million and $556.4 million, respectively.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760,728,305</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750,005,336</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536,875,632</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531,422,088</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287,284,100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288,068,802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385,201,277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391,038,029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59,662,203</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58,354,083</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48,617,113</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48,127,586</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226,018,556</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178,407,693</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273,122,153</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161,497,771</w:t>
            </w:r>
          </w:p>
        </w:tc>
        <w:tc>
          <w:tcPr>
            <w:tcW w:w="12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1,333,693,164</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1,274,835,914</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1,243,816,175</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1,132,085,474</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21,754,580</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21,744,836</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19,543,625</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19,506,154</w:t>
            </w:r>
          </w:p>
        </w:tc>
        <w:tc>
          <w:tcPr>
            <w:tcW w:w="12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1,355,447,744</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1,296,580,750</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1,263,359,800</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1,151,591,628</w:t>
            </w:r>
          </w:p>
        </w:tc>
        <w:tc>
          <w:tcPr>
            <w:tcW w:w="12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7" w:name="page18"/>
    <w:bookmarkEnd w:id="17"/>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40" w:type="dxa"/>
            <w:vAlign w:val="bottom"/>
            <w:tcBorders>
              <w:bottom w:val="single" w:sz="8" w:color="CCECFF"/>
            </w:tcBorders>
          </w:tcPr>
          <w:p>
            <w:pPr>
              <w:spacing w:after="0"/>
              <w:rPr>
                <w:sz w:val="14"/>
                <w:szCs w:val="14"/>
                <w:color w:val="auto"/>
              </w:rPr>
            </w:pPr>
          </w:p>
        </w:tc>
        <w:tc>
          <w:tcPr>
            <w:tcW w:w="21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June 30, 2019</w:t>
            </w:r>
          </w:p>
        </w:tc>
        <w:tc>
          <w:tcPr>
            <w:tcW w:w="440" w:type="dxa"/>
            <w:vAlign w:val="bottom"/>
            <w:tcBorders>
              <w:bottom w:val="single" w:sz="8" w:color="CCECFF"/>
            </w:tcBorders>
          </w:tcPr>
          <w:p>
            <w:pPr>
              <w:spacing w:after="0"/>
              <w:rPr>
                <w:sz w:val="14"/>
                <w:szCs w:val="14"/>
                <w:color w:val="auto"/>
              </w:rPr>
            </w:pPr>
          </w:p>
        </w:tc>
        <w:tc>
          <w:tcPr>
            <w:tcW w:w="2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September 30, 2018</w:t>
            </w:r>
          </w:p>
        </w:tc>
        <w:tc>
          <w:tcPr>
            <w:tcW w:w="240" w:type="dxa"/>
            <w:vAlign w:val="bottom"/>
            <w:tcBorders>
              <w:bottom w:val="single" w:sz="8" w:color="CCECFF"/>
            </w:tcBorders>
          </w:tcPr>
          <w:p>
            <w:pPr>
              <w:spacing w:after="0"/>
              <w:rPr>
                <w:sz w:val="14"/>
                <w:szCs w:val="14"/>
                <w:color w:val="auto"/>
              </w:rPr>
            </w:pPr>
          </w:p>
        </w:tc>
      </w:tr>
      <w:tr>
        <w:trPr>
          <w:trHeight w:val="155"/>
        </w:trPr>
        <w:tc>
          <w:tcPr>
            <w:tcW w:w="59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40" w:type="dxa"/>
            <w:vAlign w:val="bottom"/>
            <w:shd w:val="clear" w:color="auto" w:fill="CCECFF"/>
          </w:tcPr>
          <w:p>
            <w:pPr>
              <w:spacing w:after="0"/>
              <w:rPr>
                <w:sz w:val="13"/>
                <w:szCs w:val="13"/>
                <w:color w:val="auto"/>
              </w:rPr>
            </w:pPr>
          </w:p>
        </w:tc>
        <w:tc>
          <w:tcPr>
            <w:tcW w:w="2620" w:type="dxa"/>
            <w:vAlign w:val="bottom"/>
            <w:gridSpan w:val="2"/>
            <w:shd w:val="clear" w:color="auto" w:fill="CCECFF"/>
          </w:tcPr>
          <w:p>
            <w:pPr>
              <w:jc w:val="right"/>
              <w:ind w:right="320"/>
              <w:spacing w:after="0" w:line="155" w:lineRule="exact"/>
              <w:rPr>
                <w:sz w:val="20"/>
                <w:szCs w:val="20"/>
                <w:color w:val="auto"/>
              </w:rPr>
            </w:pPr>
            <w:r>
              <w:rPr>
                <w:rFonts w:ascii="Arial" w:cs="Arial" w:eastAsia="Arial" w:hAnsi="Arial"/>
                <w:sz w:val="14"/>
                <w:szCs w:val="14"/>
                <w:color w:val="auto"/>
              </w:rPr>
              <w:t>14%</w:t>
            </w:r>
          </w:p>
        </w:tc>
        <w:tc>
          <w:tcPr>
            <w:tcW w:w="2440" w:type="dxa"/>
            <w:vAlign w:val="bottom"/>
            <w:gridSpan w:val="2"/>
            <w:shd w:val="clear" w:color="auto" w:fill="CCECFF"/>
          </w:tcPr>
          <w:p>
            <w:pPr>
              <w:jc w:val="right"/>
              <w:ind w:right="120"/>
              <w:spacing w:after="0" w:line="155" w:lineRule="exact"/>
              <w:rPr>
                <w:sz w:val="20"/>
                <w:szCs w:val="20"/>
                <w:color w:val="auto"/>
              </w:rPr>
            </w:pPr>
            <w:r>
              <w:rPr>
                <w:rFonts w:ascii="Arial" w:cs="Arial" w:eastAsia="Arial" w:hAnsi="Arial"/>
                <w:sz w:val="14"/>
                <w:szCs w:val="14"/>
                <w:color w:val="auto"/>
              </w:rPr>
              <w:t>15%</w:t>
            </w:r>
          </w:p>
        </w:tc>
      </w:tr>
      <w:tr>
        <w:trPr>
          <w:trHeight w:val="162"/>
        </w:trPr>
        <w:tc>
          <w:tcPr>
            <w:tcW w:w="6180" w:type="dxa"/>
            <w:vAlign w:val="bottom"/>
            <w:gridSpan w:val="2"/>
          </w:tcPr>
          <w:p>
            <w:pPr>
              <w:spacing w:after="0"/>
              <w:rPr>
                <w:sz w:val="20"/>
                <w:szCs w:val="20"/>
                <w:color w:val="auto"/>
              </w:rPr>
            </w:pPr>
            <w:r>
              <w:rPr>
                <w:rFonts w:ascii="Arial" w:cs="Arial" w:eastAsia="Arial" w:hAnsi="Arial"/>
                <w:sz w:val="14"/>
                <w:szCs w:val="14"/>
                <w:color w:val="auto"/>
              </w:rPr>
              <w:t>Energy and Utilities</w:t>
            </w:r>
          </w:p>
        </w:tc>
        <w:tc>
          <w:tcPr>
            <w:tcW w:w="2180" w:type="dxa"/>
            <w:vAlign w:val="bottom"/>
          </w:tcPr>
          <w:p>
            <w:pPr>
              <w:jc w:val="right"/>
              <w:spacing w:after="0"/>
              <w:rPr>
                <w:sz w:val="20"/>
                <w:szCs w:val="20"/>
                <w:color w:val="auto"/>
              </w:rPr>
            </w:pPr>
            <w:r>
              <w:rPr>
                <w:rFonts w:ascii="Arial" w:cs="Arial" w:eastAsia="Arial" w:hAnsi="Arial"/>
                <w:sz w:val="14"/>
                <w:szCs w:val="14"/>
                <w:color w:val="auto"/>
              </w:rPr>
              <w:t>10</w:t>
            </w:r>
          </w:p>
        </w:tc>
        <w:tc>
          <w:tcPr>
            <w:tcW w:w="4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4"/>
                <w:szCs w:val="14"/>
                <w:color w:val="auto"/>
              </w:rPr>
            </w:pPr>
          </w:p>
        </w:tc>
      </w:tr>
      <w:tr>
        <w:trPr>
          <w:trHeight w:val="162"/>
        </w:trPr>
        <w:tc>
          <w:tcPr>
            <w:tcW w:w="6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w:t>
            </w:r>
          </w:p>
        </w:tc>
        <w:tc>
          <w:tcPr>
            <w:tcW w:w="2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44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ECFF"/>
          </w:tcPr>
          <w:p>
            <w:pPr>
              <w:spacing w:after="0"/>
              <w:rPr>
                <w:sz w:val="14"/>
                <w:szCs w:val="14"/>
                <w:color w:val="auto"/>
              </w:rPr>
            </w:pPr>
          </w:p>
        </w:tc>
      </w:tr>
      <w:tr>
        <w:trPr>
          <w:trHeight w:val="162"/>
        </w:trPr>
        <w:tc>
          <w:tcPr>
            <w:tcW w:w="618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2180" w:type="dxa"/>
            <w:vAlign w:val="bottom"/>
          </w:tcPr>
          <w:p>
            <w:pPr>
              <w:jc w:val="right"/>
              <w:spacing w:after="0"/>
              <w:rPr>
                <w:sz w:val="20"/>
                <w:szCs w:val="20"/>
                <w:color w:val="auto"/>
              </w:rPr>
            </w:pPr>
            <w:r>
              <w:rPr>
                <w:rFonts w:ascii="Arial" w:cs="Arial" w:eastAsia="Arial" w:hAnsi="Arial"/>
                <w:sz w:val="14"/>
                <w:szCs w:val="14"/>
                <w:color w:val="auto"/>
              </w:rPr>
              <w:t>6</w:t>
            </w:r>
          </w:p>
        </w:tc>
        <w:tc>
          <w:tcPr>
            <w:tcW w:w="4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4"/>
                <w:szCs w:val="14"/>
                <w:color w:val="auto"/>
              </w:rPr>
            </w:pPr>
          </w:p>
        </w:tc>
      </w:tr>
      <w:tr>
        <w:trPr>
          <w:trHeight w:val="162"/>
        </w:trPr>
        <w:tc>
          <w:tcPr>
            <w:tcW w:w="6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 Materials</w:t>
            </w:r>
          </w:p>
        </w:tc>
        <w:tc>
          <w:tcPr>
            <w:tcW w:w="2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44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CFF"/>
          </w:tcPr>
          <w:p>
            <w:pPr>
              <w:spacing w:after="0"/>
              <w:rPr>
                <w:sz w:val="14"/>
                <w:szCs w:val="14"/>
                <w:color w:val="auto"/>
              </w:rPr>
            </w:pPr>
          </w:p>
        </w:tc>
      </w:tr>
      <w:tr>
        <w:trPr>
          <w:trHeight w:val="162"/>
        </w:trPr>
        <w:tc>
          <w:tcPr>
            <w:tcW w:w="618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2180" w:type="dxa"/>
            <w:vAlign w:val="bottom"/>
          </w:tcPr>
          <w:p>
            <w:pPr>
              <w:jc w:val="right"/>
              <w:spacing w:after="0"/>
              <w:rPr>
                <w:sz w:val="20"/>
                <w:szCs w:val="20"/>
                <w:color w:val="auto"/>
              </w:rPr>
            </w:pPr>
            <w:r>
              <w:rPr>
                <w:rFonts w:ascii="Arial" w:cs="Arial" w:eastAsia="Arial" w:hAnsi="Arial"/>
                <w:sz w:val="14"/>
                <w:szCs w:val="14"/>
                <w:color w:val="auto"/>
              </w:rPr>
              <w:t>5</w:t>
            </w:r>
          </w:p>
        </w:tc>
        <w:tc>
          <w:tcPr>
            <w:tcW w:w="4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r>
      <w:tr>
        <w:trPr>
          <w:trHeight w:val="162"/>
        </w:trPr>
        <w:tc>
          <w:tcPr>
            <w:tcW w:w="6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Electronics</w:t>
            </w:r>
          </w:p>
        </w:tc>
        <w:tc>
          <w:tcPr>
            <w:tcW w:w="2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44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CFF"/>
          </w:tcPr>
          <w:p>
            <w:pPr>
              <w:spacing w:after="0"/>
              <w:rPr>
                <w:sz w:val="14"/>
                <w:szCs w:val="14"/>
                <w:color w:val="auto"/>
              </w:rPr>
            </w:pPr>
          </w:p>
        </w:tc>
      </w:tr>
      <w:tr>
        <w:trPr>
          <w:trHeight w:val="162"/>
        </w:trPr>
        <w:tc>
          <w:tcPr>
            <w:tcW w:w="6180" w:type="dxa"/>
            <w:vAlign w:val="bottom"/>
            <w:gridSpan w:val="2"/>
          </w:tcPr>
          <w:p>
            <w:pPr>
              <w:spacing w:after="0"/>
              <w:rPr>
                <w:sz w:val="20"/>
                <w:szCs w:val="20"/>
                <w:color w:val="auto"/>
              </w:rPr>
            </w:pPr>
            <w:r>
              <w:rPr>
                <w:rFonts w:ascii="Arial" w:cs="Arial" w:eastAsia="Arial" w:hAnsi="Arial"/>
                <w:sz w:val="14"/>
                <w:szCs w:val="14"/>
                <w:color w:val="auto"/>
              </w:rPr>
              <w:t>Auto Sector</w:t>
            </w:r>
          </w:p>
        </w:tc>
        <w:tc>
          <w:tcPr>
            <w:tcW w:w="2180" w:type="dxa"/>
            <w:vAlign w:val="bottom"/>
          </w:tcPr>
          <w:p>
            <w:pPr>
              <w:jc w:val="right"/>
              <w:spacing w:after="0"/>
              <w:rPr>
                <w:sz w:val="20"/>
                <w:szCs w:val="20"/>
                <w:color w:val="auto"/>
              </w:rPr>
            </w:pPr>
            <w:r>
              <w:rPr>
                <w:rFonts w:ascii="Arial" w:cs="Arial" w:eastAsia="Arial" w:hAnsi="Arial"/>
                <w:sz w:val="14"/>
                <w:szCs w:val="14"/>
                <w:color w:val="auto"/>
              </w:rPr>
              <w:t>4</w:t>
            </w:r>
          </w:p>
        </w:tc>
        <w:tc>
          <w:tcPr>
            <w:tcW w:w="4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r>
      <w:tr>
        <w:trPr>
          <w:trHeight w:val="162"/>
        </w:trPr>
        <w:tc>
          <w:tcPr>
            <w:tcW w:w="6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Environmental Services</w:t>
            </w:r>
          </w:p>
        </w:tc>
        <w:tc>
          <w:tcPr>
            <w:tcW w:w="2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44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CFF"/>
          </w:tcPr>
          <w:p>
            <w:pPr>
              <w:spacing w:after="0"/>
              <w:rPr>
                <w:sz w:val="14"/>
                <w:szCs w:val="14"/>
                <w:color w:val="auto"/>
              </w:rPr>
            </w:pPr>
          </w:p>
        </w:tc>
      </w:tr>
      <w:tr>
        <w:trPr>
          <w:trHeight w:val="162"/>
        </w:trPr>
        <w:tc>
          <w:tcPr>
            <w:tcW w:w="6180" w:type="dxa"/>
            <w:vAlign w:val="bottom"/>
            <w:gridSpan w:val="2"/>
          </w:tcPr>
          <w:p>
            <w:pPr>
              <w:spacing w:after="0"/>
              <w:rPr>
                <w:sz w:val="20"/>
                <w:szCs w:val="20"/>
                <w:color w:val="auto"/>
              </w:rPr>
            </w:pPr>
            <w:r>
              <w:rPr>
                <w:rFonts w:ascii="Arial" w:cs="Arial" w:eastAsia="Arial" w:hAnsi="Arial"/>
                <w:sz w:val="14"/>
                <w:szCs w:val="14"/>
                <w:color w:val="auto"/>
              </w:rPr>
              <w:t>Printing and Publishing</w:t>
            </w:r>
          </w:p>
        </w:tc>
        <w:tc>
          <w:tcPr>
            <w:tcW w:w="2180" w:type="dxa"/>
            <w:vAlign w:val="bottom"/>
          </w:tcPr>
          <w:p>
            <w:pPr>
              <w:jc w:val="right"/>
              <w:spacing w:after="0"/>
              <w:rPr>
                <w:sz w:val="20"/>
                <w:szCs w:val="20"/>
                <w:color w:val="auto"/>
              </w:rPr>
            </w:pPr>
            <w:r>
              <w:rPr>
                <w:rFonts w:ascii="Arial" w:cs="Arial" w:eastAsia="Arial" w:hAnsi="Arial"/>
                <w:sz w:val="14"/>
                <w:szCs w:val="14"/>
                <w:color w:val="auto"/>
              </w:rPr>
              <w:t>4</w:t>
            </w:r>
          </w:p>
        </w:tc>
        <w:tc>
          <w:tcPr>
            <w:tcW w:w="4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4"/>
                <w:szCs w:val="14"/>
                <w:color w:val="auto"/>
              </w:rPr>
            </w:pPr>
          </w:p>
        </w:tc>
      </w:tr>
      <w:tr>
        <w:trPr>
          <w:trHeight w:val="162"/>
        </w:trPr>
        <w:tc>
          <w:tcPr>
            <w:tcW w:w="6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Chemicals, Plastics and Rubber</w:t>
            </w:r>
          </w:p>
        </w:tc>
        <w:tc>
          <w:tcPr>
            <w:tcW w:w="2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44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CFF"/>
          </w:tcPr>
          <w:p>
            <w:pPr>
              <w:spacing w:after="0"/>
              <w:rPr>
                <w:sz w:val="14"/>
                <w:szCs w:val="14"/>
                <w:color w:val="auto"/>
              </w:rPr>
            </w:pPr>
          </w:p>
        </w:tc>
      </w:tr>
      <w:tr>
        <w:trPr>
          <w:trHeight w:val="162"/>
        </w:trPr>
        <w:tc>
          <w:tcPr>
            <w:tcW w:w="6180" w:type="dxa"/>
            <w:vAlign w:val="bottom"/>
            <w:gridSpan w:val="2"/>
          </w:tcPr>
          <w:p>
            <w:pPr>
              <w:spacing w:after="0"/>
              <w:rPr>
                <w:sz w:val="20"/>
                <w:szCs w:val="20"/>
                <w:color w:val="auto"/>
              </w:rPr>
            </w:pPr>
            <w:r>
              <w:rPr>
                <w:rFonts w:ascii="Arial" w:cs="Arial" w:eastAsia="Arial" w:hAnsi="Arial"/>
                <w:sz w:val="14"/>
                <w:szCs w:val="14"/>
                <w:color w:val="auto"/>
              </w:rPr>
              <w:t>Distribution</w:t>
            </w:r>
          </w:p>
        </w:tc>
        <w:tc>
          <w:tcPr>
            <w:tcW w:w="2180" w:type="dxa"/>
            <w:vAlign w:val="bottom"/>
          </w:tcPr>
          <w:p>
            <w:pPr>
              <w:jc w:val="right"/>
              <w:spacing w:after="0"/>
              <w:rPr>
                <w:sz w:val="20"/>
                <w:szCs w:val="20"/>
                <w:color w:val="auto"/>
              </w:rPr>
            </w:pPr>
            <w:r>
              <w:rPr>
                <w:rFonts w:ascii="Arial" w:cs="Arial" w:eastAsia="Arial" w:hAnsi="Arial"/>
                <w:sz w:val="14"/>
                <w:szCs w:val="14"/>
                <w:color w:val="auto"/>
              </w:rPr>
              <w:t>3</w:t>
            </w:r>
          </w:p>
        </w:tc>
        <w:tc>
          <w:tcPr>
            <w:tcW w:w="4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r>
      <w:tr>
        <w:trPr>
          <w:trHeight w:val="162"/>
        </w:trPr>
        <w:tc>
          <w:tcPr>
            <w:tcW w:w="6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Insurance</w:t>
            </w:r>
          </w:p>
        </w:tc>
        <w:tc>
          <w:tcPr>
            <w:tcW w:w="2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44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w:t>
            </w:r>
          </w:p>
        </w:tc>
        <w:tc>
          <w:tcPr>
            <w:tcW w:w="240" w:type="dxa"/>
            <w:vAlign w:val="bottom"/>
            <w:shd w:val="clear" w:color="auto" w:fill="CCECFF"/>
          </w:tcPr>
          <w:p>
            <w:pPr>
              <w:spacing w:after="0"/>
              <w:rPr>
                <w:sz w:val="14"/>
                <w:szCs w:val="14"/>
                <w:color w:val="auto"/>
              </w:rPr>
            </w:pPr>
          </w:p>
        </w:tc>
      </w:tr>
      <w:tr>
        <w:trPr>
          <w:trHeight w:val="162"/>
        </w:trPr>
        <w:tc>
          <w:tcPr>
            <w:tcW w:w="6180" w:type="dxa"/>
            <w:vAlign w:val="bottom"/>
            <w:gridSpan w:val="2"/>
          </w:tcPr>
          <w:p>
            <w:pPr>
              <w:spacing w:after="0"/>
              <w:rPr>
                <w:sz w:val="20"/>
                <w:szCs w:val="20"/>
                <w:color w:val="auto"/>
              </w:rPr>
            </w:pPr>
            <w:r>
              <w:rPr>
                <w:rFonts w:ascii="Arial" w:cs="Arial" w:eastAsia="Arial" w:hAnsi="Arial"/>
                <w:sz w:val="14"/>
                <w:szCs w:val="14"/>
                <w:color w:val="auto"/>
              </w:rPr>
              <w:t>Manufacturing / Basic Industries</w:t>
            </w:r>
          </w:p>
        </w:tc>
        <w:tc>
          <w:tcPr>
            <w:tcW w:w="2180" w:type="dxa"/>
            <w:vAlign w:val="bottom"/>
          </w:tcPr>
          <w:p>
            <w:pPr>
              <w:jc w:val="right"/>
              <w:spacing w:after="0"/>
              <w:rPr>
                <w:sz w:val="20"/>
                <w:szCs w:val="20"/>
                <w:color w:val="auto"/>
              </w:rPr>
            </w:pPr>
            <w:r>
              <w:rPr>
                <w:rFonts w:ascii="Arial" w:cs="Arial" w:eastAsia="Arial" w:hAnsi="Arial"/>
                <w:sz w:val="14"/>
                <w:szCs w:val="14"/>
                <w:color w:val="auto"/>
              </w:rPr>
              <w:t>3</w:t>
            </w:r>
          </w:p>
        </w:tc>
        <w:tc>
          <w:tcPr>
            <w:tcW w:w="4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r>
      <w:tr>
        <w:trPr>
          <w:trHeight w:val="162"/>
        </w:trPr>
        <w:tc>
          <w:tcPr>
            <w:tcW w:w="6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Oil and Gas</w:t>
            </w:r>
          </w:p>
        </w:tc>
        <w:tc>
          <w:tcPr>
            <w:tcW w:w="2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44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CFF"/>
          </w:tcPr>
          <w:p>
            <w:pPr>
              <w:spacing w:after="0"/>
              <w:rPr>
                <w:sz w:val="14"/>
                <w:szCs w:val="14"/>
                <w:color w:val="auto"/>
              </w:rPr>
            </w:pPr>
          </w:p>
        </w:tc>
      </w:tr>
      <w:tr>
        <w:trPr>
          <w:trHeight w:val="162"/>
        </w:trPr>
        <w:tc>
          <w:tcPr>
            <w:tcW w:w="6180" w:type="dxa"/>
            <w:vAlign w:val="bottom"/>
            <w:gridSpan w:val="2"/>
          </w:tcPr>
          <w:p>
            <w:pPr>
              <w:spacing w:after="0"/>
              <w:rPr>
                <w:sz w:val="20"/>
                <w:szCs w:val="20"/>
                <w:color w:val="auto"/>
              </w:rPr>
            </w:pPr>
            <w:r>
              <w:rPr>
                <w:rFonts w:ascii="Arial" w:cs="Arial" w:eastAsia="Arial" w:hAnsi="Arial"/>
                <w:sz w:val="14"/>
                <w:szCs w:val="14"/>
                <w:color w:val="auto"/>
              </w:rPr>
              <w:t>Personal, Food and Miscellaneous Services</w:t>
            </w:r>
          </w:p>
        </w:tc>
        <w:tc>
          <w:tcPr>
            <w:tcW w:w="2180" w:type="dxa"/>
            <w:vAlign w:val="bottom"/>
          </w:tcPr>
          <w:p>
            <w:pPr>
              <w:jc w:val="right"/>
              <w:spacing w:after="0"/>
              <w:rPr>
                <w:sz w:val="20"/>
                <w:szCs w:val="20"/>
                <w:color w:val="auto"/>
              </w:rPr>
            </w:pPr>
            <w:r>
              <w:rPr>
                <w:rFonts w:ascii="Arial" w:cs="Arial" w:eastAsia="Arial" w:hAnsi="Arial"/>
                <w:sz w:val="14"/>
                <w:szCs w:val="14"/>
                <w:color w:val="auto"/>
              </w:rPr>
              <w:t>3</w:t>
            </w:r>
          </w:p>
        </w:tc>
        <w:tc>
          <w:tcPr>
            <w:tcW w:w="4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r>
      <w:tr>
        <w:trPr>
          <w:trHeight w:val="162"/>
        </w:trPr>
        <w:tc>
          <w:tcPr>
            <w:tcW w:w="6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Transportation</w:t>
            </w:r>
          </w:p>
        </w:tc>
        <w:tc>
          <w:tcPr>
            <w:tcW w:w="2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44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w:t>
            </w:r>
          </w:p>
        </w:tc>
        <w:tc>
          <w:tcPr>
            <w:tcW w:w="240" w:type="dxa"/>
            <w:vAlign w:val="bottom"/>
            <w:shd w:val="clear" w:color="auto" w:fill="CCECFF"/>
          </w:tcPr>
          <w:p>
            <w:pPr>
              <w:spacing w:after="0"/>
              <w:rPr>
                <w:sz w:val="14"/>
                <w:szCs w:val="14"/>
                <w:color w:val="auto"/>
              </w:rPr>
            </w:pPr>
          </w:p>
        </w:tc>
      </w:tr>
      <w:tr>
        <w:trPr>
          <w:trHeight w:val="162"/>
        </w:trPr>
        <w:tc>
          <w:tcPr>
            <w:tcW w:w="618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2180" w:type="dxa"/>
            <w:vAlign w:val="bottom"/>
          </w:tcPr>
          <w:p>
            <w:pPr>
              <w:jc w:val="right"/>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r>
      <w:tr>
        <w:trPr>
          <w:trHeight w:val="162"/>
        </w:trPr>
        <w:tc>
          <w:tcPr>
            <w:tcW w:w="6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2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44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CFF"/>
          </w:tcPr>
          <w:p>
            <w:pPr>
              <w:spacing w:after="0"/>
              <w:rPr>
                <w:sz w:val="14"/>
                <w:szCs w:val="14"/>
                <w:color w:val="auto"/>
              </w:rPr>
            </w:pPr>
          </w:p>
        </w:tc>
      </w:tr>
      <w:tr>
        <w:trPr>
          <w:trHeight w:val="162"/>
        </w:trPr>
        <w:tc>
          <w:tcPr>
            <w:tcW w:w="6180" w:type="dxa"/>
            <w:vAlign w:val="bottom"/>
            <w:gridSpan w:val="2"/>
          </w:tcPr>
          <w:p>
            <w:pPr>
              <w:spacing w:after="0"/>
              <w:rPr>
                <w:sz w:val="20"/>
                <w:szCs w:val="20"/>
                <w:color w:val="auto"/>
              </w:rPr>
            </w:pPr>
            <w:r>
              <w:rPr>
                <w:rFonts w:ascii="Arial" w:cs="Arial" w:eastAsia="Arial" w:hAnsi="Arial"/>
                <w:sz w:val="14"/>
                <w:szCs w:val="14"/>
                <w:color w:val="auto"/>
              </w:rPr>
              <w:t>Financial Services</w:t>
            </w:r>
          </w:p>
        </w:tc>
        <w:tc>
          <w:tcPr>
            <w:tcW w:w="2180" w:type="dxa"/>
            <w:vAlign w:val="bottom"/>
          </w:tcPr>
          <w:p>
            <w:pPr>
              <w:jc w:val="right"/>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r>
      <w:tr>
        <w:trPr>
          <w:trHeight w:val="162"/>
        </w:trPr>
        <w:tc>
          <w:tcPr>
            <w:tcW w:w="6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Home and Office Furnishings</w:t>
            </w:r>
          </w:p>
        </w:tc>
        <w:tc>
          <w:tcPr>
            <w:tcW w:w="2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44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CFF"/>
          </w:tcPr>
          <w:p>
            <w:pPr>
              <w:spacing w:after="0"/>
              <w:rPr>
                <w:sz w:val="14"/>
                <w:szCs w:val="14"/>
                <w:color w:val="auto"/>
              </w:rPr>
            </w:pPr>
          </w:p>
        </w:tc>
      </w:tr>
      <w:tr>
        <w:trPr>
          <w:trHeight w:val="162"/>
        </w:trPr>
        <w:tc>
          <w:tcPr>
            <w:tcW w:w="6180" w:type="dxa"/>
            <w:vAlign w:val="bottom"/>
            <w:gridSpan w:val="2"/>
          </w:tcPr>
          <w:p>
            <w:pPr>
              <w:spacing w:after="0"/>
              <w:rPr>
                <w:sz w:val="20"/>
                <w:szCs w:val="20"/>
                <w:color w:val="auto"/>
              </w:rPr>
            </w:pPr>
            <w:r>
              <w:rPr>
                <w:rFonts w:ascii="Arial" w:cs="Arial" w:eastAsia="Arial" w:hAnsi="Arial"/>
                <w:sz w:val="14"/>
                <w:szCs w:val="14"/>
                <w:color w:val="auto"/>
              </w:rPr>
              <w:t>Other Media</w:t>
            </w:r>
          </w:p>
        </w:tc>
        <w:tc>
          <w:tcPr>
            <w:tcW w:w="2180" w:type="dxa"/>
            <w:vAlign w:val="bottom"/>
          </w:tcPr>
          <w:p>
            <w:pPr>
              <w:jc w:val="right"/>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r>
      <w:tr>
        <w:trPr>
          <w:trHeight w:val="162"/>
        </w:trPr>
        <w:tc>
          <w:tcPr>
            <w:tcW w:w="6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Buildings and Real Estate</w:t>
            </w:r>
          </w:p>
        </w:tc>
        <w:tc>
          <w:tcPr>
            <w:tcW w:w="2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44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CFF"/>
          </w:tcPr>
          <w:p>
            <w:pPr>
              <w:spacing w:after="0"/>
              <w:rPr>
                <w:sz w:val="14"/>
                <w:szCs w:val="14"/>
                <w:color w:val="auto"/>
              </w:rPr>
            </w:pPr>
          </w:p>
        </w:tc>
      </w:tr>
      <w:tr>
        <w:trPr>
          <w:trHeight w:val="162"/>
        </w:trPr>
        <w:tc>
          <w:tcPr>
            <w:tcW w:w="6180" w:type="dxa"/>
            <w:vAlign w:val="bottom"/>
            <w:gridSpan w:val="2"/>
          </w:tcPr>
          <w:p>
            <w:pPr>
              <w:spacing w:after="0"/>
              <w:rPr>
                <w:sz w:val="20"/>
                <w:szCs w:val="20"/>
                <w:color w:val="auto"/>
              </w:rPr>
            </w:pPr>
            <w:r>
              <w:rPr>
                <w:rFonts w:ascii="Arial" w:cs="Arial" w:eastAsia="Arial" w:hAnsi="Arial"/>
                <w:sz w:val="14"/>
                <w:szCs w:val="14"/>
                <w:color w:val="auto"/>
              </w:rPr>
              <w:t>Hotels, Motels, Inns and Gaming</w:t>
            </w:r>
          </w:p>
        </w:tc>
        <w:tc>
          <w:tcPr>
            <w:tcW w:w="2180" w:type="dxa"/>
            <w:vAlign w:val="bottom"/>
          </w:tcPr>
          <w:p>
            <w:pPr>
              <w:jc w:val="right"/>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4"/>
                <w:szCs w:val="14"/>
                <w:color w:val="auto"/>
              </w:rPr>
            </w:pPr>
          </w:p>
        </w:tc>
      </w:tr>
      <w:tr>
        <w:trPr>
          <w:trHeight w:val="162"/>
        </w:trPr>
        <w:tc>
          <w:tcPr>
            <w:tcW w:w="6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Other</w:t>
            </w:r>
          </w:p>
        </w:tc>
        <w:tc>
          <w:tcPr>
            <w:tcW w:w="2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440" w:type="dxa"/>
            <w:vAlign w:val="bottom"/>
            <w:shd w:val="clear" w:color="auto" w:fill="CCECFF"/>
          </w:tcPr>
          <w:p>
            <w:pPr>
              <w:spacing w:after="0"/>
              <w:rPr>
                <w:sz w:val="14"/>
                <w:szCs w:val="14"/>
                <w:color w:val="auto"/>
              </w:rPr>
            </w:pPr>
          </w:p>
        </w:tc>
        <w:tc>
          <w:tcPr>
            <w:tcW w:w="2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CFF"/>
          </w:tcPr>
          <w:p>
            <w:pPr>
              <w:spacing w:after="0"/>
              <w:rPr>
                <w:sz w:val="14"/>
                <w:szCs w:val="14"/>
                <w:color w:val="auto"/>
              </w:rPr>
            </w:pPr>
          </w:p>
        </w:tc>
      </w:tr>
      <w:tr>
        <w:trPr>
          <w:trHeight w:val="156"/>
        </w:trPr>
        <w:tc>
          <w:tcPr>
            <w:tcW w:w="618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26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100%</w:t>
            </w:r>
          </w:p>
        </w:tc>
        <w:tc>
          <w:tcPr>
            <w:tcW w:w="24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5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221" w:lineRule="exact"/>
        <w:rPr>
          <w:sz w:val="20"/>
          <w:szCs w:val="20"/>
          <w:color w:val="auto"/>
        </w:rPr>
      </w:pPr>
    </w:p>
    <w:p>
      <w:pPr>
        <w:ind w:right="280"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17"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217"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65"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217"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Facilities are classified as Level 3. Our 2019 Notes were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97"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nine months ended June 30, 2019 and 2018, our ability to observe valuation inputs resulted in no reclassifications.</w:t>
      </w:r>
    </w:p>
    <w:p>
      <w:pPr>
        <w:spacing w:after="0" w:line="196"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2019 Notes and our Credit Facilities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9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w:t>
      </w:r>
    </w:p>
    <w:p>
      <w:pPr>
        <w:spacing w:after="0" w:line="188" w:lineRule="exact"/>
        <w:rPr>
          <w:sz w:val="20"/>
          <w:szCs w:val="20"/>
          <w:color w:val="auto"/>
        </w:rPr>
      </w:pPr>
    </w:p>
    <w:p>
      <w:pPr>
        <w:ind w:right="8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Facilities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40" w:type="dxa"/>
            <w:vAlign w:val="bottom"/>
          </w:tcPr>
          <w:p>
            <w:pPr>
              <w:spacing w:after="0"/>
              <w:rPr>
                <w:sz w:val="14"/>
                <w:szCs w:val="14"/>
                <w:color w:val="auto"/>
              </w:rPr>
            </w:pPr>
          </w:p>
        </w:tc>
        <w:tc>
          <w:tcPr>
            <w:tcW w:w="140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80" w:type="dxa"/>
            <w:vAlign w:val="bottom"/>
          </w:tcPr>
          <w:p>
            <w:pPr>
              <w:spacing w:after="0"/>
              <w:rPr>
                <w:sz w:val="14"/>
                <w:szCs w:val="14"/>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Unobservable Input</w:t>
            </w:r>
          </w:p>
        </w:tc>
        <w:tc>
          <w:tcPr>
            <w:tcW w:w="2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28"/>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6"/>
        </w:trPr>
        <w:tc>
          <w:tcPr>
            <w:tcW w:w="26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33,347,100</w:t>
            </w:r>
          </w:p>
        </w:tc>
        <w:tc>
          <w:tcPr>
            <w:tcW w:w="28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680" w:type="dxa"/>
            <w:vAlign w:val="bottom"/>
            <w:tcBorders>
              <w:top w:val="single" w:sz="8" w:color="auto"/>
            </w:tcBorders>
            <w:shd w:val="clear" w:color="auto" w:fill="CCECFF"/>
          </w:tcPr>
          <w:p>
            <w:pPr>
              <w:spacing w:after="0"/>
              <w:rPr>
                <w:sz w:val="13"/>
                <w:szCs w:val="13"/>
                <w:color w:val="auto"/>
              </w:rPr>
            </w:pPr>
          </w:p>
        </w:tc>
        <w:tc>
          <w:tcPr>
            <w:tcW w:w="1300" w:type="dxa"/>
            <w:vAlign w:val="bottom"/>
            <w:tcBorders>
              <w:top w:val="single" w:sz="8" w:color="auto"/>
            </w:tcBorders>
            <w:shd w:val="clear" w:color="auto" w:fill="CCECFF"/>
          </w:tcPr>
          <w:p>
            <w:pPr>
              <w:jc w:val="center"/>
              <w:ind w:right="628"/>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77,896,464</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Broker/Dealer bids or quotes</w:t>
            </w:r>
          </w:p>
        </w:tc>
        <w:tc>
          <w:tcPr>
            <w:tcW w:w="680" w:type="dxa"/>
            <w:vAlign w:val="bottom"/>
          </w:tcPr>
          <w:p>
            <w:pPr>
              <w:spacing w:after="0"/>
              <w:rPr>
                <w:sz w:val="14"/>
                <w:szCs w:val="14"/>
                <w:color w:val="auto"/>
              </w:rPr>
            </w:pPr>
          </w:p>
        </w:tc>
        <w:tc>
          <w:tcPr>
            <w:tcW w:w="1400" w:type="dxa"/>
            <w:vAlign w:val="bottom"/>
            <w:gridSpan w:val="2"/>
          </w:tcPr>
          <w:p>
            <w:pPr>
              <w:jc w:val="center"/>
              <w:ind w:right="8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4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707,589,871</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w:t>
            </w:r>
          </w:p>
        </w:tc>
        <w:tc>
          <w:tcPr>
            <w:tcW w:w="140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 18.6% (9.1%)</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210,172,338</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680" w:type="dxa"/>
            <w:vAlign w:val="bottom"/>
          </w:tcPr>
          <w:p>
            <w:pPr>
              <w:jc w:val="right"/>
              <w:spacing w:after="0"/>
              <w:rPr>
                <w:sz w:val="20"/>
                <w:szCs w:val="20"/>
                <w:color w:val="auto"/>
              </w:rPr>
            </w:pPr>
            <w:r>
              <w:rPr>
                <w:rFonts w:ascii="Arial" w:cs="Arial" w:eastAsia="Arial" w:hAnsi="Arial"/>
                <w:sz w:val="14"/>
                <w:szCs w:val="14"/>
                <w:color w:val="auto"/>
              </w:rPr>
              <w:t>10.6%</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 12.7% (11.6%)</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4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58,354,083</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w:t>
            </w:r>
          </w:p>
        </w:tc>
        <w:tc>
          <w:tcPr>
            <w:tcW w:w="140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 16.5% (15.4%)</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9,068,365</w:t>
            </w:r>
          </w:p>
        </w:tc>
        <w:tc>
          <w:tcPr>
            <w:tcW w:w="280" w:type="dxa"/>
            <w:vAlign w:val="bottom"/>
          </w:tcPr>
          <w:p>
            <w:pPr>
              <w:spacing w:after="0"/>
              <w:rPr>
                <w:sz w:val="14"/>
                <w:szCs w:val="14"/>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680" w:type="dxa"/>
            <w:vAlign w:val="bottom"/>
          </w:tcPr>
          <w:p>
            <w:pPr>
              <w:spacing w:after="0"/>
              <w:rPr>
                <w:sz w:val="14"/>
                <w:szCs w:val="14"/>
                <w:color w:val="auto"/>
              </w:rPr>
            </w:pPr>
          </w:p>
        </w:tc>
        <w:tc>
          <w:tcPr>
            <w:tcW w:w="1400" w:type="dxa"/>
            <w:vAlign w:val="bottom"/>
            <w:gridSpan w:val="2"/>
          </w:tcPr>
          <w:p>
            <w:pPr>
              <w:jc w:val="center"/>
              <w:ind w:right="800"/>
              <w:spacing w:after="0"/>
              <w:rPr>
                <w:sz w:val="20"/>
                <w:szCs w:val="20"/>
                <w:color w:val="auto"/>
              </w:rPr>
            </w:pPr>
            <w:r>
              <w:rPr>
                <w:rFonts w:ascii="Arial" w:cs="Arial" w:eastAsia="Arial" w:hAnsi="Arial"/>
                <w:sz w:val="14"/>
                <w:szCs w:val="14"/>
                <w:color w:val="auto"/>
                <w:w w:val="90"/>
              </w:rPr>
              <w:t>7.0x</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24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177,537,489</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080" w:type="dxa"/>
            <w:vAlign w:val="bottom"/>
            <w:gridSpan w:val="3"/>
            <w:shd w:val="clear" w:color="auto" w:fill="CCECFF"/>
          </w:tcPr>
          <w:p>
            <w:pPr>
              <w:jc w:val="center"/>
              <w:ind w:right="120"/>
              <w:spacing w:after="0"/>
              <w:rPr>
                <w:sz w:val="20"/>
                <w:szCs w:val="20"/>
                <w:color w:val="auto"/>
              </w:rPr>
            </w:pPr>
            <w:r>
              <w:rPr>
                <w:rFonts w:ascii="Arial" w:cs="Arial" w:eastAsia="Arial" w:hAnsi="Arial"/>
                <w:sz w:val="14"/>
                <w:szCs w:val="14"/>
                <w:color w:val="auto"/>
                <w:w w:val="94"/>
              </w:rPr>
              <w:t>0.6x – 38.79x (32.9x)</w:t>
            </w:r>
          </w:p>
        </w:tc>
        <w:tc>
          <w:tcPr>
            <w:tcW w:w="0" w:type="dxa"/>
            <w:vAlign w:val="bottom"/>
          </w:tcPr>
          <w:p>
            <w:pPr>
              <w:spacing w:after="0"/>
              <w:rPr>
                <w:sz w:val="1"/>
                <w:szCs w:val="1"/>
                <w:color w:val="auto"/>
              </w:rPr>
            </w:pPr>
          </w:p>
        </w:tc>
      </w:tr>
      <w:tr>
        <w:trPr>
          <w:trHeight w:val="195"/>
        </w:trPr>
        <w:tc>
          <w:tcPr>
            <w:tcW w:w="276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1,273,965,710</w:t>
            </w:r>
          </w:p>
        </w:tc>
        <w:tc>
          <w:tcPr>
            <w:tcW w:w="28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680" w:type="dxa"/>
            <w:vAlign w:val="bottom"/>
            <w:tcBorders>
              <w:bottom w:val="single" w:sz="8" w:color="CCECFF"/>
            </w:tcBorders>
          </w:tcPr>
          <w:p>
            <w:pPr>
              <w:spacing w:after="0"/>
              <w:rPr>
                <w:sz w:val="17"/>
                <w:szCs w:val="17"/>
                <w:color w:val="auto"/>
              </w:rPr>
            </w:pPr>
          </w:p>
        </w:tc>
        <w:tc>
          <w:tcPr>
            <w:tcW w:w="130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6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BNP Credit Facility</w:t>
            </w:r>
          </w:p>
        </w:tc>
        <w:tc>
          <w:tcPr>
            <w:tcW w:w="240" w:type="dxa"/>
            <w:vAlign w:val="bottom"/>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177,110,000</w:t>
            </w:r>
          </w:p>
        </w:tc>
        <w:tc>
          <w:tcPr>
            <w:tcW w:w="280" w:type="dxa"/>
            <w:vAlign w:val="bottom"/>
            <w:shd w:val="clear" w:color="auto" w:fill="CCECFF"/>
          </w:tcPr>
          <w:p>
            <w:pPr>
              <w:spacing w:after="0"/>
              <w:rPr>
                <w:sz w:val="12"/>
                <w:szCs w:val="12"/>
                <w:color w:val="auto"/>
              </w:rPr>
            </w:pPr>
          </w:p>
        </w:tc>
        <w:tc>
          <w:tcPr>
            <w:tcW w:w="2240" w:type="dxa"/>
            <w:vAlign w:val="bottom"/>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680" w:type="dxa"/>
            <w:vAlign w:val="bottom"/>
            <w:shd w:val="clear" w:color="auto" w:fill="CCECFF"/>
          </w:tcPr>
          <w:p>
            <w:pPr>
              <w:spacing w:after="0"/>
              <w:rPr>
                <w:sz w:val="12"/>
                <w:szCs w:val="12"/>
                <w:color w:val="auto"/>
              </w:rPr>
            </w:pPr>
          </w:p>
        </w:tc>
        <w:tc>
          <w:tcPr>
            <w:tcW w:w="1300" w:type="dxa"/>
            <w:vAlign w:val="bottom"/>
            <w:shd w:val="clear" w:color="auto" w:fill="CCECFF"/>
          </w:tcPr>
          <w:p>
            <w:pPr>
              <w:jc w:val="center"/>
              <w:ind w:right="628"/>
              <w:spacing w:after="0" w:line="143" w:lineRule="exact"/>
              <w:rPr>
                <w:sz w:val="20"/>
                <w:szCs w:val="20"/>
                <w:color w:val="auto"/>
              </w:rPr>
            </w:pPr>
            <w:r>
              <w:rPr>
                <w:rFonts w:ascii="Arial" w:cs="Arial" w:eastAsia="Arial" w:hAnsi="Arial"/>
                <w:sz w:val="14"/>
                <w:szCs w:val="14"/>
                <w:color w:val="auto"/>
                <w:w w:val="87"/>
              </w:rPr>
              <w:t>4.5%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SunTrust Credit Facility</w:t>
            </w: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372,060,191</w:t>
            </w:r>
          </w:p>
        </w:tc>
        <w:tc>
          <w:tcPr>
            <w:tcW w:w="280" w:type="dxa"/>
            <w:vAlign w:val="bottom"/>
            <w:tcBorders>
              <w:bottom w:val="single" w:sz="8" w:color="CCECFF"/>
            </w:tcBorders>
          </w:tcPr>
          <w:p>
            <w:pPr>
              <w:spacing w:after="0"/>
              <w:rPr>
                <w:sz w:val="14"/>
                <w:szCs w:val="14"/>
                <w:color w:val="auto"/>
              </w:rPr>
            </w:pPr>
          </w:p>
        </w:tc>
        <w:tc>
          <w:tcPr>
            <w:tcW w:w="224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680" w:type="dxa"/>
            <w:vAlign w:val="bottom"/>
            <w:tcBorders>
              <w:bottom w:val="single" w:sz="8" w:color="CCECFF"/>
            </w:tcBorders>
          </w:tcPr>
          <w:p>
            <w:pPr>
              <w:spacing w:after="0"/>
              <w:rPr>
                <w:sz w:val="14"/>
                <w:szCs w:val="14"/>
                <w:color w:val="auto"/>
              </w:rPr>
            </w:pPr>
          </w:p>
        </w:tc>
        <w:tc>
          <w:tcPr>
            <w:tcW w:w="1300" w:type="dxa"/>
            <w:vAlign w:val="bottom"/>
            <w:tcBorders>
              <w:bottom w:val="single" w:sz="8" w:color="CCECFF"/>
            </w:tcBorders>
          </w:tcPr>
          <w:p>
            <w:pPr>
              <w:jc w:val="center"/>
              <w:ind w:right="628"/>
              <w:spacing w:after="0"/>
              <w:rPr>
                <w:sz w:val="20"/>
                <w:szCs w:val="20"/>
                <w:color w:val="auto"/>
              </w:rPr>
            </w:pPr>
            <w:r>
              <w:rPr>
                <w:rFonts w:ascii="Arial" w:cs="Arial" w:eastAsia="Arial" w:hAnsi="Arial"/>
                <w:sz w:val="14"/>
                <w:szCs w:val="14"/>
                <w:color w:val="auto"/>
                <w:w w:val="87"/>
              </w:rPr>
              <w:t>4.7%</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6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Credit Facilities</w:t>
            </w: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549,170,191</w:t>
            </w:r>
          </w:p>
        </w:tc>
        <w:tc>
          <w:tcPr>
            <w:tcW w:w="28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680" w:type="dxa"/>
            <w:vAlign w:val="bottom"/>
            <w:tcBorders>
              <w:bottom w:val="single" w:sz="8" w:color="CCECFF"/>
            </w:tcBorders>
            <w:shd w:val="clear" w:color="auto" w:fill="CCECFF"/>
          </w:tcPr>
          <w:p>
            <w:pPr>
              <w:spacing w:after="0"/>
              <w:rPr>
                <w:sz w:val="13"/>
                <w:szCs w:val="13"/>
                <w:color w:val="auto"/>
              </w:rPr>
            </w:pPr>
          </w:p>
        </w:tc>
        <w:tc>
          <w:tcPr>
            <w:tcW w:w="13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80" w:type="dxa"/>
            <w:vAlign w:val="bottom"/>
          </w:tcPr>
          <w:p>
            <w:pPr>
              <w:spacing w:after="0"/>
              <w:rPr>
                <w:sz w:val="14"/>
                <w:szCs w:val="14"/>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Unobservable Input</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September 30, 2018</w:t>
            </w:r>
          </w:p>
        </w:tc>
        <w:tc>
          <w:tcPr>
            <w:tcW w:w="28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55"/>
        </w:trPr>
        <w:tc>
          <w:tcPr>
            <w:tcW w:w="26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Second lien</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164,734,450</w:t>
            </w:r>
          </w:p>
        </w:tc>
        <w:tc>
          <w:tcPr>
            <w:tcW w:w="28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531,422,088</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7.4% – 17.5% (10.1%)</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226,303,579</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10.7% – 14.1% (13.3%)</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Subordinated debt / corporate notes</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48,127,586</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12.5% – 15.3% (14.5%)</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4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160,656,044</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0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3.9x – 13.8x (8.2x)</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1,131,243,747</w:t>
            </w:r>
          </w:p>
        </w:tc>
        <w:tc>
          <w:tcPr>
            <w:tcW w:w="28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6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color w:val="auto"/>
              </w:rPr>
              <w:t>SunTrust Credit Facility</w:t>
            </w: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77,645,830</w:t>
            </w:r>
          </w:p>
        </w:tc>
        <w:tc>
          <w:tcPr>
            <w:tcW w:w="280" w:type="dxa"/>
            <w:vAlign w:val="bottom"/>
            <w:tcBorders>
              <w:bottom w:val="single" w:sz="8" w:color="CCECFF"/>
            </w:tcBorders>
            <w:shd w:val="clear" w:color="auto" w:fill="CCECFF"/>
          </w:tcPr>
          <w:p>
            <w:pPr>
              <w:spacing w:after="0"/>
              <w:rPr>
                <w:sz w:val="12"/>
                <w:szCs w:val="12"/>
                <w:color w:val="auto"/>
              </w:rPr>
            </w:pPr>
          </w:p>
        </w:tc>
        <w:tc>
          <w:tcPr>
            <w:tcW w:w="224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2"/>
              </w:rPr>
              <w:t>Market Comparable</w:t>
            </w:r>
          </w:p>
        </w:tc>
        <w:tc>
          <w:tcPr>
            <w:tcW w:w="224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208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5.5%</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and Credit Facilities were categorized as follows in the fair value hierarchy for ASC 820 purposes: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Fair Value at June 30, 2019</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44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1,096,428,221</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1,096,428,221</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Equity investments</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178,407,693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870,204</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177,537,489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40" w:type="dxa"/>
            <w:vAlign w:val="bottom"/>
            <w:tcBorders>
              <w:top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24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1,274,835,914</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870,204</w:t>
            </w:r>
          </w:p>
        </w:tc>
        <w:tc>
          <w:tcPr>
            <w:tcW w:w="26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1,273,965,710</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21,744,836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21,744,836</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4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1,296,580,750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22,615,040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shd w:val="clear" w:color="auto" w:fill="CCECFF"/>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1,273,965,710</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BNP Credit Facility</w:t>
            </w: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40" w:type="dxa"/>
            <w:vAlign w:val="bottom"/>
            <w:gridSpan w:val="2"/>
            <w:vMerge w:val="continue"/>
          </w:tcPr>
          <w:p>
            <w:pPr>
              <w:spacing w:after="0"/>
              <w:rPr>
                <w:sz w:val="12"/>
                <w:szCs w:val="12"/>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177,110,000</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40" w:type="dxa"/>
            <w:vAlign w:val="bottom"/>
            <w:tcBorders>
              <w:top w:val="single" w:sz="8" w:color="auto"/>
            </w:tcBorders>
          </w:tcPr>
          <w:p>
            <w:pPr>
              <w:jc w:val="right"/>
              <w:ind w:right="988"/>
              <w:spacing w:after="0" w:line="143"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tcPr>
          <w:p>
            <w:pPr>
              <w:ind w:left="180"/>
              <w:spacing w:after="0" w:line="143"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177,110,000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SunTrust Credit Facility</w:t>
            </w: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372,060,191</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600" w:type="dxa"/>
            <w:vAlign w:val="bottom"/>
            <w:gridSpan w:val="2"/>
            <w:shd w:val="clear" w:color="auto" w:fill="CCECFF"/>
          </w:tcPr>
          <w:p>
            <w:pPr>
              <w:ind w:lef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372,060,191</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4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Total Credit Facilities</w:t>
            </w: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549,170,191</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549,170,191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 w:name="page20"/>
    <w:bookmarkEnd w:id="19"/>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12"/>
          </w:tcPr>
          <w:p>
            <w:pPr>
              <w:jc w:val="right"/>
              <w:ind w:right="780"/>
              <w:spacing w:after="0"/>
              <w:rPr>
                <w:sz w:val="20"/>
                <w:szCs w:val="20"/>
                <w:color w:val="auto"/>
              </w:rPr>
            </w:pPr>
            <w:r>
              <w:rPr>
                <w:rFonts w:ascii="Arial" w:cs="Arial" w:eastAsia="Arial" w:hAnsi="Arial"/>
                <w:sz w:val="14"/>
                <w:szCs w:val="14"/>
                <w:b w:val="1"/>
                <w:bCs w:val="1"/>
                <w:color w:val="auto"/>
              </w:rPr>
              <w:t>Fair Value at September 30, 2018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Fair Value</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5"/>
          </w:tcPr>
          <w:p>
            <w:pPr>
              <w:jc w:val="right"/>
              <w:ind w:right="740"/>
              <w:spacing w:after="0" w:line="155"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4"/>
          </w:tcPr>
          <w:p>
            <w:pPr>
              <w:jc w:val="right"/>
              <w:ind w:right="70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CFF"/>
          </w:tcPr>
          <w:p>
            <w:pPr>
              <w:spacing w:after="0"/>
              <w:rPr>
                <w:sz w:val="13"/>
                <w:szCs w:val="13"/>
                <w:color w:val="auto"/>
              </w:rPr>
            </w:pPr>
          </w:p>
        </w:tc>
        <w:tc>
          <w:tcPr>
            <w:tcW w:w="114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161,497,771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841,727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160,656,044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spacing w:after="0"/>
              <w:rPr>
                <w:sz w:val="13"/>
                <w:szCs w:val="13"/>
                <w:color w:val="auto"/>
              </w:rPr>
            </w:pP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1,132,085,474</w:t>
            </w:r>
          </w:p>
        </w:tc>
        <w:tc>
          <w:tcPr>
            <w:tcW w:w="2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841,727</w:t>
            </w:r>
          </w:p>
        </w:tc>
        <w:tc>
          <w:tcPr>
            <w:tcW w:w="8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14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1,131,243,747</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19,506,154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19,506,154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80" w:type="dxa"/>
            <w:vAlign w:val="bottom"/>
            <w:tcBorders>
              <w:top w:val="single" w:sz="8" w:color="auto"/>
              <w:bottom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1,151,591,628</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08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20,347,881</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4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1,131,243,747</w:t>
            </w:r>
          </w:p>
        </w:tc>
        <w:tc>
          <w:tcPr>
            <w:tcW w:w="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SunTrust Credit Facility</w:t>
            </w:r>
          </w:p>
        </w:tc>
        <w:tc>
          <w:tcPr>
            <w:tcW w:w="5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auto"/>
            </w:tcBorders>
          </w:tcPr>
          <w:p>
            <w:pPr>
              <w:jc w:val="right"/>
              <w:ind w:right="228"/>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77,645,830</w:t>
            </w:r>
          </w:p>
        </w:tc>
        <w:tc>
          <w:tcPr>
            <w:tcW w:w="260" w:type="dxa"/>
            <w:vAlign w:val="bottom"/>
          </w:tcPr>
          <w:p>
            <w:pPr>
              <w:spacing w:after="0"/>
              <w:rPr>
                <w:sz w:val="12"/>
                <w:szCs w:val="12"/>
                <w:color w:val="auto"/>
              </w:rPr>
            </w:pPr>
          </w:p>
        </w:tc>
        <w:tc>
          <w:tcPr>
            <w:tcW w:w="160" w:type="dxa"/>
            <w:vAlign w:val="bottom"/>
            <w:tcBorders>
              <w:top w:val="single" w:sz="8" w:color="auto"/>
            </w:tcBorders>
            <w:gridSpan w:val="2"/>
          </w:tcPr>
          <w:p>
            <w:pPr>
              <w:jc w:val="right"/>
              <w:ind w:right="80"/>
              <w:spacing w:after="0" w:line="143"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77,645,830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251,322,500</w:t>
            </w: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5"/>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251,322,500</w:t>
            </w: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328,968,330</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251,322,500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77,645,830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0000" w:type="dxa"/>
            <w:vAlign w:val="bottom"/>
            <w:gridSpan w:val="24"/>
          </w:tcPr>
          <w:p>
            <w:pPr>
              <w:ind w:left="440"/>
              <w:spacing w:after="0"/>
              <w:rPr>
                <w:sz w:val="20"/>
                <w:szCs w:val="20"/>
                <w:color w:val="auto"/>
              </w:rPr>
            </w:pPr>
            <w:r>
              <w:rPr>
                <w:rFonts w:ascii="Arial" w:cs="Arial" w:eastAsia="Arial" w:hAnsi="Arial"/>
                <w:sz w:val="14"/>
                <w:szCs w:val="14"/>
                <w:color w:val="auto"/>
                <w:w w:val="94"/>
              </w:rPr>
              <w:t>The tables below show a reconciliation of the beginning and ending balances for fair valued investments measured using significant unobservable inputs (Level 3):</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13"/>
          </w:tcPr>
          <w:p>
            <w:pPr>
              <w:jc w:val="center"/>
              <w:ind w:right="68"/>
              <w:spacing w:after="0"/>
              <w:rPr>
                <w:sz w:val="20"/>
                <w:szCs w:val="20"/>
                <w:color w:val="auto"/>
              </w:rPr>
            </w:pPr>
            <w:r>
              <w:rPr>
                <w:rFonts w:ascii="Arial" w:cs="Arial" w:eastAsia="Arial" w:hAnsi="Arial"/>
                <w:sz w:val="14"/>
                <w:szCs w:val="14"/>
                <w:b w:val="1"/>
                <w:bCs w:val="1"/>
                <w:color w:val="auto"/>
                <w:w w:val="93"/>
              </w:rPr>
              <w:t>Nine Months Ended June 30, 2019</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spacing w:after="0"/>
              <w:rPr>
                <w:sz w:val="13"/>
                <w:szCs w:val="13"/>
                <w:color w:val="auto"/>
              </w:rPr>
            </w:pPr>
          </w:p>
        </w:tc>
        <w:tc>
          <w:tcPr>
            <w:tcW w:w="110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4"/>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3"/>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160,656,044</w:t>
            </w: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gridSpan w:val="2"/>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1,131,243,747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loss</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5"/>
          </w:tcPr>
          <w:p>
            <w:pPr>
              <w:jc w:val="right"/>
              <w:ind w:right="20"/>
              <w:spacing w:after="0"/>
              <w:rPr>
                <w:sz w:val="20"/>
                <w:szCs w:val="20"/>
                <w:color w:val="auto"/>
              </w:rPr>
            </w:pPr>
            <w:r>
              <w:rPr>
                <w:rFonts w:ascii="Arial" w:cs="Arial" w:eastAsia="Arial" w:hAnsi="Arial"/>
                <w:sz w:val="14"/>
                <w:szCs w:val="14"/>
                <w:color w:val="auto"/>
              </w:rPr>
              <w:t>(1,960,965)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4"/>
                <w:szCs w:val="14"/>
                <w:color w:val="auto"/>
              </w:rPr>
              <w:t>(88,205,089)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(90,166,054)</w:t>
            </w: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appreciation</w:t>
            </w:r>
          </w:p>
        </w:tc>
        <w:tc>
          <w:tcPr>
            <w:tcW w:w="1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5"/>
            <w:shd w:val="clear" w:color="auto" w:fill="CCECFF"/>
          </w:tcPr>
          <w:p>
            <w:pPr>
              <w:jc w:val="right"/>
              <w:ind w:right="20"/>
              <w:spacing w:after="0"/>
              <w:rPr>
                <w:sz w:val="20"/>
                <w:szCs w:val="20"/>
                <w:color w:val="auto"/>
              </w:rPr>
            </w:pPr>
            <w:r>
              <w:rPr>
                <w:rFonts w:ascii="Arial" w:cs="Arial" w:eastAsia="Arial" w:hAnsi="Arial"/>
                <w:sz w:val="14"/>
                <w:szCs w:val="14"/>
                <w:color w:val="auto"/>
              </w:rPr>
              <w:t>(11,140,066)</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64,713,351</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53,573,285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gridSpan w:val="3"/>
          </w:tcPr>
          <w:p>
            <w:pPr>
              <w:ind w:left="500"/>
              <w:spacing w:after="0"/>
              <w:rPr>
                <w:sz w:val="20"/>
                <w:szCs w:val="20"/>
                <w:color w:val="auto"/>
              </w:rPr>
            </w:pPr>
            <w:r>
              <w:rPr>
                <w:rFonts w:ascii="Arial" w:cs="Arial" w:eastAsia="Arial" w:hAnsi="Arial"/>
                <w:sz w:val="14"/>
                <w:szCs w:val="14"/>
                <w:color w:val="auto"/>
                <w:w w:val="94"/>
              </w:rPr>
              <w:t>Purchases, PIK interest, net discount accretion and non-cash exchanges</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color w:val="auto"/>
              </w:rPr>
              <w:t>455,226,215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4"/>
                <w:szCs w:val="14"/>
                <w:color w:val="auto"/>
              </w:rPr>
              <w:t>49,614,789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504,841,004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5"/>
            <w:shd w:val="clear" w:color="auto" w:fill="CCECFF"/>
          </w:tcPr>
          <w:p>
            <w:pPr>
              <w:jc w:val="right"/>
              <w:ind w:right="20"/>
              <w:spacing w:after="0"/>
              <w:rPr>
                <w:sz w:val="20"/>
                <w:szCs w:val="20"/>
                <w:color w:val="auto"/>
              </w:rPr>
            </w:pPr>
            <w:r>
              <w:rPr>
                <w:rFonts w:ascii="Arial" w:cs="Arial" w:eastAsia="Arial" w:hAnsi="Arial"/>
                <w:sz w:val="14"/>
                <w:szCs w:val="14"/>
                <w:color w:val="auto"/>
              </w:rPr>
              <w:t>(316,284,666)</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4"/>
            <w:shd w:val="clear" w:color="auto" w:fill="CCECFF"/>
          </w:tcPr>
          <w:p>
            <w:pPr>
              <w:jc w:val="right"/>
              <w:ind w:right="60"/>
              <w:spacing w:after="0"/>
              <w:rPr>
                <w:sz w:val="20"/>
                <w:szCs w:val="20"/>
                <w:color w:val="auto"/>
              </w:rPr>
            </w:pPr>
            <w:r>
              <w:rPr>
                <w:rFonts w:ascii="Arial" w:cs="Arial" w:eastAsia="Arial" w:hAnsi="Arial"/>
                <w:sz w:val="14"/>
                <w:szCs w:val="14"/>
                <w:color w:val="auto"/>
              </w:rPr>
              <w:t>(9,241,606)</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(325,526,272)</w:t>
            </w: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80" w:type="dxa"/>
            <w:vAlign w:val="bottom"/>
            <w:tcBorders>
              <w:top w:val="single" w:sz="8" w:color="CCECFF"/>
              <w:bottom w:val="single" w:sz="8" w:color="CCECFF"/>
            </w:tcBorders>
            <w:shd w:val="clear" w:color="auto" w:fill="CCECFF"/>
          </w:tcPr>
          <w:p>
            <w:pPr>
              <w:spacing w:after="0"/>
              <w:rPr>
                <w:sz w:val="13"/>
                <w:szCs w:val="13"/>
                <w:color w:val="auto"/>
              </w:rPr>
            </w:pPr>
          </w:p>
        </w:tc>
        <w:tc>
          <w:tcPr>
            <w:tcW w:w="1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4"/>
            <w:shd w:val="clear" w:color="auto" w:fill="CCECFF"/>
          </w:tcPr>
          <w:p>
            <w:pPr>
              <w:jc w:val="right"/>
              <w:spacing w:after="0" w:line="155" w:lineRule="exact"/>
              <w:rPr>
                <w:sz w:val="20"/>
                <w:szCs w:val="20"/>
                <w:color w:val="auto"/>
              </w:rPr>
            </w:pPr>
            <w:r>
              <w:rPr>
                <w:rFonts w:ascii="Arial" w:cs="Arial" w:eastAsia="Arial" w:hAnsi="Arial"/>
                <w:sz w:val="14"/>
                <w:szCs w:val="14"/>
                <w:color w:val="auto"/>
              </w:rPr>
              <w:t>1,096,428,221</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3"/>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177,537,489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1,273,965,710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60" w:type="dxa"/>
            <w:vAlign w:val="bottom"/>
            <w:gridSpan w:val="5"/>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6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unrealized depreciation on investments in our Consolidated Statements of Operations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gridSpan w:val="5"/>
          </w:tcPr>
          <w:p>
            <w:pPr>
              <w:jc w:val="right"/>
              <w:ind w:right="20"/>
              <w:spacing w:after="0"/>
              <w:rPr>
                <w:sz w:val="20"/>
                <w:szCs w:val="20"/>
                <w:color w:val="auto"/>
              </w:rPr>
            </w:pPr>
            <w:r>
              <w:rPr>
                <w:rFonts w:ascii="Arial" w:cs="Arial" w:eastAsia="Arial" w:hAnsi="Arial"/>
                <w:sz w:val="14"/>
                <w:szCs w:val="14"/>
                <w:color w:val="auto"/>
              </w:rPr>
              <w:t>(10,742,125)</w:t>
            </w:r>
          </w:p>
        </w:tc>
        <w:tc>
          <w:tcPr>
            <w:tcW w:w="38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4"/>
                <w:szCs w:val="14"/>
                <w:color w:val="auto"/>
              </w:rPr>
              <w:t>79,625,708</w:t>
            </w:r>
          </w:p>
        </w:tc>
        <w:tc>
          <w:tcPr>
            <w:tcW w:w="100" w:type="dxa"/>
            <w:vAlign w:val="bottom"/>
          </w:tcPr>
          <w:p>
            <w:pPr>
              <w:spacing w:after="0"/>
              <w:rPr>
                <w:sz w:val="14"/>
                <w:szCs w:val="14"/>
                <w:color w:val="auto"/>
              </w:rPr>
            </w:pPr>
          </w:p>
        </w:tc>
        <w:tc>
          <w:tcPr>
            <w:tcW w:w="44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68,883,583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13"/>
          </w:tcPr>
          <w:p>
            <w:pPr>
              <w:jc w:val="center"/>
              <w:ind w:right="68"/>
              <w:spacing w:after="0"/>
              <w:rPr>
                <w:sz w:val="20"/>
                <w:szCs w:val="20"/>
                <w:color w:val="auto"/>
              </w:rPr>
            </w:pPr>
            <w:r>
              <w:rPr>
                <w:rFonts w:ascii="Arial" w:cs="Arial" w:eastAsia="Arial" w:hAnsi="Arial"/>
                <w:sz w:val="14"/>
                <w:szCs w:val="14"/>
                <w:b w:val="1"/>
                <w:bCs w:val="1"/>
                <w:color w:val="auto"/>
                <w:w w:val="93"/>
              </w:rPr>
              <w:t>Nine Months Ended June 30, 2018</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spacing w:after="0"/>
              <w:rPr>
                <w:sz w:val="13"/>
                <w:szCs w:val="13"/>
                <w:color w:val="auto"/>
              </w:rPr>
            </w:pPr>
          </w:p>
        </w:tc>
        <w:tc>
          <w:tcPr>
            <w:tcW w:w="110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4"/>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3"/>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166,268,568</w:t>
            </w: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gridSpan w:val="2"/>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1,152,597,066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color w:val="auto"/>
              </w:rPr>
              <w:t>1,340,858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4"/>
                <w:szCs w:val="14"/>
                <w:color w:val="auto"/>
              </w:rPr>
              <w:t>41,609,016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42,949,874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w:t>
            </w:r>
          </w:p>
        </w:tc>
        <w:tc>
          <w:tcPr>
            <w:tcW w:w="1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5"/>
            <w:shd w:val="clear" w:color="auto" w:fill="CCECFF"/>
          </w:tcPr>
          <w:p>
            <w:pPr>
              <w:jc w:val="right"/>
              <w:ind w:right="20"/>
              <w:spacing w:after="0"/>
              <w:rPr>
                <w:sz w:val="20"/>
                <w:szCs w:val="20"/>
                <w:color w:val="auto"/>
              </w:rPr>
            </w:pPr>
            <w:r>
              <w:rPr>
                <w:rFonts w:ascii="Arial" w:cs="Arial" w:eastAsia="Arial" w:hAnsi="Arial"/>
                <w:sz w:val="14"/>
                <w:szCs w:val="14"/>
                <w:color w:val="auto"/>
              </w:rPr>
              <w:t>(11,599,547)</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4"/>
            <w:shd w:val="clear" w:color="auto" w:fill="CCECFF"/>
          </w:tcPr>
          <w:p>
            <w:pPr>
              <w:jc w:val="right"/>
              <w:ind w:right="60"/>
              <w:spacing w:after="0"/>
              <w:rPr>
                <w:sz w:val="20"/>
                <w:szCs w:val="20"/>
                <w:color w:val="auto"/>
              </w:rPr>
            </w:pPr>
            <w:r>
              <w:rPr>
                <w:rFonts w:ascii="Arial" w:cs="Arial" w:eastAsia="Arial" w:hAnsi="Arial"/>
                <w:sz w:val="14"/>
                <w:szCs w:val="14"/>
                <w:color w:val="auto"/>
              </w:rPr>
              <w:t>(38,534,814)</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(50,134,361)</w:t>
            </w:r>
          </w:p>
        </w:tc>
        <w:tc>
          <w:tcPr>
            <w:tcW w:w="0" w:type="dxa"/>
            <w:vAlign w:val="bottom"/>
          </w:tcPr>
          <w:p>
            <w:pPr>
              <w:spacing w:after="0"/>
              <w:rPr>
                <w:sz w:val="1"/>
                <w:szCs w:val="1"/>
                <w:color w:val="auto"/>
              </w:rPr>
            </w:pPr>
          </w:p>
        </w:tc>
      </w:tr>
      <w:tr>
        <w:trPr>
          <w:trHeight w:val="162"/>
        </w:trPr>
        <w:tc>
          <w:tcPr>
            <w:tcW w:w="4800" w:type="dxa"/>
            <w:vAlign w:val="bottom"/>
            <w:gridSpan w:val="3"/>
          </w:tcPr>
          <w:p>
            <w:pPr>
              <w:ind w:left="500"/>
              <w:spacing w:after="0"/>
              <w:rPr>
                <w:sz w:val="20"/>
                <w:szCs w:val="20"/>
                <w:color w:val="auto"/>
              </w:rPr>
            </w:pPr>
            <w:r>
              <w:rPr>
                <w:rFonts w:ascii="Arial" w:cs="Arial" w:eastAsia="Arial" w:hAnsi="Arial"/>
                <w:sz w:val="14"/>
                <w:szCs w:val="14"/>
                <w:color w:val="auto"/>
                <w:w w:val="94"/>
              </w:rPr>
              <w:t>Purchases, PIK interest, net discount accretion and non-cash exchanges</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color w:val="auto"/>
              </w:rPr>
              <w:t>380,262,900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4"/>
                <w:szCs w:val="14"/>
                <w:color w:val="auto"/>
              </w:rPr>
              <w:t>54,417,222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434,680,122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5"/>
            <w:shd w:val="clear" w:color="auto" w:fill="CCECFF"/>
          </w:tcPr>
          <w:p>
            <w:pPr>
              <w:jc w:val="right"/>
              <w:ind w:right="20"/>
              <w:spacing w:after="0"/>
              <w:rPr>
                <w:sz w:val="20"/>
                <w:szCs w:val="20"/>
                <w:color w:val="auto"/>
              </w:rPr>
            </w:pPr>
            <w:r>
              <w:rPr>
                <w:rFonts w:ascii="Arial" w:cs="Arial" w:eastAsia="Arial" w:hAnsi="Arial"/>
                <w:sz w:val="14"/>
                <w:szCs w:val="14"/>
                <w:color w:val="auto"/>
              </w:rPr>
              <w:t>(488,524,716)</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4"/>
            <w:shd w:val="clear" w:color="auto" w:fill="CCECFF"/>
          </w:tcPr>
          <w:p>
            <w:pPr>
              <w:jc w:val="right"/>
              <w:ind w:right="60"/>
              <w:spacing w:after="0"/>
              <w:rPr>
                <w:sz w:val="20"/>
                <w:szCs w:val="20"/>
                <w:color w:val="auto"/>
              </w:rPr>
            </w:pPr>
            <w:r>
              <w:rPr>
                <w:rFonts w:ascii="Arial" w:cs="Arial" w:eastAsia="Arial" w:hAnsi="Arial"/>
                <w:sz w:val="14"/>
                <w:szCs w:val="14"/>
                <w:color w:val="auto"/>
              </w:rPr>
              <w:t>(67,832,065)</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(556,356,781)</w:t>
            </w: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80" w:type="dxa"/>
            <w:vAlign w:val="bottom"/>
            <w:tcBorders>
              <w:top w:val="single" w:sz="8" w:color="CCECFF"/>
              <w:bottom w:val="single" w:sz="8" w:color="CCECFF"/>
            </w:tcBorders>
            <w:shd w:val="clear" w:color="auto" w:fill="CCECFF"/>
          </w:tcPr>
          <w:p>
            <w:pPr>
              <w:spacing w:after="0"/>
              <w:rPr>
                <w:sz w:val="13"/>
                <w:szCs w:val="13"/>
                <w:color w:val="auto"/>
              </w:rPr>
            </w:pPr>
          </w:p>
        </w:tc>
        <w:tc>
          <w:tcPr>
            <w:tcW w:w="1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4"/>
            <w:shd w:val="clear" w:color="auto" w:fill="CCECFF"/>
          </w:tcPr>
          <w:p>
            <w:pPr>
              <w:jc w:val="right"/>
              <w:spacing w:after="0" w:line="155" w:lineRule="exact"/>
              <w:rPr>
                <w:sz w:val="20"/>
                <w:szCs w:val="20"/>
                <w:color w:val="auto"/>
              </w:rPr>
            </w:pPr>
            <w:r>
              <w:rPr>
                <w:rFonts w:ascii="Arial" w:cs="Arial" w:eastAsia="Arial" w:hAnsi="Arial"/>
                <w:sz w:val="14"/>
                <w:szCs w:val="14"/>
                <w:color w:val="auto"/>
              </w:rPr>
              <w:t>867,807,993</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3"/>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155,927,927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1,023,735,920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4"/>
                <w:szCs w:val="14"/>
                <w:color w:val="auto"/>
                <w:w w:val="93"/>
              </w:rPr>
              <w:t>Net change in unrealized depreciation reported within the net change in unrealized</w:t>
            </w: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800" w:type="dxa"/>
            <w:vAlign w:val="bottom"/>
            <w:gridSpan w:val="3"/>
            <w:vMerge w:val="continue"/>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6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depreciation on investments in our Consolidated Statements of Operations attributable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tcPr>
          <w:p>
            <w:pPr>
              <w:ind w:left="120"/>
              <w:spacing w:after="0"/>
              <w:rPr>
                <w:sz w:val="20"/>
                <w:szCs w:val="20"/>
                <w:color w:val="auto"/>
              </w:rPr>
            </w:pPr>
            <w:r>
              <w:rPr>
                <w:rFonts w:ascii="Arial" w:cs="Arial" w:eastAsia="Arial" w:hAnsi="Arial"/>
                <w:sz w:val="14"/>
                <w:szCs w:val="14"/>
                <w:color w:val="auto"/>
              </w:rPr>
              <w:t>to our Level 3 assets still held at the reporting date.</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gridSpan w:val="5"/>
          </w:tcPr>
          <w:p>
            <w:pPr>
              <w:jc w:val="right"/>
              <w:ind w:right="20"/>
              <w:spacing w:after="0"/>
              <w:rPr>
                <w:sz w:val="20"/>
                <w:szCs w:val="20"/>
                <w:color w:val="auto"/>
              </w:rPr>
            </w:pPr>
            <w:r>
              <w:rPr>
                <w:rFonts w:ascii="Arial" w:cs="Arial" w:eastAsia="Arial" w:hAnsi="Arial"/>
                <w:sz w:val="14"/>
                <w:szCs w:val="14"/>
                <w:color w:val="auto"/>
              </w:rPr>
              <w:t>(1,824,337)</w:t>
            </w:r>
          </w:p>
        </w:tc>
        <w:tc>
          <w:tcPr>
            <w:tcW w:w="38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gridSpan w:val="4"/>
          </w:tcPr>
          <w:p>
            <w:pPr>
              <w:jc w:val="right"/>
              <w:ind w:right="60"/>
              <w:spacing w:after="0"/>
              <w:rPr>
                <w:sz w:val="20"/>
                <w:szCs w:val="20"/>
                <w:color w:val="auto"/>
              </w:rPr>
            </w:pPr>
            <w:r>
              <w:rPr>
                <w:rFonts w:ascii="Arial" w:cs="Arial" w:eastAsia="Arial" w:hAnsi="Arial"/>
                <w:sz w:val="14"/>
                <w:szCs w:val="14"/>
                <w:color w:val="auto"/>
              </w:rPr>
              <w:t>(9,063,847)</w:t>
            </w:r>
          </w:p>
        </w:tc>
        <w:tc>
          <w:tcPr>
            <w:tcW w:w="44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(10,888,184)</w:t>
            </w:r>
          </w:p>
        </w:tc>
        <w:tc>
          <w:tcPr>
            <w:tcW w:w="0" w:type="dxa"/>
            <w:vAlign w:val="bottom"/>
          </w:tcPr>
          <w:p>
            <w:pPr>
              <w:spacing w:after="0"/>
              <w:rPr>
                <w:sz w:val="1"/>
                <w:szCs w:val="1"/>
                <w:color w:val="auto"/>
              </w:rPr>
            </w:pPr>
          </w:p>
        </w:tc>
      </w:tr>
      <w:tr>
        <w:trPr>
          <w:trHeight w:val="20"/>
        </w:trPr>
        <w:tc>
          <w:tcPr>
            <w:tcW w:w="6400" w:type="dxa"/>
            <w:vAlign w:val="bottom"/>
            <w:gridSpan w:val="8"/>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0000" w:type="dxa"/>
            <w:vAlign w:val="bottom"/>
            <w:gridSpan w:val="24"/>
          </w:tcPr>
          <w:p>
            <w:pPr>
              <w:ind w:left="440"/>
              <w:spacing w:after="0"/>
              <w:rPr>
                <w:sz w:val="20"/>
                <w:szCs w:val="20"/>
                <w:color w:val="auto"/>
              </w:rPr>
            </w:pPr>
            <w:r>
              <w:rPr>
                <w:rFonts w:ascii="Arial" w:cs="Arial" w:eastAsia="Arial" w:hAnsi="Arial"/>
                <w:sz w:val="14"/>
                <w:szCs w:val="14"/>
                <w:color w:val="auto"/>
                <w:w w:val="97"/>
              </w:rPr>
              <w:t>The table below shows a reconciliation of the beginning and ending balances for fair valued liabilities measured using significant unobservable inputs (Level 3):</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Credit Facilities</w:t>
            </w: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w w:val="96"/>
              </w:rPr>
              <w:t>Beginning Balance (cost – $80,520,000 and $79,392,900, respectively)</w:t>
            </w:r>
          </w:p>
        </w:tc>
        <w:tc>
          <w:tcPr>
            <w:tcW w:w="16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60" w:type="dxa"/>
            <w:vAlign w:val="bottom"/>
            <w:gridSpan w:val="2"/>
            <w:shd w:val="clear" w:color="auto" w:fill="CCECFF"/>
          </w:tcPr>
          <w:p>
            <w:pPr>
              <w:spacing w:after="0"/>
              <w:rPr>
                <w:sz w:val="13"/>
                <w:szCs w:val="13"/>
                <w:color w:val="auto"/>
              </w:rPr>
            </w:pPr>
          </w:p>
        </w:tc>
        <w:tc>
          <w:tcPr>
            <w:tcW w:w="140" w:type="dxa"/>
            <w:vAlign w:val="bottom"/>
            <w:gridSpan w:val="2"/>
            <w:shd w:val="clear" w:color="auto" w:fill="CCECFF"/>
          </w:tcPr>
          <w:p>
            <w:pPr>
              <w:jc w:val="right"/>
              <w:ind w:right="60"/>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77,645,830</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76,037,341</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0" w:type="dxa"/>
            <w:vAlign w:val="bottom"/>
            <w:gridSpan w:val="3"/>
          </w:tcPr>
          <w:p>
            <w:pPr>
              <w:ind w:left="500"/>
              <w:spacing w:after="0"/>
              <w:rPr>
                <w:sz w:val="20"/>
                <w:szCs w:val="20"/>
                <w:color w:val="auto"/>
              </w:rPr>
            </w:pPr>
            <w:r>
              <w:rPr>
                <w:rFonts w:ascii="Arial" w:cs="Arial" w:eastAsia="Arial" w:hAnsi="Arial"/>
                <w:sz w:val="14"/>
                <w:szCs w:val="14"/>
                <w:color w:val="auto"/>
                <w:w w:val="94"/>
              </w:rPr>
              <w:t>Net change in unrealized (depreciation) appreciation included in earnings</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(8,591,639)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1,146,122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821,000,000</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76,520,000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(352,884,000)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4"/>
                <w:szCs w:val="14"/>
                <w:color w:val="auto"/>
              </w:rPr>
              <w:t>(114,392,900)</w:t>
            </w: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1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4"/>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spacing w:after="0" w:line="155" w:lineRule="exact"/>
              <w:rPr>
                <w:sz w:val="20"/>
                <w:szCs w:val="20"/>
                <w:color w:val="auto"/>
              </w:rPr>
            </w:pPr>
            <w:r>
              <w:rPr>
                <w:rFonts w:ascii="Arial" w:cs="Arial" w:eastAsia="Arial" w:hAnsi="Arial"/>
                <w:sz w:val="14"/>
                <w:szCs w:val="14"/>
                <w:color w:val="auto"/>
                <w:w w:val="98"/>
              </w:rPr>
              <w:t>Ending Balance (cost – $560,636,000 and $41,520,000, respectively)</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40" w:type="dxa"/>
            <w:vAlign w:val="bottom"/>
            <w:tcBorders>
              <w:top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537,170,191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39,310,563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1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12,000,000</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spacing w:after="0" w:line="155" w:lineRule="exact"/>
              <w:rPr>
                <w:sz w:val="20"/>
                <w:szCs w:val="20"/>
                <w:color w:val="auto"/>
              </w:rPr>
            </w:pPr>
            <w:r>
              <w:rPr>
                <w:rFonts w:ascii="Arial" w:cs="Arial" w:eastAsia="Arial" w:hAnsi="Arial"/>
                <w:sz w:val="14"/>
                <w:szCs w:val="14"/>
                <w:color w:val="auto"/>
                <w:w w:val="98"/>
              </w:rPr>
              <w:t>Ending Balance (cost – $560,636,000 and $41,520,000, respectively)</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4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549,170,191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39,310,563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45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June 30, 2019, we had outstanding non-U.S. dollar borrowings on our Credit Facilities. Net change in fair value on foreign currency translation on outstanding borrowings is listed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c>
          <w:tcPr>
            <w:tcW w:w="20" w:type="dxa"/>
            <w:vAlign w:val="bottom"/>
          </w:tcPr>
          <w:p>
            <w:pPr>
              <w:spacing w:after="0"/>
              <w:rPr>
                <w:sz w:val="14"/>
                <w:szCs w:val="14"/>
                <w:color w:val="auto"/>
              </w:rPr>
            </w:pP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40,136,000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36,908,358</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September 13, 2019</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(3,227,642)</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758"/>
        </w:trPr>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19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0" w:name="page21"/>
    <w:bookmarkEnd w:id="20"/>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As of September 30, 2018, we had outstanding non-U.S. dollar borrowings on the SunTrust Credit Facility. Net change in fair value on foreign currency translation on outstanding borrowings is listed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41,500,000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39,121,590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December 14, 2018</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(2,378,410)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211" w:lineRule="exact"/>
        <w:rPr>
          <w:sz w:val="20"/>
          <w:szCs w:val="20"/>
          <w:color w:val="auto"/>
        </w:rPr>
      </w:pPr>
    </w:p>
    <w:p>
      <w:pPr>
        <w:ind w:right="20" w:firstLine="438"/>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Subtopic ASC 825-10, Financial Instruments, or ASC 825-10, which provides companies with an option to report selected financial assets and liabilities at fair value, and made an irrevocable election to apply ASC 825-10 to our Credit Facilities and the 2019 Notes. We elected to use the fair value option for the Credit Facilities and the 2019 Notes to align the measurement attributes of both our assets and liabilities while mitigating volatility in earnings from using different measurement attributes. Due to that election and in accordance with GAAP, we incurred expenses of $0.0 and $4.9 million, respectively, relating to debt issuance costs on the BNP Credit Facility and the prepayment of the 2019 Notes for the three and three and nine months ended June 30, 2019. During both the three and nine months ended June 30, 2018 we did not incur any expenses relating to amendment costs on the SunTrust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and the 2019 Notes are reported in our Consolidated Statements of Operations. We elected not to apply ASC 825-10 to any other financial assets or liabilities, including the SBA debentures. For the three and nine months ended June 30, 2019, our Credit Facilities and the 2019 Notes had a net change in unrealized depreciation of $0.2 million and $9.9 million, respectively. For the three and nine months ended June 30, 2018, the SunTrust Credit Facility and the 2019 Notes had a net change in unrealized depreciation of $1.6 million and $3.1 million, respectively. As of June 30, 2019, the net unrealized depreciation on our Credit Facilities totaled $11.5 million. As of September 30, 2018, the net unrealized depreciation on the SunTrust Credit Facility and the 2019 Notes totaled $1.6 million. We use a nationally recognized independent valuation service to measure the fair value of our Credit Facilities and the 2019 Notes in a manner consistent with the valuation process that the board of directors uses to value our investments.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221"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2019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Purchases of /</w:t>
            </w:r>
          </w:p>
        </w:tc>
        <w:tc>
          <w:tcPr>
            <w:tcW w:w="100" w:type="dxa"/>
            <w:vAlign w:val="bottom"/>
          </w:tcPr>
          <w:p>
            <w:pPr>
              <w:spacing w:after="0"/>
              <w:rPr>
                <w:sz w:val="14"/>
                <w:szCs w:val="14"/>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Sale of /</w:t>
            </w:r>
          </w:p>
        </w:tc>
        <w:tc>
          <w:tcPr>
            <w:tcW w:w="11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5"/>
              </w:rPr>
              <w:t>Net Change in</w:t>
            </w: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Fair Value at</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Advances to</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PIK</w:t>
            </w:r>
          </w:p>
        </w:tc>
        <w:tc>
          <w:tcPr>
            <w:tcW w:w="80" w:type="dxa"/>
            <w:vAlign w:val="bottom"/>
          </w:tcPr>
          <w:p>
            <w:pPr>
              <w:spacing w:after="0"/>
              <w:rPr>
                <w:sz w:val="12"/>
                <w:szCs w:val="12"/>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 xml:space="preserve">Affiliates </w:t>
            </w:r>
            <w:r>
              <w:rPr>
                <w:rFonts w:ascii="Arial" w:cs="Arial" w:eastAsia="Arial" w:hAnsi="Arial"/>
                <w:sz w:val="12"/>
                <w:szCs w:val="12"/>
                <w:b w:val="1"/>
                <w:bCs w:val="1"/>
                <w:color w:val="auto"/>
                <w:w w:val="93"/>
              </w:rPr>
              <w:t>(1),</w:t>
            </w:r>
          </w:p>
        </w:tc>
        <w:tc>
          <w:tcPr>
            <w:tcW w:w="10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6"/>
              </w:rPr>
              <w:t>Appreciation /</w:t>
            </w: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June</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 Gains</w:t>
            </w:r>
          </w:p>
        </w:tc>
        <w:tc>
          <w:tcPr>
            <w:tcW w:w="0" w:type="dxa"/>
            <w:vAlign w:val="bottom"/>
          </w:tcPr>
          <w:p>
            <w:pPr>
              <w:spacing w:after="0"/>
              <w:rPr>
                <w:sz w:val="1"/>
                <w:szCs w:val="1"/>
                <w:color w:val="auto"/>
              </w:rPr>
            </w:pPr>
          </w:p>
        </w:tc>
      </w:tr>
      <w:tr>
        <w:trPr>
          <w:trHeight w:val="162"/>
        </w:trPr>
        <w:tc>
          <w:tcPr>
            <w:tcW w:w="1440" w:type="dxa"/>
            <w:vAlign w:val="bottom"/>
            <w:gridSpan w:val="2"/>
            <w:vMerge w:val="continue"/>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91"/>
              </w:rPr>
              <w:t xml:space="preserve">September 30, 2018 </w:t>
            </w:r>
            <w:r>
              <w:rPr>
                <w:rFonts w:ascii="Arial" w:cs="Arial" w:eastAsia="Arial" w:hAnsi="Arial"/>
                <w:sz w:val="12"/>
                <w:szCs w:val="12"/>
                <w:b w:val="1"/>
                <w:bCs w:val="1"/>
                <w:color w:val="auto"/>
                <w:w w:val="91"/>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29"/>
              <w:spacing w:after="0"/>
              <w:rPr>
                <w:sz w:val="20"/>
                <w:szCs w:val="20"/>
                <w:color w:val="auto"/>
              </w:rPr>
            </w:pPr>
            <w:r>
              <w:rPr>
                <w:rFonts w:ascii="Arial" w:cs="Arial" w:eastAsia="Arial" w:hAnsi="Arial"/>
                <w:sz w:val="12"/>
                <w:szCs w:val="12"/>
                <w:b w:val="1"/>
                <w:bCs w:val="1"/>
                <w:color w:val="auto"/>
                <w:w w:val="95"/>
              </w:rPr>
              <w:t>(2)</w:t>
            </w:r>
          </w:p>
        </w:tc>
        <w:tc>
          <w:tcPr>
            <w:tcW w:w="2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from Affiliates </w:t>
            </w:r>
            <w:r>
              <w:rPr>
                <w:rFonts w:ascii="Arial" w:cs="Arial" w:eastAsia="Arial" w:hAnsi="Arial"/>
                <w:sz w:val="12"/>
                <w:szCs w:val="12"/>
                <w:b w:val="1"/>
                <w:bCs w:val="1"/>
                <w:color w:val="auto"/>
              </w:rPr>
              <w:t>(1)</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(Depreciation)</w:t>
            </w:r>
          </w:p>
        </w:tc>
        <w:tc>
          <w:tcPr>
            <w:tcW w:w="10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 xml:space="preserve">30, 2019 </w:t>
            </w:r>
            <w:r>
              <w:rPr>
                <w:rFonts w:ascii="Arial" w:cs="Arial" w:eastAsia="Arial" w:hAnsi="Arial"/>
                <w:sz w:val="12"/>
                <w:szCs w:val="12"/>
                <w:b w:val="1"/>
                <w:bCs w:val="1"/>
                <w:color w:val="auto"/>
                <w:w w:val="93"/>
              </w:rPr>
              <w:t>(1)</w:t>
            </w:r>
          </w:p>
        </w:tc>
        <w:tc>
          <w:tcPr>
            <w:tcW w:w="18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56"/>
        </w:trPr>
        <w:tc>
          <w:tcPr>
            <w:tcW w:w="13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5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gridSpan w:val="2"/>
          </w:tcPr>
          <w:p>
            <w:pPr>
              <w:spacing w:after="0" w:line="143" w:lineRule="exact"/>
              <w:rPr>
                <w:sz w:val="20"/>
                <w:szCs w:val="20"/>
                <w:color w:val="auto"/>
              </w:rPr>
            </w:pPr>
            <w:r>
              <w:rPr>
                <w:rFonts w:ascii="Arial" w:cs="Arial" w:eastAsia="Arial" w:hAnsi="Arial"/>
                <w:sz w:val="14"/>
                <w:szCs w:val="14"/>
                <w:color w:val="auto"/>
              </w:rPr>
              <w:t>AKW Holdings</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40" w:type="dxa"/>
            <w:vAlign w:val="bottom"/>
            <w:gridSpan w:val="2"/>
          </w:tcPr>
          <w:p>
            <w:pPr>
              <w:spacing w:after="0"/>
              <w:rPr>
                <w:sz w:val="20"/>
                <w:szCs w:val="20"/>
                <w:color w:val="auto"/>
              </w:rPr>
            </w:pPr>
            <w:r>
              <w:rPr>
                <w:rFonts w:ascii="Arial" w:cs="Arial" w:eastAsia="Arial" w:hAnsi="Arial"/>
                <w:sz w:val="14"/>
                <w:szCs w:val="14"/>
                <w:color w:val="auto"/>
              </w:rPr>
              <w:t>Limited</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40,501,278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(1,189,804)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39,311,474</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$ 1,772,315</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44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MidOcean JF</w:t>
            </w:r>
          </w:p>
        </w:tc>
        <w:tc>
          <w:tcPr>
            <w:tcW w:w="18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gridSpan w:val="2"/>
            <w:shd w:val="clear" w:color="auto" w:fill="CCECFF"/>
          </w:tcPr>
          <w:p>
            <w:pPr>
              <w:spacing w:after="0" w:line="149" w:lineRule="exact"/>
              <w:rPr>
                <w:sz w:val="20"/>
                <w:szCs w:val="20"/>
                <w:color w:val="auto"/>
              </w:rPr>
            </w:pPr>
            <w:r>
              <w:rPr>
                <w:rFonts w:ascii="Arial" w:cs="Arial" w:eastAsia="Arial" w:hAnsi="Arial"/>
                <w:sz w:val="14"/>
                <w:szCs w:val="14"/>
                <w:color w:val="auto"/>
              </w:rPr>
              <w:t>Holdings</w:t>
            </w:r>
          </w:p>
        </w:tc>
        <w:tc>
          <w:tcPr>
            <w:tcW w:w="18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gridSpan w:val="2"/>
            <w:shd w:val="clear" w:color="auto" w:fill="CCECFF"/>
          </w:tcPr>
          <w:p>
            <w:pPr>
              <w:ind w:left="120"/>
              <w:spacing w:after="0" w:line="149" w:lineRule="exact"/>
              <w:rPr>
                <w:sz w:val="20"/>
                <w:szCs w:val="20"/>
                <w:color w:val="auto"/>
              </w:rPr>
            </w:pPr>
            <w:r>
              <w:rPr>
                <w:rFonts w:ascii="Arial" w:cs="Arial" w:eastAsia="Arial" w:hAnsi="Arial"/>
                <w:sz w:val="14"/>
                <w:szCs w:val="14"/>
                <w:color w:val="auto"/>
              </w:rPr>
              <w:t>Corp. (JF</w:t>
            </w:r>
          </w:p>
        </w:tc>
        <w:tc>
          <w:tcPr>
            <w:tcW w:w="18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CFF"/>
          </w:tcPr>
          <w:p>
            <w:pPr>
              <w:spacing w:after="0" w:line="149" w:lineRule="exact"/>
              <w:rPr>
                <w:sz w:val="20"/>
                <w:szCs w:val="20"/>
                <w:color w:val="auto"/>
              </w:rPr>
            </w:pPr>
            <w:r>
              <w:rPr>
                <w:rFonts w:ascii="Arial" w:cs="Arial" w:eastAsia="Arial" w:hAnsi="Arial"/>
                <w:sz w:val="14"/>
                <w:szCs w:val="14"/>
                <w:color w:val="auto"/>
              </w:rPr>
              <w:t>Acquisition,</w:t>
            </w:r>
          </w:p>
        </w:tc>
        <w:tc>
          <w:tcPr>
            <w:tcW w:w="18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4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LLC)</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12,099,647</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6,016,560</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18,116,207</w:t>
            </w:r>
          </w:p>
        </w:tc>
        <w:tc>
          <w:tcPr>
            <w:tcW w:w="18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7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4"/>
                <w:szCs w:val="14"/>
                <w:color w:val="auto"/>
              </w:rPr>
            </w:pPr>
          </w:p>
        </w:tc>
        <w:tc>
          <w:tcPr>
            <w:tcW w:w="8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gridSpan w:val="2"/>
          </w:tcPr>
          <w:p>
            <w:pPr>
              <w:spacing w:after="0"/>
              <w:rPr>
                <w:sz w:val="20"/>
                <w:szCs w:val="20"/>
                <w:color w:val="auto"/>
              </w:rPr>
            </w:pPr>
            <w:r>
              <w:rPr>
                <w:rFonts w:ascii="Arial" w:cs="Arial" w:eastAsia="Arial" w:hAnsi="Arial"/>
                <w:sz w:val="14"/>
                <w:szCs w:val="14"/>
                <w:color w:val="auto"/>
              </w:rPr>
              <w:t>PT Networks</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46,815,339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21,017,652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(4,744,374)</w:t>
            </w:r>
          </w:p>
        </w:tc>
        <w:tc>
          <w:tcPr>
            <w:tcW w:w="1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(5,373,933)</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57,714,684</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1,231,091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2,796,334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949,445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165,755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RAM Energy LLC</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78,914,960</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30,000,000</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18,105,257</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127,020,217</w:t>
            </w:r>
          </w:p>
        </w:tc>
        <w:tc>
          <w:tcPr>
            <w:tcW w:w="18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3,671,111</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7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4"/>
                <w:szCs w:val="14"/>
                <w:color w:val="auto"/>
              </w:rPr>
            </w:pPr>
          </w:p>
        </w:tc>
        <w:tc>
          <w:tcPr>
            <w:tcW w:w="8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440" w:type="dxa"/>
            <w:vAlign w:val="bottom"/>
            <w:gridSpan w:val="2"/>
          </w:tcPr>
          <w:p>
            <w:pPr>
              <w:spacing w:after="0" w:line="143" w:lineRule="exact"/>
              <w:rPr>
                <w:sz w:val="20"/>
                <w:szCs w:val="20"/>
                <w:color w:val="auto"/>
              </w:rPr>
            </w:pPr>
            <w:r>
              <w:rPr>
                <w:rFonts w:ascii="Arial" w:cs="Arial" w:eastAsia="Arial" w:hAnsi="Arial"/>
                <w:sz w:val="14"/>
                <w:szCs w:val="14"/>
                <w:color w:val="auto"/>
              </w:rPr>
              <w:t>Superior Digital</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Displays</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40" w:type="dxa"/>
            <w:vAlign w:val="bottom"/>
            <w:gridSpan w:val="2"/>
          </w:tcPr>
          <w:p>
            <w:pPr>
              <w:ind w:left="120"/>
              <w:spacing w:after="0"/>
              <w:rPr>
                <w:sz w:val="20"/>
                <w:szCs w:val="20"/>
                <w:color w:val="auto"/>
              </w:rPr>
            </w:pPr>
            <w:r>
              <w:rPr>
                <w:rFonts w:ascii="Arial" w:cs="Arial" w:eastAsia="Arial" w:hAnsi="Arial"/>
                <w:sz w:val="14"/>
                <w:szCs w:val="14"/>
                <w:color w:val="auto"/>
              </w:rPr>
              <w:t xml:space="preserve">Holdings, Inc. </w:t>
            </w:r>
            <w:r>
              <w:rPr>
                <w:rFonts w:ascii="Arial" w:cs="Arial" w:eastAsia="Arial" w:hAnsi="Arial"/>
                <w:sz w:val="12"/>
                <w:szCs w:val="12"/>
                <w:color w:val="auto"/>
              </w:rPr>
              <w:t>(3)</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17,220,000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24,010,894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(78,982,355)</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37,751,461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425,749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59,116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(56,313,788)</w:t>
            </w:r>
          </w:p>
        </w:tc>
        <w:tc>
          <w:tcPr>
            <w:tcW w:w="0" w:type="dxa"/>
            <w:vAlign w:val="bottom"/>
          </w:tcPr>
          <w:p>
            <w:pPr>
              <w:spacing w:after="0"/>
              <w:rPr>
                <w:sz w:val="1"/>
                <w:szCs w:val="1"/>
                <w:color w:val="auto"/>
              </w:rPr>
            </w:pPr>
          </w:p>
        </w:tc>
      </w:tr>
      <w:tr>
        <w:trPr>
          <w:trHeight w:val="139"/>
        </w:trPr>
        <w:tc>
          <w:tcPr>
            <w:tcW w:w="1440" w:type="dxa"/>
            <w:vAlign w:val="bottom"/>
            <w:gridSpan w:val="2"/>
            <w:shd w:val="clear" w:color="auto" w:fill="CCECFF"/>
          </w:tcPr>
          <w:p>
            <w:pPr>
              <w:spacing w:after="0" w:line="139" w:lineRule="exact"/>
              <w:rPr>
                <w:sz w:val="20"/>
                <w:szCs w:val="20"/>
                <w:color w:val="auto"/>
              </w:rPr>
            </w:pPr>
            <w:r>
              <w:rPr>
                <w:rFonts w:ascii="Arial" w:cs="Arial" w:eastAsia="Arial" w:hAnsi="Arial"/>
                <w:sz w:val="14"/>
                <w:szCs w:val="14"/>
                <w:b w:val="1"/>
                <w:bCs w:val="1"/>
                <w:color w:val="auto"/>
              </w:rPr>
              <w:t>Non-Controlled</w:t>
            </w:r>
          </w:p>
        </w:tc>
        <w:tc>
          <w:tcPr>
            <w:tcW w:w="18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gridSpan w:val="2"/>
            <w:shd w:val="clear" w:color="auto" w:fill="CCECFF"/>
          </w:tcPr>
          <w:p>
            <w:pPr>
              <w:spacing w:after="0"/>
              <w:rPr>
                <w:sz w:val="20"/>
                <w:szCs w:val="20"/>
                <w:color w:val="auto"/>
              </w:rPr>
            </w:pPr>
            <w:r>
              <w:rPr>
                <w:rFonts w:ascii="Arial" w:cs="Arial" w:eastAsia="Arial" w:hAnsi="Arial"/>
                <w:sz w:val="14"/>
                <w:szCs w:val="14"/>
                <w:b w:val="1"/>
                <w:bCs w:val="1"/>
                <w:color w:val="auto"/>
              </w:rPr>
              <w:t>Affiliates</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5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gridSpan w:val="2"/>
          </w:tcPr>
          <w:p>
            <w:pPr>
              <w:spacing w:after="0"/>
              <w:rPr>
                <w:sz w:val="20"/>
                <w:szCs w:val="20"/>
                <w:color w:val="auto"/>
              </w:rPr>
            </w:pPr>
            <w:r>
              <w:rPr>
                <w:rFonts w:ascii="Arial" w:cs="Arial" w:eastAsia="Arial" w:hAnsi="Arial"/>
                <w:sz w:val="14"/>
                <w:szCs w:val="14"/>
                <w:color w:val="auto"/>
              </w:rPr>
              <w:t>Big Run, Inc.</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397,025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(674,943)</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277,918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(227,099)</w:t>
            </w:r>
          </w:p>
        </w:tc>
        <w:tc>
          <w:tcPr>
            <w:tcW w:w="0" w:type="dxa"/>
            <w:vAlign w:val="bottom"/>
          </w:tcPr>
          <w:p>
            <w:pPr>
              <w:spacing w:after="0"/>
              <w:rPr>
                <w:sz w:val="1"/>
                <w:szCs w:val="1"/>
                <w:color w:val="auto"/>
              </w:rPr>
            </w:pPr>
          </w:p>
        </w:tc>
      </w:tr>
      <w:tr>
        <w:trPr>
          <w:trHeight w:val="162"/>
        </w:trPr>
        <w:tc>
          <w:tcPr>
            <w:tcW w:w="1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ETX Energy, LLC</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34,801,373</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6,173,200</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(10,221,107)</w:t>
            </w:r>
          </w:p>
        </w:tc>
        <w:tc>
          <w:tcPr>
            <w:tcW w:w="10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30,753,466</w:t>
            </w:r>
          </w:p>
        </w:tc>
        <w:tc>
          <w:tcPr>
            <w:tcW w:w="18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7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4"/>
                <w:szCs w:val="14"/>
                <w:color w:val="auto"/>
              </w:rPr>
            </w:pPr>
          </w:p>
        </w:tc>
        <w:tc>
          <w:tcPr>
            <w:tcW w:w="8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14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Non-Controlled</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Affiliates</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230,749,622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81,201,746</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(84,401,672)</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45,366,352</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272,916,048</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$ 7,100,266</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2,855,450</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949,445</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(56,375,131)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455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12"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380" w:hanging="372"/>
        <w:spacing w:after="0" w:line="221"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Includes PIK.</w:t>
      </w:r>
    </w:p>
    <w:p>
      <w:pPr>
        <w:ind w:left="380" w:right="60" w:hanging="372"/>
        <w:spacing w:after="0" w:line="237"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On June 14, 2019 Superior Digital Displays, LLC filed for bankruptcy protection under Chapter 7 of the U.S. Bankruptcy Code with the U.S. Bankruptcy Court for the Southern District of New York. As such, our investment in Superior Digital Displays, LLC is no longer reflected on the Schedule of Investments.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June 30,</w:t>
            </w:r>
          </w:p>
        </w:tc>
      </w:tr>
      <w:tr>
        <w:trPr>
          <w:trHeight w:val="25"/>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5"/>
        </w:trPr>
        <w:tc>
          <w:tcPr>
            <w:tcW w:w="56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r>
      <w:tr>
        <w:trPr>
          <w:trHeight w:val="155"/>
        </w:trPr>
        <w:tc>
          <w:tcPr>
            <w:tcW w:w="56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220" w:type="dxa"/>
            <w:vAlign w:val="bottom"/>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5,628,851</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16,910,147</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7,660,543</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35,240,554</w:t>
            </w:r>
          </w:p>
        </w:tc>
        <w:tc>
          <w:tcPr>
            <w:tcW w:w="120" w:type="dxa"/>
            <w:vAlign w:val="bottom"/>
            <w:shd w:val="clear" w:color="auto" w:fill="CCECFF"/>
          </w:tcPr>
          <w:p>
            <w:pPr>
              <w:spacing w:after="0"/>
              <w:rPr>
                <w:sz w:val="13"/>
                <w:szCs w:val="13"/>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67,045,105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70,848,642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67,932,307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70,990,105</w:t>
            </w:r>
          </w:p>
        </w:tc>
        <w:tc>
          <w:tcPr>
            <w:tcW w:w="120" w:type="dxa"/>
            <w:vAlign w:val="bottom"/>
          </w:tcPr>
          <w:p>
            <w:pPr>
              <w:spacing w:after="0"/>
              <w:rPr>
                <w:sz w:val="14"/>
                <w:szCs w:val="14"/>
                <w:color w:val="auto"/>
              </w:rPr>
            </w:pPr>
          </w:p>
        </w:tc>
      </w:tr>
      <w:tr>
        <w:trPr>
          <w:trHeight w:val="162"/>
        </w:trPr>
        <w:tc>
          <w:tcPr>
            <w:tcW w:w="562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0.08</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0.24</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0.11</w:t>
            </w:r>
          </w:p>
        </w:tc>
        <w:tc>
          <w:tcPr>
            <w:tcW w:w="50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0.50</w:t>
            </w:r>
          </w:p>
        </w:tc>
        <w:tc>
          <w:tcPr>
            <w:tcW w:w="120" w:type="dxa"/>
            <w:vAlign w:val="bottom"/>
            <w:shd w:val="clear" w:color="auto" w:fill="CCECFF"/>
          </w:tcPr>
          <w:p>
            <w:pPr>
              <w:spacing w:after="0"/>
              <w:rPr>
                <w:sz w:val="14"/>
                <w:szCs w:val="14"/>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221"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Facilities,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w:t>
      </w:r>
    </w:p>
    <w:p>
      <w:pPr>
        <w:sectPr>
          <w:pgSz w:w="11900" w:h="16838" w:orient="portrait"/>
          <w:cols w:equalWidth="0" w:num="1">
            <w:col w:w="11240"/>
          </w:cols>
          <w:pgMar w:left="320" w:top="118"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320"/>
        <w:spacing w:after="0" w:line="253" w:lineRule="auto"/>
        <w:rPr>
          <w:sz w:val="20"/>
          <w:szCs w:val="20"/>
          <w:color w:val="auto"/>
        </w:rPr>
      </w:pPr>
      <w:r>
        <w:rPr>
          <w:rFonts w:ascii="Arial" w:cs="Arial" w:eastAsia="Arial" w:hAnsi="Arial"/>
          <w:sz w:val="14"/>
          <w:szCs w:val="14"/>
          <w:color w:val="auto"/>
        </w:rPr>
        <w:t>with our valuation policy. As of June 30, 2019 and September 30, 2018, cash and cash equivalents consisted of money market funds in the amounts of $21.7 million and $19.5 million at fair value,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6840" w:type="dxa"/>
            <w:vAlign w:val="bottom"/>
          </w:tcPr>
          <w:p>
            <w:pPr>
              <w:ind w:left="440"/>
              <w:spacing w:after="0"/>
              <w:rPr>
                <w:sz w:val="20"/>
                <w:szCs w:val="20"/>
                <w:color w:val="auto"/>
              </w:rPr>
            </w:pPr>
            <w:r>
              <w:rPr>
                <w:rFonts w:ascii="Arial" w:cs="Arial" w:eastAsia="Arial" w:hAnsi="Arial"/>
                <w:sz w:val="14"/>
                <w:szCs w:val="14"/>
                <w:color w:val="auto"/>
              </w:rPr>
              <w:t>Below are the financial highlights:</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7"/>
              </w:rPr>
              <w:t>Nine Months Ended June 30,</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8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84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30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14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1140" w:type="dxa"/>
            <w:vAlign w:val="bottom"/>
          </w:tcPr>
          <w:p>
            <w:pPr>
              <w:jc w:val="right"/>
              <w:ind w:right="9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9.11</w:t>
            </w:r>
          </w:p>
        </w:tc>
        <w:tc>
          <w:tcPr>
            <w:tcW w:w="300" w:type="dxa"/>
            <w:vAlign w:val="bottom"/>
          </w:tcPr>
          <w:p>
            <w:pPr>
              <w:spacing w:after="0"/>
              <w:rPr>
                <w:sz w:val="14"/>
                <w:szCs w:val="14"/>
                <w:color w:val="auto"/>
              </w:rPr>
            </w:pPr>
          </w:p>
        </w:tc>
        <w:tc>
          <w:tcPr>
            <w:tcW w:w="860" w:type="dxa"/>
            <w:vAlign w:val="bottom"/>
            <w:gridSpan w:val="2"/>
          </w:tcPr>
          <w:p>
            <w:pPr>
              <w:jc w:val="right"/>
              <w:ind w:right="62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14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0.51</w:t>
            </w:r>
          </w:p>
        </w:tc>
        <w:tc>
          <w:tcPr>
            <w:tcW w:w="3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0.55</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loss </w:t>
            </w:r>
            <w:r>
              <w:rPr>
                <w:rFonts w:ascii="Arial" w:cs="Arial" w:eastAsia="Arial" w:hAnsi="Arial"/>
                <w:sz w:val="12"/>
                <w:szCs w:val="12"/>
                <w:color w:val="auto"/>
              </w:rPr>
              <w:t>(1)</w:t>
            </w:r>
          </w:p>
        </w:tc>
        <w:tc>
          <w:tcPr>
            <w:tcW w:w="1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56"/>
        </w:trPr>
        <w:tc>
          <w:tcPr>
            <w:tcW w:w="6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1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0.11</w:t>
            </w:r>
          </w:p>
        </w:tc>
        <w:tc>
          <w:tcPr>
            <w:tcW w:w="3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0.50</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(0.54)</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140" w:type="dxa"/>
            <w:vAlign w:val="bottom"/>
            <w:tcBorders>
              <w:bottom w:val="single" w:sz="8" w:color="auto"/>
            </w:tcBorders>
            <w:shd w:val="clear" w:color="auto" w:fill="CCECFF"/>
          </w:tcPr>
          <w:p>
            <w:pPr>
              <w:spacing w:after="0"/>
              <w:rPr>
                <w:sz w:val="14"/>
                <w:szCs w:val="14"/>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0.06</w:t>
            </w:r>
          </w:p>
        </w:tc>
        <w:tc>
          <w:tcPr>
            <w:tcW w:w="3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4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140" w:type="dxa"/>
            <w:vAlign w:val="bottom"/>
            <w:tcBorders>
              <w:bottom w:val="single" w:sz="8" w:color="auto"/>
            </w:tcBorders>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8.74</w:t>
            </w:r>
          </w:p>
        </w:tc>
        <w:tc>
          <w:tcPr>
            <w:tcW w:w="30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9.09</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84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1140" w:type="dxa"/>
            <w:vAlign w:val="bottom"/>
            <w:tcBorders>
              <w:bottom w:val="single" w:sz="8" w:color="auto"/>
            </w:tcBorders>
            <w:shd w:val="clear" w:color="auto" w:fill="CCECFF"/>
          </w:tcPr>
          <w:p>
            <w:pPr>
              <w:jc w:val="right"/>
              <w:ind w:right="988"/>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6.32</w:t>
            </w:r>
          </w:p>
        </w:tc>
        <w:tc>
          <w:tcPr>
            <w:tcW w:w="3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7.01</w:t>
            </w:r>
          </w:p>
        </w:tc>
        <w:tc>
          <w:tcPr>
            <w:tcW w:w="1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(8.21)%</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62"/>
        </w:trPr>
        <w:tc>
          <w:tcPr>
            <w:tcW w:w="68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period</w:t>
            </w:r>
          </w:p>
        </w:tc>
        <w:tc>
          <w:tcPr>
            <w:tcW w:w="1140" w:type="dxa"/>
            <w:vAlign w:val="bottom"/>
            <w:tcBorders>
              <w:bottom w:val="single" w:sz="8" w:color="auto"/>
            </w:tcBorders>
            <w:shd w:val="clear" w:color="auto" w:fill="CCECFF"/>
          </w:tcPr>
          <w:p>
            <w:pPr>
              <w:spacing w:after="0"/>
              <w:rPr>
                <w:sz w:val="14"/>
                <w:szCs w:val="14"/>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67,045,105</w:t>
            </w:r>
          </w:p>
        </w:tc>
        <w:tc>
          <w:tcPr>
            <w:tcW w:w="30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74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69,988,077</w:t>
            </w:r>
          </w:p>
        </w:tc>
        <w:tc>
          <w:tcPr>
            <w:tcW w:w="1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4"/>
                <w:szCs w:val="14"/>
                <w:b w:val="1"/>
                <w:bCs w:val="1"/>
                <w:color w:val="auto"/>
              </w:rPr>
              <w:t>Ratios**/ Supplemental Data:</w:t>
            </w: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 (6)</w:t>
            </w:r>
          </w:p>
        </w:tc>
        <w:tc>
          <w:tcPr>
            <w:tcW w:w="11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Ratio of interest and expenses on debt to average net assets</w:t>
            </w:r>
          </w:p>
        </w:tc>
        <w:tc>
          <w:tcPr>
            <w:tcW w:w="1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0"/>
        </w:trPr>
        <w:tc>
          <w:tcPr>
            <w:tcW w:w="684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 (6)</w:t>
            </w:r>
          </w:p>
        </w:tc>
        <w:tc>
          <w:tcPr>
            <w:tcW w:w="1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40" w:type="dxa"/>
            <w:vAlign w:val="bottom"/>
            <w:vMerge w:val="continue"/>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180"/>
              <w:spacing w:after="0" w:line="155" w:lineRule="exact"/>
              <w:rPr>
                <w:sz w:val="20"/>
                <w:szCs w:val="20"/>
                <w:color w:val="auto"/>
              </w:rPr>
            </w:pPr>
            <w:r>
              <w:rPr>
                <w:rFonts w:ascii="Arial" w:cs="Arial" w:eastAsia="Arial" w:hAnsi="Arial"/>
                <w:sz w:val="14"/>
                <w:szCs w:val="14"/>
                <w:color w:val="auto"/>
              </w:rPr>
              <w:t>10.43%</w:t>
            </w:r>
          </w:p>
        </w:tc>
        <w:tc>
          <w:tcPr>
            <w:tcW w:w="12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32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(6)</w:t>
            </w:r>
          </w:p>
        </w:tc>
        <w:tc>
          <w:tcPr>
            <w:tcW w:w="1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8.13%</w:t>
            </w: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1140" w:type="dxa"/>
            <w:vAlign w:val="bottom"/>
            <w:shd w:val="clear" w:color="auto" w:fill="CCECFF"/>
          </w:tcPr>
          <w:p>
            <w:pPr>
              <w:jc w:val="right"/>
              <w:ind w:right="98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7"/>
              </w:rPr>
              <w:t>585,709,524</w:t>
            </w:r>
          </w:p>
        </w:tc>
        <w:tc>
          <w:tcPr>
            <w:tcW w:w="300" w:type="dxa"/>
            <w:vAlign w:val="bottom"/>
            <w:shd w:val="clear" w:color="auto" w:fill="CCECFF"/>
          </w:tcPr>
          <w:p>
            <w:pPr>
              <w:spacing w:after="0"/>
              <w:rPr>
                <w:sz w:val="14"/>
                <w:szCs w:val="14"/>
                <w:color w:val="auto"/>
              </w:rPr>
            </w:pPr>
          </w:p>
        </w:tc>
        <w:tc>
          <w:tcPr>
            <w:tcW w:w="860" w:type="dxa"/>
            <w:vAlign w:val="bottom"/>
            <w:gridSpan w:val="2"/>
            <w:shd w:val="clear" w:color="auto" w:fill="CCECFF"/>
          </w:tcPr>
          <w:p>
            <w:pPr>
              <w:jc w:val="right"/>
              <w:ind w:right="62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636,092,684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1140" w:type="dxa"/>
            <w:vAlign w:val="bottom"/>
            <w:tcBorders>
              <w:top w:val="single" w:sz="8" w:color="auto"/>
              <w:bottom w:val="single" w:sz="8" w:color="auto"/>
            </w:tcBorders>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617,279,897</w:t>
            </w:r>
          </w:p>
        </w:tc>
        <w:tc>
          <w:tcPr>
            <w:tcW w:w="30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503,885,801</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1140" w:type="dxa"/>
            <w:vAlign w:val="bottom"/>
            <w:shd w:val="clear" w:color="auto" w:fill="CCECFF"/>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9.09</w:t>
            </w:r>
          </w:p>
        </w:tc>
        <w:tc>
          <w:tcPr>
            <w:tcW w:w="3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40" w:type="dxa"/>
            <w:vAlign w:val="bottom"/>
            <w:shd w:val="clear" w:color="auto" w:fill="CCECFF"/>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7.10</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1140" w:type="dxa"/>
            <w:vAlign w:val="bottom"/>
          </w:tcPr>
          <w:p>
            <w:pPr>
              <w:jc w:val="right"/>
              <w:ind w:right="9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2,036</w:t>
            </w:r>
          </w:p>
        </w:tc>
        <w:tc>
          <w:tcPr>
            <w:tcW w:w="300" w:type="dxa"/>
            <w:vAlign w:val="bottom"/>
          </w:tcPr>
          <w:p>
            <w:pPr>
              <w:spacing w:after="0"/>
              <w:rPr>
                <w:sz w:val="14"/>
                <w:szCs w:val="14"/>
                <w:color w:val="auto"/>
              </w:rPr>
            </w:pPr>
          </w:p>
        </w:tc>
        <w:tc>
          <w:tcPr>
            <w:tcW w:w="860" w:type="dxa"/>
            <w:vAlign w:val="bottom"/>
            <w:gridSpan w:val="2"/>
          </w:tcPr>
          <w:p>
            <w:pPr>
              <w:jc w:val="right"/>
              <w:ind w:right="62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3,200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11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36.92%</w:t>
            </w:r>
          </w:p>
        </w:tc>
        <w:tc>
          <w:tcPr>
            <w:tcW w:w="12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455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right="8240" w:firstLine="8"/>
        <w:spacing w:after="0" w:line="276" w:lineRule="auto"/>
        <w:tabs>
          <w:tab w:leader="none" w:pos="364" w:val="left"/>
        </w:tabs>
        <w:numPr>
          <w:ilvl w:val="0"/>
          <w:numId w:val="17"/>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380" w:hanging="372"/>
        <w:spacing w:after="0"/>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14" w:lineRule="exact"/>
        <w:rPr>
          <w:rFonts w:ascii="Arial" w:cs="Arial" w:eastAsia="Arial" w:hAnsi="Arial"/>
          <w:sz w:val="12"/>
          <w:szCs w:val="12"/>
          <w:color w:val="auto"/>
        </w:rPr>
      </w:pPr>
    </w:p>
    <w:p>
      <w:pPr>
        <w:ind w:left="380" w:right="20" w:hanging="372"/>
        <w:spacing w:after="0" w:line="261" w:lineRule="auto"/>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80" w:hanging="372"/>
        <w:spacing w:after="0"/>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spacing w:after="0" w:line="14" w:lineRule="exact"/>
        <w:rPr>
          <w:rFonts w:ascii="Arial" w:cs="Arial" w:eastAsia="Arial" w:hAnsi="Arial"/>
          <w:sz w:val="12"/>
          <w:szCs w:val="12"/>
          <w:color w:val="auto"/>
        </w:rPr>
      </w:pPr>
    </w:p>
    <w:p>
      <w:pPr>
        <w:ind w:left="380" w:hanging="372"/>
        <w:spacing w:after="0"/>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14" w:lineRule="exact"/>
        <w:rPr>
          <w:rFonts w:ascii="Arial" w:cs="Arial" w:eastAsia="Arial" w:hAnsi="Arial"/>
          <w:sz w:val="12"/>
          <w:szCs w:val="12"/>
          <w:color w:val="auto"/>
        </w:rPr>
      </w:pPr>
    </w:p>
    <w:p>
      <w:pPr>
        <w:ind w:left="380" w:right="100" w:hanging="372"/>
        <w:spacing w:after="0" w:line="261" w:lineRule="auto"/>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For the nine months ended June 30, 2018, the ratio of operating expenses to average net assets before the waiver of certain Management Fees to average net assets was 5.24% and the ratio of total expenses before the waiver of certain Management Fees to average net assets was 8.83%.</w:t>
      </w:r>
    </w:p>
    <w:p>
      <w:pPr>
        <w:ind w:left="380" w:hanging="372"/>
        <w:spacing w:after="0"/>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Credit facility amendment and debt issuance costs as well as non-recurring provision for taxes, if any, are not annualized.</w:t>
      </w:r>
    </w:p>
    <w:p>
      <w:pPr>
        <w:spacing w:after="0" w:line="14" w:lineRule="exact"/>
        <w:rPr>
          <w:rFonts w:ascii="Arial" w:cs="Arial" w:eastAsia="Arial" w:hAnsi="Arial"/>
          <w:sz w:val="12"/>
          <w:szCs w:val="12"/>
          <w:color w:val="auto"/>
        </w:rPr>
      </w:pPr>
    </w:p>
    <w:p>
      <w:pPr>
        <w:ind w:left="380" w:hanging="372"/>
        <w:spacing w:after="0"/>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14" w:lineRule="exact"/>
        <w:rPr>
          <w:rFonts w:ascii="Arial" w:cs="Arial" w:eastAsia="Arial" w:hAnsi="Arial"/>
          <w:sz w:val="12"/>
          <w:szCs w:val="12"/>
          <w:color w:val="auto"/>
        </w:rPr>
      </w:pPr>
    </w:p>
    <w:p>
      <w:pPr>
        <w:jc w:val="both"/>
        <w:ind w:left="380" w:right="100" w:hanging="372"/>
        <w:spacing w:after="0" w:line="302" w:lineRule="auto"/>
        <w:tabs>
          <w:tab w:leader="none" w:pos="380" w:val="left"/>
        </w:tabs>
        <w:numPr>
          <w:ilvl w:val="0"/>
          <w:numId w:val="18"/>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221"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The annualized weighted average cost of debt for the nine months ended June 30, 2019 and 2018, inclusive of the fee on the undrawn commitment under the SunTrust Credit Facility, debt issuance costs on the BNP Credit Facility and amortized upfront fees on SBA debentures, was 5.4% and 4.6%, respectively. As of June 30, 2019,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pacing w:after="0" w:line="198" w:lineRule="exact"/>
        <w:rPr>
          <w:sz w:val="20"/>
          <w:szCs w:val="20"/>
          <w:color w:val="auto"/>
        </w:rPr>
      </w:pPr>
    </w:p>
    <w:p>
      <w:pPr>
        <w:ind w:right="360" w:firstLine="438"/>
        <w:spacing w:after="0" w:line="231" w:lineRule="auto"/>
        <w:rPr>
          <w:sz w:val="20"/>
          <w:szCs w:val="20"/>
          <w:color w:val="auto"/>
        </w:rPr>
      </w:pPr>
      <w:r>
        <w:rPr>
          <w:rFonts w:ascii="Arial" w:cs="Arial" w:eastAsia="Arial" w:hAnsi="Arial"/>
          <w:sz w:val="14"/>
          <w:szCs w:val="14"/>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June 30, 2019 and September 30, 2018, our asset coverage ratio, as computed in accordance with the 1940 Act, was 204% and 292%,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BNP Credit Facility</w:t>
      </w:r>
    </w:p>
    <w:p>
      <w:pPr>
        <w:spacing w:after="0" w:line="217"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On February 22, 2019, Funding I closed the BNP Credit Facility for up to $250.0 million in borrowings with certain lenders and BNP Paribas, as administrative agent, and The Bank of New York Mellon Trust Company, N.A., as collateral agent. As of June 30, 2019, Funding I had $178.0 million in outstanding borrowings under the BNP Credit Facility. The BNP Credit Facility had a weighted average interest rate of 5.0% as of June 30, 2019. The BNP Credit Facility is a five-year revolving facility with a stated maturity date of February 22, 2024 and pricing set at 260 basis points over LIBOR. The BNP Credit Facility is secured by all of the assets of Funding I. We own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100% of the equity interest in Funding I and treat the indebtedness of Funding I as our leverage. Our Investment Adviser serves as the servicer to Funding I in connection with the BNP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SunTrust Credit Facility</w:t>
      </w:r>
    </w:p>
    <w:p>
      <w:pPr>
        <w:spacing w:after="0" w:line="217"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As of June 30, 2019, we had the multi-currency SunTrust Credit Facility for up to $445.0 million in borrowings with certain lenders and SunTrust Bank, acting as administrative agent, and JPMorgan Chase Bank, N.A., acting as syndication agent for the lenders. As of June 30, 2019 and September 30, 2018, we had $382.6 million (including a $12.0 million temporary draw) and $80.5 million (including a $2.0 million temporary draw), respectively, in outstanding borrowings under the SunTrust Credit Facility. The SunTrust Credit Facility had a weighted average interest rate of 4.7% and 3.8%, respectively, exclusive of the fee on undrawn commitments of 0.4%, as of June 30, 2019 and September 30, 2018. The SunTrust Credit Facility is a five-year revolving facility with a stated maturity date of May 25, 2022, a one-year term-out period following its fourth year and pricing set at 225 basis points over LIBOR. The SunTrust Credit Facility is secured by substantially all of our assets excluding assets held by Funding I and our SBIC Fund.</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217" w:lineRule="exact"/>
        <w:rPr>
          <w:sz w:val="20"/>
          <w:szCs w:val="20"/>
          <w:color w:val="auto"/>
        </w:rPr>
      </w:pPr>
    </w:p>
    <w:p>
      <w:pPr>
        <w:ind w:right="180" w:firstLine="438"/>
        <w:spacing w:after="0" w:line="248" w:lineRule="auto"/>
        <w:rPr>
          <w:sz w:val="20"/>
          <w:szCs w:val="20"/>
          <w:color w:val="auto"/>
        </w:rPr>
      </w:pPr>
      <w:r>
        <w:rPr>
          <w:rFonts w:ascii="Arial" w:cs="Arial" w:eastAsia="Arial" w:hAnsi="Arial"/>
          <w:sz w:val="13"/>
          <w:szCs w:val="13"/>
          <w:color w:val="auto"/>
        </w:rPr>
        <w:t>Our SBIC Fund is able to borrow funds from the SBA against regulatory capital (which approximates equity capital) that is paid-in and is subject to customary regulatory requirements including an examination by the SBA. During the quarter ended June 30, 2019 we liquidated SBIC I. We have funded SBIC II with $75.0 million of equity capital and it had SBA debentures outstanding of $150.0 million as of June 30, 2019.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194"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As of June 30, 2019 and September 30, 2018, our SBIC Funds had $150.0 million and $300.0 million in debt commitments, respectively, of which $150.0 million and $180.0 million was drawn, respectively. As of June 30, 2019 and September 30, 2018, the unamortized fees on the SBA debentures were $4.0 million and $4.6 million, respectively. The SBA debentures’ upfront fees of 3.4% consist of a commitment fee of 1.0% and an issuance discount of 2.4%, which are being amortized.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gridSpan w:val="2"/>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As of June 30, 2019</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CFF"/>
            </w:tcBorders>
            <w:vMerge w:val="continue"/>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4"/>
              </w:rPr>
              <w:t>Principal 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920"/>
              <w:spacing w:after="0" w:line="155" w:lineRule="exact"/>
              <w:rPr>
                <w:sz w:val="20"/>
                <w:szCs w:val="20"/>
                <w:color w:val="auto"/>
              </w:rPr>
            </w:pPr>
            <w:r>
              <w:rPr>
                <w:rFonts w:ascii="Arial" w:cs="Arial" w:eastAsia="Arial" w:hAnsi="Arial"/>
                <w:sz w:val="14"/>
                <w:szCs w:val="14"/>
                <w:color w:val="auto"/>
              </w:rPr>
              <w:t>2.9%</w:t>
            </w:r>
          </w:p>
        </w:tc>
        <w:tc>
          <w:tcPr>
            <w:tcW w:w="20" w:type="dxa"/>
            <w:vAlign w:val="bottom"/>
            <w:shd w:val="clear" w:color="auto" w:fill="CCECFF"/>
          </w:tcPr>
          <w:p>
            <w:pPr>
              <w:spacing w:after="0"/>
              <w:rPr>
                <w:sz w:val="13"/>
                <w:szCs w:val="13"/>
                <w:color w:val="auto"/>
              </w:rPr>
            </w:pPr>
          </w:p>
        </w:tc>
        <w:tc>
          <w:tcPr>
            <w:tcW w:w="180" w:type="dxa"/>
            <w:vAlign w:val="bottom"/>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2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46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100" w:type="dxa"/>
            <w:vAlign w:val="bottom"/>
          </w:tcPr>
          <w:p>
            <w:pPr>
              <w:ind w:left="1920"/>
              <w:spacing w:after="0"/>
              <w:rPr>
                <w:sz w:val="20"/>
                <w:szCs w:val="20"/>
                <w:color w:val="auto"/>
              </w:rPr>
            </w:pPr>
            <w:r>
              <w:rPr>
                <w:rFonts w:ascii="Arial" w:cs="Arial" w:eastAsia="Arial" w:hAnsi="Arial"/>
                <w:sz w:val="14"/>
                <w:szCs w:val="14"/>
                <w:color w:val="auto"/>
                <w:w w:val="81"/>
              </w:rPr>
              <w:t>2.4</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100" w:type="dxa"/>
            <w:vAlign w:val="bottom"/>
            <w:shd w:val="clear" w:color="auto" w:fill="CCECFF"/>
          </w:tcPr>
          <w:p>
            <w:pPr>
              <w:ind w:left="1920"/>
              <w:spacing w:after="0"/>
              <w:rPr>
                <w:sz w:val="20"/>
                <w:szCs w:val="20"/>
                <w:color w:val="auto"/>
              </w:rPr>
            </w:pPr>
            <w:r>
              <w:rPr>
                <w:rFonts w:ascii="Arial" w:cs="Arial" w:eastAsia="Arial" w:hAnsi="Arial"/>
                <w:sz w:val="14"/>
                <w:szCs w:val="14"/>
                <w:color w:val="auto"/>
                <w:w w:val="81"/>
              </w:rPr>
              <w:t>2.9</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4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10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w w:val="81"/>
              </w:rPr>
              <w:t>3.5</w:t>
            </w:r>
          </w:p>
        </w:tc>
        <w:tc>
          <w:tcPr>
            <w:tcW w:w="4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71,000,000</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920"/>
              <w:spacing w:after="0" w:line="155" w:lineRule="exact"/>
              <w:rPr>
                <w:sz w:val="20"/>
                <w:szCs w:val="20"/>
                <w:color w:val="auto"/>
              </w:rPr>
            </w:pPr>
            <w:r>
              <w:rPr>
                <w:rFonts w:ascii="Arial" w:cs="Arial" w:eastAsia="Arial" w:hAnsi="Arial"/>
                <w:sz w:val="14"/>
                <w:szCs w:val="14"/>
                <w:color w:val="auto"/>
              </w:rPr>
              <w:t>3.1%</w:t>
            </w:r>
          </w:p>
        </w:tc>
        <w:tc>
          <w:tcPr>
            <w:tcW w:w="20" w:type="dxa"/>
            <w:vAlign w:val="bottom"/>
            <w:shd w:val="clear" w:color="auto" w:fill="CCECFF"/>
          </w:tcPr>
          <w:p>
            <w:pPr>
              <w:spacing w:after="0"/>
              <w:rPr>
                <w:sz w:val="13"/>
                <w:szCs w:val="13"/>
                <w:color w:val="auto"/>
              </w:rPr>
            </w:pPr>
          </w:p>
        </w:tc>
        <w:tc>
          <w:tcPr>
            <w:tcW w:w="180" w:type="dxa"/>
            <w:vAlign w:val="bottom"/>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2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2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CFF"/>
            </w:tcBorders>
          </w:tcPr>
          <w:p>
            <w:pPr>
              <w:spacing w:after="0" w:line="20" w:lineRule="exact"/>
              <w:rPr>
                <w:sz w:val="1"/>
                <w:szCs w:val="1"/>
                <w:color w:val="auto"/>
              </w:rPr>
            </w:pPr>
          </w:p>
        </w:tc>
        <w:tc>
          <w:tcPr>
            <w:tcW w:w="2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 September 30, 2018</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CFF"/>
            </w:tcBorders>
            <w:vMerge w:val="continue"/>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4"/>
              </w:rPr>
              <w:t>Principal 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21, 2011</w:t>
            </w:r>
          </w:p>
        </w:tc>
        <w:tc>
          <w:tcPr>
            <w:tcW w:w="24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2021</w:t>
            </w: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920"/>
              <w:spacing w:after="0" w:line="155" w:lineRule="exact"/>
              <w:rPr>
                <w:sz w:val="20"/>
                <w:szCs w:val="20"/>
                <w:color w:val="auto"/>
              </w:rPr>
            </w:pPr>
            <w:r>
              <w:rPr>
                <w:rFonts w:ascii="Arial" w:cs="Arial" w:eastAsia="Arial" w:hAnsi="Arial"/>
                <w:sz w:val="14"/>
                <w:szCs w:val="14"/>
                <w:color w:val="auto"/>
              </w:rPr>
              <w:t>3.4%</w:t>
            </w:r>
          </w:p>
        </w:tc>
        <w:tc>
          <w:tcPr>
            <w:tcW w:w="20" w:type="dxa"/>
            <w:vAlign w:val="bottom"/>
            <w:shd w:val="clear" w:color="auto" w:fill="CCECFF"/>
          </w:tcPr>
          <w:p>
            <w:pPr>
              <w:spacing w:after="0"/>
              <w:rPr>
                <w:sz w:val="13"/>
                <w:szCs w:val="13"/>
                <w:color w:val="auto"/>
              </w:rPr>
            </w:pPr>
          </w:p>
        </w:tc>
        <w:tc>
          <w:tcPr>
            <w:tcW w:w="180" w:type="dxa"/>
            <w:vAlign w:val="bottom"/>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2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March 23, 2016</w:t>
            </w:r>
          </w:p>
        </w:tc>
        <w:tc>
          <w:tcPr>
            <w:tcW w:w="2460" w:type="dxa"/>
            <w:vAlign w:val="bottom"/>
            <w:gridSpan w:val="2"/>
          </w:tcPr>
          <w:p>
            <w:pPr>
              <w:spacing w:after="0"/>
              <w:rPr>
                <w:sz w:val="20"/>
                <w:szCs w:val="20"/>
                <w:color w:val="auto"/>
              </w:rPr>
            </w:pPr>
            <w:r>
              <w:rPr>
                <w:rFonts w:ascii="Arial" w:cs="Arial" w:eastAsia="Arial" w:hAnsi="Arial"/>
                <w:sz w:val="14"/>
                <w:szCs w:val="14"/>
                <w:color w:val="auto"/>
              </w:rPr>
              <w:t>March 1, 2026</w:t>
            </w:r>
          </w:p>
        </w:tc>
        <w:tc>
          <w:tcPr>
            <w:tcW w:w="2100" w:type="dxa"/>
            <w:vAlign w:val="bottom"/>
          </w:tcPr>
          <w:p>
            <w:pPr>
              <w:ind w:left="1920"/>
              <w:spacing w:after="0"/>
              <w:rPr>
                <w:sz w:val="20"/>
                <w:szCs w:val="20"/>
                <w:color w:val="auto"/>
              </w:rPr>
            </w:pPr>
            <w:r>
              <w:rPr>
                <w:rFonts w:ascii="Arial" w:cs="Arial" w:eastAsia="Arial" w:hAnsi="Arial"/>
                <w:sz w:val="14"/>
                <w:szCs w:val="14"/>
                <w:color w:val="auto"/>
                <w:w w:val="81"/>
              </w:rPr>
              <w:t>2.9</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2026</w:t>
            </w:r>
          </w:p>
        </w:tc>
        <w:tc>
          <w:tcPr>
            <w:tcW w:w="2100" w:type="dxa"/>
            <w:vAlign w:val="bottom"/>
            <w:shd w:val="clear" w:color="auto" w:fill="CCECFF"/>
          </w:tcPr>
          <w:p>
            <w:pPr>
              <w:ind w:left="1920"/>
              <w:spacing w:after="0"/>
              <w:rPr>
                <w:sz w:val="20"/>
                <w:szCs w:val="20"/>
                <w:color w:val="auto"/>
              </w:rPr>
            </w:pPr>
            <w:r>
              <w:rPr>
                <w:rFonts w:ascii="Arial" w:cs="Arial" w:eastAsia="Arial" w:hAnsi="Arial"/>
                <w:sz w:val="14"/>
                <w:szCs w:val="14"/>
                <w:color w:val="auto"/>
                <w:w w:val="81"/>
              </w:rPr>
              <w:t>2.4</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September 20, 2017</w:t>
            </w:r>
          </w:p>
        </w:tc>
        <w:tc>
          <w:tcPr>
            <w:tcW w:w="2460" w:type="dxa"/>
            <w:vAlign w:val="bottom"/>
            <w:gridSpan w:val="2"/>
          </w:tcPr>
          <w:p>
            <w:pPr>
              <w:spacing w:after="0"/>
              <w:rPr>
                <w:sz w:val="20"/>
                <w:szCs w:val="20"/>
                <w:color w:val="auto"/>
              </w:rPr>
            </w:pPr>
            <w:r>
              <w:rPr>
                <w:rFonts w:ascii="Arial" w:cs="Arial" w:eastAsia="Arial" w:hAnsi="Arial"/>
                <w:sz w:val="14"/>
                <w:szCs w:val="14"/>
                <w:color w:val="auto"/>
              </w:rPr>
              <w:t>September 1, 2027</w:t>
            </w:r>
          </w:p>
        </w:tc>
        <w:tc>
          <w:tcPr>
            <w:tcW w:w="2100" w:type="dxa"/>
            <w:vAlign w:val="bottom"/>
          </w:tcPr>
          <w:p>
            <w:pPr>
              <w:ind w:left="1920"/>
              <w:spacing w:after="0"/>
              <w:rPr>
                <w:sz w:val="20"/>
                <w:szCs w:val="20"/>
                <w:color w:val="auto"/>
              </w:rPr>
            </w:pPr>
            <w:r>
              <w:rPr>
                <w:rFonts w:ascii="Arial" w:cs="Arial" w:eastAsia="Arial" w:hAnsi="Arial"/>
                <w:sz w:val="14"/>
                <w:szCs w:val="14"/>
                <w:color w:val="auto"/>
                <w:w w:val="81"/>
              </w:rPr>
              <w:t>2.9</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2028</w:t>
            </w:r>
          </w:p>
        </w:tc>
        <w:tc>
          <w:tcPr>
            <w:tcW w:w="2100" w:type="dxa"/>
            <w:vAlign w:val="bottom"/>
            <w:tcBorders>
              <w:bottom w:val="single" w:sz="8" w:color="auto"/>
            </w:tcBorders>
            <w:shd w:val="clear" w:color="auto" w:fill="CCECFF"/>
          </w:tcPr>
          <w:p>
            <w:pPr>
              <w:ind w:left="1920"/>
              <w:spacing w:after="0"/>
              <w:rPr>
                <w:sz w:val="20"/>
                <w:szCs w:val="20"/>
                <w:color w:val="auto"/>
              </w:rPr>
            </w:pPr>
            <w:r>
              <w:rPr>
                <w:rFonts w:ascii="Arial" w:cs="Arial" w:eastAsia="Arial" w:hAnsi="Arial"/>
                <w:sz w:val="14"/>
                <w:szCs w:val="14"/>
                <w:color w:val="auto"/>
                <w:w w:val="81"/>
              </w:rPr>
              <w:t>3.5</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2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2"/>
          </w:tcPr>
          <w:p>
            <w:pPr>
              <w:ind w:left="1920"/>
              <w:spacing w:after="0" w:line="155"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2020" w:type="dxa"/>
            <w:vAlign w:val="bottom"/>
          </w:tcPr>
          <w:p>
            <w:pPr>
              <w:jc w:val="right"/>
              <w:spacing w:after="0" w:line="155" w:lineRule="exact"/>
              <w:rPr>
                <w:sz w:val="20"/>
                <w:szCs w:val="20"/>
                <w:color w:val="auto"/>
              </w:rPr>
            </w:pPr>
            <w:r>
              <w:rPr>
                <w:rFonts w:ascii="Arial" w:cs="Arial" w:eastAsia="Arial" w:hAnsi="Arial"/>
                <w:sz w:val="14"/>
                <w:szCs w:val="14"/>
                <w:color w:val="auto"/>
              </w:rPr>
              <w:t>180,000,000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Excluding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97" w:lineRule="exact"/>
        <w:rPr>
          <w:sz w:val="20"/>
          <w:szCs w:val="20"/>
          <w:color w:val="auto"/>
        </w:rPr>
      </w:pPr>
    </w:p>
    <w:p>
      <w:pPr>
        <w:ind w:right="220"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2019, our SBIC Funds were in compliance with their regulatory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217"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2019 Notes were redeemed on March 4, 2019 at a redemption price equal to $1,008.65 for each $1,000.00 of principal of notes outstanding, plus accrued and unpaid interest to March 4, 2019, pursuant to the indenture governing the 2019 Notes. Interest on the 2019 Notes was paid semi-annually on April 1 and October 1, at a rate of 4.5% per year. The 2019 Notes were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221"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June 30, 2019 and September 30, 2018, we had $49.0 million and $60.6 million, respectively, in commitments to fund investments. For the same periods, there were no letters of credit issued.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221" w:lineRule="exact"/>
        <w:rPr>
          <w:sz w:val="20"/>
          <w:szCs w:val="20"/>
          <w:color w:val="auto"/>
        </w:rPr>
      </w:pPr>
    </w:p>
    <w:p>
      <w:pPr>
        <w:jc w:val="both"/>
        <w:ind w:right="20" w:firstLine="438"/>
        <w:spacing w:after="0" w:line="233"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Superior Digital Displays, LLC became a controlled affiliated investment as of December 31, 2013. We have determined that Superior Digital Displays, LLC was a significant subsidiary. As a result and in accordance with Rule 10-01(b) of Regulation S-X under the Securities Act, presented below is summarized unaudited financial information for Superior Digital Displays, LLC for the three and nine months ended June 30, 2019 and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 xml:space="preserve">Three Months Ended June 30, </w:t>
            </w:r>
            <w:r>
              <w:rPr>
                <w:rFonts w:ascii="Arial" w:cs="Arial" w:eastAsia="Arial" w:hAnsi="Arial"/>
                <w:sz w:val="12"/>
                <w:szCs w:val="12"/>
                <w:b w:val="1"/>
                <w:bCs w:val="1"/>
                <w:color w:val="auto"/>
              </w:rPr>
              <w:t>(2)</w:t>
            </w:r>
          </w:p>
        </w:tc>
        <w:tc>
          <w:tcPr>
            <w:tcW w:w="320" w:type="dxa"/>
            <w:vAlign w:val="bottom"/>
          </w:tcPr>
          <w:p>
            <w:pPr>
              <w:spacing w:after="0"/>
              <w:rPr>
                <w:sz w:val="16"/>
                <w:szCs w:val="16"/>
                <w:color w:val="auto"/>
              </w:rPr>
            </w:pPr>
          </w:p>
        </w:tc>
        <w:tc>
          <w:tcPr>
            <w:tcW w:w="33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 xml:space="preserve">Nine Months Ended June 30, </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6"/>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488"/>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2"/>
                <w:szCs w:val="12"/>
                <w:b w:val="1"/>
                <w:bCs w:val="1"/>
                <w:color w:val="auto"/>
              </w:rPr>
              <w:t>(3)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488"/>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2"/>
                <w:szCs w:val="12"/>
                <w:b w:val="1"/>
                <w:bCs w:val="1"/>
                <w:color w:val="auto"/>
              </w:rPr>
              <w:t>(3)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7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159.5</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878.5</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807.2</w:t>
            </w:r>
          </w:p>
        </w:tc>
        <w:tc>
          <w:tcPr>
            <w:tcW w:w="30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1,651.3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3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2,626.5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4,041.0</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8,378.3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CECFF"/>
          </w:tcPr>
          <w:p>
            <w:pPr>
              <w:jc w:val="right"/>
              <w:ind w:right="168"/>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(18.9)</w:t>
            </w:r>
          </w:p>
        </w:tc>
        <w:tc>
          <w:tcPr>
            <w:tcW w:w="48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(1,748.0)</w:t>
            </w:r>
          </w:p>
        </w:tc>
        <w:tc>
          <w:tcPr>
            <w:tcW w:w="320" w:type="dxa"/>
            <w:vAlign w:val="bottom"/>
            <w:shd w:val="clear" w:color="auto" w:fill="CCECFF"/>
          </w:tcPr>
          <w:p>
            <w:pPr>
              <w:jc w:val="right"/>
              <w:ind w:right="168"/>
              <w:spacing w:after="0"/>
              <w:rPr>
                <w:sz w:val="20"/>
                <w:szCs w:val="20"/>
                <w:color w:val="auto"/>
              </w:rPr>
            </w:pPr>
            <w:r>
              <w:rPr>
                <w:rFonts w:ascii="Arial" w:cs="Arial" w:eastAsia="Arial" w:hAnsi="Arial"/>
                <w:sz w:val="14"/>
                <w:szCs w:val="14"/>
                <w:color w:val="auto"/>
                <w:w w:val="76"/>
              </w:rPr>
              <w:t>$</w:t>
            </w:r>
          </w:p>
        </w:tc>
        <w:tc>
          <w:tcPr>
            <w:tcW w:w="15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(3,233.8)</w:t>
            </w:r>
          </w:p>
        </w:tc>
        <w:tc>
          <w:tcPr>
            <w:tcW w:w="360" w:type="dxa"/>
            <w:vAlign w:val="bottom"/>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(6,727.0)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2"/>
          <w:szCs w:val="12"/>
          <w:color w:val="auto"/>
        </w:rPr>
      </w:pPr>
      <w:r>
        <w:rPr>
          <w:rFonts w:ascii="Arial" w:cs="Arial" w:eastAsia="Arial" w:hAnsi="Arial"/>
          <w:sz w:val="14"/>
          <w:szCs w:val="14"/>
          <w:color w:val="auto"/>
        </w:rPr>
        <w:t>All amounts are in thousands.</w:t>
      </w:r>
    </w:p>
    <w:p>
      <w:pPr>
        <w:ind w:left="380" w:hanging="372"/>
        <w:spacing w:after="0" w:line="221" w:lineRule="auto"/>
        <w:tabs>
          <w:tab w:leader="none" w:pos="380" w:val="left"/>
        </w:tabs>
        <w:numPr>
          <w:ilvl w:val="0"/>
          <w:numId w:val="19"/>
        </w:numPr>
        <w:rPr>
          <w:rFonts w:ascii="Arial" w:cs="Arial" w:eastAsia="Arial" w:hAnsi="Arial"/>
          <w:sz w:val="12"/>
          <w:szCs w:val="12"/>
          <w:color w:val="auto"/>
        </w:rPr>
      </w:pPr>
      <w:r>
        <w:rPr>
          <w:rFonts w:ascii="Arial" w:cs="Arial" w:eastAsia="Arial" w:hAnsi="Arial"/>
          <w:sz w:val="14"/>
          <w:szCs w:val="14"/>
          <w:color w:val="auto"/>
        </w:rPr>
        <w:t>Unaudited.</w:t>
      </w:r>
    </w:p>
    <w:p>
      <w:pPr>
        <w:ind w:left="380" w:right="60" w:hanging="372"/>
        <w:spacing w:after="0" w:line="237" w:lineRule="auto"/>
        <w:tabs>
          <w:tab w:leader="none" w:pos="380" w:val="left"/>
        </w:tabs>
        <w:numPr>
          <w:ilvl w:val="0"/>
          <w:numId w:val="19"/>
        </w:numPr>
        <w:rPr>
          <w:rFonts w:ascii="Arial" w:cs="Arial" w:eastAsia="Arial" w:hAnsi="Arial"/>
          <w:sz w:val="12"/>
          <w:szCs w:val="12"/>
          <w:color w:val="auto"/>
        </w:rPr>
      </w:pPr>
      <w:r>
        <w:rPr>
          <w:rFonts w:ascii="Arial" w:cs="Arial" w:eastAsia="Arial" w:hAnsi="Arial"/>
          <w:sz w:val="14"/>
          <w:szCs w:val="14"/>
          <w:color w:val="auto"/>
        </w:rPr>
        <w:t>On June 14, 2019 Superior Digital Displays, LLC filed for bankruptcy protection under Chapter 7 of the U.S. Bankruptcy Code with the U.S. Bankruptcy Court for the Southern District of New York. As such, our investment in Superior Digital Displays, LLC is no longer reflected on the Schedule of Investments (See Note 6).</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 REPURCHASE PROGRAM</w:t>
      </w:r>
    </w:p>
    <w:p>
      <w:pPr>
        <w:spacing w:after="0" w:line="221" w:lineRule="exact"/>
        <w:rPr>
          <w:sz w:val="20"/>
          <w:szCs w:val="20"/>
          <w:color w:val="auto"/>
        </w:rPr>
      </w:pPr>
    </w:p>
    <w:p>
      <w:pPr>
        <w:ind w:right="40" w:firstLine="438"/>
        <w:spacing w:after="0" w:line="277" w:lineRule="auto"/>
        <w:rPr>
          <w:sz w:val="20"/>
          <w:szCs w:val="20"/>
          <w:color w:val="auto"/>
        </w:rPr>
      </w:pPr>
      <w:r>
        <w:rPr>
          <w:rFonts w:ascii="Arial" w:cs="Arial" w:eastAsia="Arial" w:hAnsi="Arial"/>
          <w:sz w:val="12"/>
          <w:szCs w:val="12"/>
          <w:color w:val="auto"/>
        </w:rPr>
        <w:t>On May 9, 2018, we announced a share repurchase program which allowed us to repurchase up to $30 million of our outstanding common stock in the open market at prices below our net asset value as reported in our then most recently published consolidated financial statements. The program expired on May 9, 2019. During the three and nine months ended June 30, 2019, we repurchased zero and 2.0 million shares of common stock, respectively, in open market transactions for an aggregate cost (including transaction costs) of zero and $14.5 million, respectively. During both the three and nine months ended June 30, 2018, we repurchased 1.1 million shares of common stock in open market transactions for an aggregate cost (including transaction costs) of $7.8 million. We repurchased 4.0 million shares of our common stock in open market transactions while the program was in effect for an aggregate cost (including transaction costs) of $29.5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399" w:lineRule="exact"/>
        <w:rPr>
          <w:sz w:val="20"/>
          <w:szCs w:val="20"/>
          <w:color w:val="auto"/>
        </w:rPr>
      </w:pPr>
    </w:p>
    <w:p>
      <w:pPr>
        <w:ind w:right="5220"/>
        <w:spacing w:after="0" w:line="474" w:lineRule="auto"/>
        <w:rPr>
          <w:sz w:val="20"/>
          <w:szCs w:val="20"/>
          <w:color w:val="auto"/>
        </w:rPr>
      </w:pPr>
      <w:r>
        <w:rPr>
          <w:rFonts w:ascii="Arial" w:cs="Arial" w:eastAsia="Arial" w:hAnsi="Arial"/>
          <w:sz w:val="14"/>
          <w:szCs w:val="14"/>
          <w:color w:val="auto"/>
        </w:rPr>
        <w:t xml:space="preserve">To the Stockholders and Board of Directors of PennantPark Investment Corporation and its Subsidiaries </w:t>
      </w:r>
      <w:r>
        <w:rPr>
          <w:rFonts w:ascii="Arial" w:cs="Arial" w:eastAsia="Arial" w:hAnsi="Arial"/>
          <w:sz w:val="14"/>
          <w:szCs w:val="14"/>
          <w:b w:val="1"/>
          <w:bCs w:val="1"/>
          <w:color w:val="auto"/>
        </w:rPr>
        <w:t>Results of Review of Interim Financial Statements</w:t>
      </w:r>
    </w:p>
    <w:p>
      <w:pPr>
        <w:spacing w:after="0" w:line="39" w:lineRule="exact"/>
        <w:rPr>
          <w:sz w:val="20"/>
          <w:szCs w:val="20"/>
          <w:color w:val="auto"/>
        </w:rPr>
      </w:pPr>
    </w:p>
    <w:p>
      <w:pPr>
        <w:ind w:right="100" w:firstLine="365"/>
        <w:spacing w:after="0" w:line="251" w:lineRule="auto"/>
        <w:rPr>
          <w:sz w:val="20"/>
          <w:szCs w:val="20"/>
          <w:color w:val="auto"/>
        </w:rPr>
      </w:pPr>
      <w:r>
        <w:rPr>
          <w:rFonts w:ascii="Arial" w:cs="Arial" w:eastAsia="Arial" w:hAnsi="Arial"/>
          <w:sz w:val="13"/>
          <w:szCs w:val="13"/>
          <w:color w:val="auto"/>
        </w:rPr>
        <w:t>We have reviewed the accompanying consolidated statement of assets and liabilities of PennantPark Investment Corporation and its Subsidiaries (collectively referred to as the “Company”), including the consolidated schedule of investments, as of June 30, 2019, the related consolidated statements of operations and the related consolidated statements of changes in net assets for the three and nine months ended June 30, 2019 and 2018, and cash flows for the nine months ended June 30, 2019 and 2018, and the related notes to the consolidated financial statements (collectively, the interim financial information or financial statements). Based on our reviews, we are not aware of any material modifications that should be made to the interim financial statements referred to above for them to be in conformity with accounting principles generally accepted in the United States of America.</w:t>
      </w:r>
    </w:p>
    <w:p>
      <w:pPr>
        <w:spacing w:after="0" w:line="109" w:lineRule="exact"/>
        <w:rPr>
          <w:sz w:val="20"/>
          <w:szCs w:val="20"/>
          <w:color w:val="auto"/>
        </w:rPr>
      </w:pPr>
    </w:p>
    <w:p>
      <w:pPr>
        <w:ind w:right="80" w:firstLine="365"/>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2018, and the related consolidated statements of operations, changes in net assets, and cash flows for the year then ended (not presented herein), and in our report dated November 15, 2018, we expressed an unqualified opinion on those consolidated financial statements. In our opinion, the information set forth in the accompanying consolidated statement of assets and liabilities as of September 30, 2018, is fairly stated, in all material respects, in relation to the consolidated statement of assets and liabilities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221" w:lineRule="exact"/>
        <w:rPr>
          <w:sz w:val="20"/>
          <w:szCs w:val="20"/>
          <w:color w:val="auto"/>
        </w:rPr>
      </w:pPr>
    </w:p>
    <w:p>
      <w:pPr>
        <w:ind w:firstLine="365"/>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5" w:name="page26"/>
    <w:bookmarkEnd w:id="25"/>
    <w:p>
      <w:pPr>
        <w:spacing w:after="0"/>
        <w:tabs>
          <w:tab w:leader="none" w:pos="13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2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Brexit and other world economic and political issues.</w:t>
      </w:r>
    </w:p>
    <w:p>
      <w:pPr>
        <w:spacing w:after="0" w:line="217"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87" w:lineRule="exact"/>
        <w:rPr>
          <w:sz w:val="20"/>
          <w:szCs w:val="20"/>
          <w:color w:val="auto"/>
        </w:rPr>
      </w:pPr>
    </w:p>
    <w:p>
      <w:pPr>
        <w:jc w:val="both"/>
        <w:ind w:right="40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9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98"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87"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217" w:lineRule="exact"/>
        <w:rPr>
          <w:sz w:val="20"/>
          <w:szCs w:val="20"/>
          <w:color w:val="auto"/>
        </w:rPr>
      </w:pPr>
    </w:p>
    <w:p>
      <w:pPr>
        <w:ind w:right="580" w:firstLine="438"/>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165"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a limited amount of capital available for such companies and the potential for rising interest rates.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ind w:right="6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217" w:lineRule="exact"/>
        <w:rPr>
          <w:sz w:val="20"/>
          <w:szCs w:val="20"/>
          <w:color w:val="auto"/>
        </w:rPr>
      </w:pPr>
    </w:p>
    <w:p>
      <w:pPr>
        <w:ind w:right="20" w:firstLine="438"/>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65" w:lineRule="exact"/>
        <w:rPr>
          <w:sz w:val="20"/>
          <w:szCs w:val="20"/>
          <w:color w:val="auto"/>
        </w:rPr>
      </w:pPr>
    </w:p>
    <w:p>
      <w:pPr>
        <w:ind w:right="220" w:firstLine="438"/>
        <w:spacing w:after="0" w:line="296" w:lineRule="auto"/>
        <w:rPr>
          <w:sz w:val="20"/>
          <w:szCs w:val="20"/>
          <w:color w:val="auto"/>
        </w:rPr>
      </w:pPr>
      <w:r>
        <w:rPr>
          <w:rFonts w:ascii="Arial" w:cs="Arial" w:eastAsia="Arial" w:hAnsi="Arial"/>
          <w:sz w:val="12"/>
          <w:szCs w:val="12"/>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SBA-eligible businesses that meet the investment selection criteria used by PennantPark Investment. During the quarter ended June 30, 2019 we liquidated SBIC I.</w:t>
      </w:r>
    </w:p>
    <w:p>
      <w:pPr>
        <w:spacing w:after="0" w:line="164"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 The BNP Credit Facility allows Funding I to borrow up to $250 million at LIBOR plus 260 basis points during the reinvestment period. The BNP Credit Facility is secured by all of the assets held by Funding I.</w:t>
      </w:r>
    </w:p>
    <w:p>
      <w:pPr>
        <w:spacing w:after="0" w:line="188"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provides overall supervision of our activities, and the Investment Adviser supervises our day-to-day activities.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217" w:lineRule="exact"/>
        <w:rPr>
          <w:sz w:val="20"/>
          <w:szCs w:val="20"/>
          <w:color w:val="auto"/>
        </w:rPr>
      </w:pPr>
    </w:p>
    <w:p>
      <w:pPr>
        <w:ind w:right="100" w:firstLine="438"/>
        <w:spacing w:after="0" w:line="269"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98" w:lineRule="exact"/>
        <w:rPr>
          <w:sz w:val="20"/>
          <w:szCs w:val="20"/>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80" w:hanging="372"/>
        <w:spacing w:after="0" w:line="253" w:lineRule="auto"/>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right="60" w:hanging="372"/>
        <w:spacing w:after="0" w:line="264" w:lineRule="auto"/>
        <w:tabs>
          <w:tab w:leader="none" w:pos="9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27" w:name="page28"/>
    <w:bookmarkEnd w:id="27"/>
    <w:p>
      <w:pPr>
        <w:ind w:right="22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221"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As of June 30, 2019, our portfolio totaled $1,274.8 million and consisted of $750.0 million of first lien secured debt, $288.1 million of second lien secured debt, $58.3 million of subordinated debt and $178.4 million of preferred and common equity. Our debt portfolio consisted of 88% variable-rate investments and 12% fixed-rate investments. As of June 30, 2019, we had one portfolio company on non-accrual, respectively representing 1.5% and 0.7% of our overall portfolio on a cost and fair value basis. Overall, the portfolio had net unrealized depreciation of $58.9 million as of June 30, 2019. Our overall portfolio consisted of 68 companies with an average investment size of $18.7 million, had a weighted average yield on interest bearing debt investments of 10.1% and was invested 59% in first lien secured debt, 23% in second lien secured debt, 4% in subordinated debt and 14% in preferred and common equity.</w:t>
      </w:r>
    </w:p>
    <w:p>
      <w:pPr>
        <w:spacing w:after="0" w:line="190"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 As of September 30, 2018, we had no portfolio companies on non-accrual. Overall, the portfolio had net unrealized depreciation of $111.8 million as of September 30, 2018. Our overall portfolio consisted of 53 companies with an average investment size of $21.4 million, had a weighted average yield on interest bearing debt investments of 11.2% and was invested 47% in first lien secured debt, 35% in second lien secured debt, 4% in subordinated debt and 14% in preferred and common equity.</w:t>
      </w:r>
    </w:p>
    <w:p>
      <w:pPr>
        <w:spacing w:after="0" w:line="197" w:lineRule="exact"/>
        <w:rPr>
          <w:sz w:val="20"/>
          <w:szCs w:val="20"/>
          <w:color w:val="auto"/>
        </w:rPr>
      </w:pPr>
    </w:p>
    <w:p>
      <w:pPr>
        <w:jc w:val="both"/>
        <w:ind w:right="220" w:firstLine="438"/>
        <w:spacing w:after="0" w:line="264" w:lineRule="auto"/>
        <w:rPr>
          <w:sz w:val="20"/>
          <w:szCs w:val="20"/>
          <w:color w:val="auto"/>
        </w:rPr>
      </w:pPr>
      <w:r>
        <w:rPr>
          <w:rFonts w:ascii="Arial" w:cs="Arial" w:eastAsia="Arial" w:hAnsi="Arial"/>
          <w:sz w:val="13"/>
          <w:szCs w:val="13"/>
          <w:color w:val="auto"/>
        </w:rPr>
        <w:t>For the three months ended June 30, 2019, we invested $116.4 million in six new and 12 existing portfolio companies with a weighted average yield on debt investments of 10.3%. Sales and repayments of investments for the three months ended June 30, 2019 totaled $84.7 million. For the nine months ended June 30, 2019, we invested $494.8 million in 21 new and 38 existing portfolio companies with a weighted average yield on debt investments of 9.5 %. Sales and repayments of investments for the nine months ended June 30, 2019 totaled $325.6 million.</w:t>
      </w:r>
    </w:p>
    <w:p>
      <w:pPr>
        <w:spacing w:after="0" w:line="182" w:lineRule="exact"/>
        <w:rPr>
          <w:sz w:val="20"/>
          <w:szCs w:val="20"/>
          <w:color w:val="auto"/>
        </w:rPr>
      </w:pPr>
    </w:p>
    <w:p>
      <w:pPr>
        <w:jc w:val="both"/>
        <w:ind w:right="160" w:firstLine="438"/>
        <w:spacing w:after="0" w:line="264" w:lineRule="auto"/>
        <w:rPr>
          <w:sz w:val="20"/>
          <w:szCs w:val="20"/>
          <w:color w:val="auto"/>
        </w:rPr>
      </w:pPr>
      <w:r>
        <w:rPr>
          <w:rFonts w:ascii="Arial" w:cs="Arial" w:eastAsia="Arial" w:hAnsi="Arial"/>
          <w:sz w:val="13"/>
          <w:szCs w:val="13"/>
          <w:color w:val="auto"/>
        </w:rPr>
        <w:t>For the three months ended June 30, 2018, we invested $187.9 million in five new and 12 existing portfolio companies with a weighted average yield on debt investments of 10.5%. Sales and repayments of investments for the three months ended June 30, 2018 totaled $117.7 million. For the nine months ended June 30, 2018, we invested $423.3 million in 13 new and 25 existing portfolio companies with a weighted average yield on debt investments of 10.2%. Sales and repayments of investments for the nine months ended June 30, 2018 totaled $556.4 million.</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221" w:lineRule="exact"/>
        <w:rPr>
          <w:sz w:val="20"/>
          <w:szCs w:val="20"/>
          <w:color w:val="auto"/>
        </w:rPr>
      </w:pPr>
    </w:p>
    <w:p>
      <w:pPr>
        <w:jc w:val="both"/>
        <w:ind w:right="6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217" w:lineRule="exact"/>
        <w:rPr>
          <w:sz w:val="20"/>
          <w:szCs w:val="20"/>
          <w:color w:val="auto"/>
        </w:rPr>
      </w:pPr>
    </w:p>
    <w:p>
      <w:pPr>
        <w:ind w:right="12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92" w:lineRule="exact"/>
        <w:rPr>
          <w:sz w:val="20"/>
          <w:szCs w:val="20"/>
          <w:color w:val="auto"/>
        </w:rPr>
      </w:pPr>
    </w:p>
    <w:p>
      <w:pPr>
        <w:ind w:right="32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65" w:lineRule="exact"/>
        <w:rPr>
          <w:sz w:val="20"/>
          <w:szCs w:val="20"/>
          <w:color w:val="auto"/>
        </w:rPr>
      </w:pPr>
    </w:p>
    <w:p>
      <w:pPr>
        <w:ind w:left="920" w:right="20" w:hanging="372"/>
        <w:spacing w:after="0" w:line="253" w:lineRule="auto"/>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87"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40" w:hanging="372"/>
        <w:spacing w:after="0" w:line="238" w:lineRule="auto"/>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80" w:hanging="372"/>
        <w:spacing w:after="0" w:line="253" w:lineRule="auto"/>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87" w:lineRule="exact"/>
        <w:rPr>
          <w:sz w:val="20"/>
          <w:szCs w:val="20"/>
          <w:color w:val="auto"/>
        </w:rPr>
      </w:pPr>
    </w:p>
    <w:p>
      <w:pPr>
        <w:ind w:right="400" w:firstLine="438"/>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right="20"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17"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217"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65"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217"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Facilities are classified as Level 3. Our 2019 Notes were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6" w:lineRule="exact"/>
        <w:rPr>
          <w:sz w:val="20"/>
          <w:szCs w:val="20"/>
          <w:color w:val="auto"/>
        </w:rPr>
      </w:pPr>
    </w:p>
    <w:p>
      <w:pPr>
        <w:ind w:right="200" w:firstLine="438"/>
        <w:spacing w:after="0" w:line="335" w:lineRule="auto"/>
        <w:rPr>
          <w:sz w:val="20"/>
          <w:szCs w:val="20"/>
          <w:color w:val="auto"/>
        </w:rPr>
      </w:pPr>
      <w:r>
        <w:rPr>
          <w:rFonts w:ascii="Arial" w:cs="Arial" w:eastAsia="Arial" w:hAnsi="Arial"/>
          <w:sz w:val="12"/>
          <w:szCs w:val="12"/>
          <w:color w:val="auto"/>
        </w:rPr>
        <w:t>In addition to using the above inputs in cash equivalents, investments, our 2019 Notes and our Credit Facilities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1" w:lineRule="exact"/>
        <w:rPr>
          <w:sz w:val="20"/>
          <w:szCs w:val="20"/>
          <w:color w:val="auto"/>
        </w:rPr>
      </w:pPr>
    </w:p>
    <w:p>
      <w:pPr>
        <w:jc w:val="both"/>
        <w:ind w:right="60" w:firstLine="438"/>
        <w:spacing w:after="0" w:line="244"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Facilities and the 2019 Notes. We elected to use the fair value option for the Credit Facilities and the 2019 Notes to align the measurement attributes of both our assets and liabilities while mitigating volatility in earnings from using different measurement attributes.</w:t>
      </w:r>
    </w:p>
    <w:p>
      <w:pPr>
        <w:spacing w:after="0" w:line="2"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Due to that election and in accordance with GAAP, we incurred expenses of $4.9 million relating to debt issuance costs on the BNP Credit Facility and the prepayment of the 2019 Notes for the nine months ended June 30, 2019. During both the three and nine months ended June 30, 2018 we did not incur any expenses relating to amendment costs on the SunTrust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and the 2019 Notes are reported in our Consolidated Statements of Operations. We elected not to apply ASC 825-10 to any other financial assets or liabilities, including the SBA debentures. For the three and nine months ended June 30, 2019, our Credit Facilities and the 2019 Notes had a net change in unrealized depreciation of $0.2 million and $9.9 million, respectively. For the three and nine months ended June 30, 2018, the SunTrust Credit Facility and the 2019 Notes had a net change in unrealized depreciation of $1.6 million and $3.1 million, respectively. As of June 30, 2019, the net unrealized depreciation on our Credit Facilities totaled $11.5 million. As of September 30, 2018, the net unrealized depreciation on the SunTrust Credit Facility and the 2019 Notes totaled $1.6 million. We use a nationally recognized independent valuation service to measure the fair value of our Credit Facilities and the 2019 Notes in a manner consistent with the valuation process that the board of directors uses to value our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20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217"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Facilities and the 2019 Notes during the reporting period, including any reversal of previously recorded unrealized appreciation or depreciation, when gains or losses are realized.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17" w:lineRule="exact"/>
        <w:rPr>
          <w:rFonts w:ascii="Arial" w:cs="Arial" w:eastAsia="Arial" w:hAnsi="Arial"/>
          <w:sz w:val="14"/>
          <w:szCs w:val="14"/>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17" w:lineRule="exact"/>
        <w:rPr>
          <w:sz w:val="20"/>
          <w:szCs w:val="20"/>
          <w:color w:val="auto"/>
        </w:rPr>
      </w:pPr>
    </w:p>
    <w:p>
      <w:pPr>
        <w:jc w:val="both"/>
        <w:ind w:right="2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PIK Interest</w:t>
      </w:r>
    </w:p>
    <w:p>
      <w:pPr>
        <w:spacing w:after="0" w:line="217"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217"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88"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92"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82" w:lineRule="exact"/>
        <w:rPr>
          <w:sz w:val="20"/>
          <w:szCs w:val="20"/>
          <w:color w:val="auto"/>
        </w:rPr>
      </w:pPr>
    </w:p>
    <w:p>
      <w:pPr>
        <w:ind w:right="140" w:firstLine="438"/>
        <w:spacing w:after="0" w:line="335" w:lineRule="auto"/>
        <w:rPr>
          <w:sz w:val="20"/>
          <w:szCs w:val="20"/>
          <w:color w:val="auto"/>
        </w:rPr>
      </w:pPr>
      <w:r>
        <w:rPr>
          <w:rFonts w:ascii="Arial" w:cs="Arial" w:eastAsia="Arial" w:hAnsi="Arial"/>
          <w:sz w:val="12"/>
          <w:szCs w:val="12"/>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nine months ended June 30, 2019 and 2018.</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2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Investment income for the three and nine months ended June 30, 2019 was $28.1 million and $84.2 million, respectively, and was attributable to $16.7 million and $45.6 million from first lien secured debt, $9.2 million and $32.7 million from second lien secured debt and $2.2 million and $5.9 million from subordinated debt, respectively. This compares to investment income for the three and nine months ended June 30, 2018 of $24.8 million and $80.7 million, respectively, and was attributable to $11.4 million and $36.7 million from first lien secured debt, $12.2 million and $36.4 million from second lien secured debt and $1.2 million and $7.6 million from subordinated debt, preferred and common equity. The increase in investment income compared to the same periods in the prior year was primarily due to the growth of our portfolio.</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17" w:lineRule="exact"/>
        <w:rPr>
          <w:sz w:val="20"/>
          <w:szCs w:val="20"/>
          <w:color w:val="auto"/>
        </w:rPr>
      </w:pPr>
    </w:p>
    <w:p>
      <w:pPr>
        <w:ind w:right="20" w:firstLine="438"/>
        <w:spacing w:after="0" w:line="226" w:lineRule="auto"/>
        <w:rPr>
          <w:sz w:val="20"/>
          <w:szCs w:val="20"/>
          <w:color w:val="auto"/>
        </w:rPr>
      </w:pPr>
      <w:r>
        <w:rPr>
          <w:rFonts w:ascii="Arial" w:cs="Arial" w:eastAsia="Arial" w:hAnsi="Arial"/>
          <w:sz w:val="14"/>
          <w:szCs w:val="14"/>
          <w:color w:val="auto"/>
        </w:rPr>
        <w:t>Expenses for the three and nine months ended June 30, 2019 totaled $16.5 million and $49.2 million, respectively. Base management fee for the same periods totaled $4.7 million and $13.6 million, incentive fee totaled $2.5 million and $5.1 million, debt related interest and expenses totaled $7.8 million and $26.0 million (including $2.2 million of make-whole premium on the repayment of the 2019 Notes and $2.7 million in debt issuance costs on the BNP Credit Facility), general and administrative expenses totaled $1.2 million and $3.6 million and provision for taxes totaled $0.3 million and $0.9 million, respectively. This compares to net expenses for the three and nine months ended June 30, 2018, which totaled $13.0 million and $41.3 million, respectively. Base management fee for the same periods totaled $3.8 million and $12.5 million (after a base management fee waiver of $0.9 million), incentive fee totaled $2.5 million and $8.0 million (after an incentive fee waiver of $0.5 million), debt related interest and expenses totaled $5.6 million and $17.4 million and general and administrative expenses totaled $1.1 million and $3.4 million, respectively. The increase in expenses compared to the three-month period ended in the prior year was primarily due to higher leverage costs and provision for taxes. The increase in expenses compared to the nine-month period ended in the prior year was primarily due to higher leverage costs, provision for taxes, and expenses related the make-whole premium on the repayment of the 2019 Notes and the debt issuance costs on the BNP Credit Facility.</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217"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Net investment income totaled $11.6 million and $35.0 million, or $0.17 and $0.51 per share, for the three and nine months ended June 30, 2019, respectively. Net investment income totaled $11.8 million and $39.4 million, or $0.17 and $0.55 per share, for the three and nine months ended June 30, 2018, respectively. The decrease in net investment income compared to the three-month period ended in the prior year was primarily due to higher leverage costs and provision for taxes which were partially offset by higher investment income. The decrease in net investment income compared to the nine-month period ended in the prior year was primarily due to higher leverage costs, provision for taxes, and expenses related the make-whole premium on the repayment of the 2019 Notes and the debt issuance costs on the BNP Credit Facility which were partially offset by higher investment income.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217"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Sales and repayments of investments for the three and nine months ended June 30, 2019 totaled $84.7 million and $325.6 million, respectively, and net realized losses totaled $99.6 million and $90.1 million, respectively, primarily due to Superior Digital Displays, LLC.</w:t>
      </w:r>
    </w:p>
    <w:p>
      <w:pPr>
        <w:spacing w:after="0" w:line="187" w:lineRule="exact"/>
        <w:rPr>
          <w:sz w:val="20"/>
          <w:szCs w:val="20"/>
          <w:color w:val="auto"/>
        </w:rPr>
      </w:pPr>
    </w:p>
    <w:p>
      <w:pPr>
        <w:ind w:right="80" w:firstLine="438"/>
        <w:spacing w:after="0" w:line="290" w:lineRule="auto"/>
        <w:rPr>
          <w:sz w:val="20"/>
          <w:szCs w:val="20"/>
          <w:color w:val="auto"/>
        </w:rPr>
      </w:pPr>
      <w:r>
        <w:rPr>
          <w:rFonts w:ascii="Arial" w:cs="Arial" w:eastAsia="Arial" w:hAnsi="Arial"/>
          <w:sz w:val="13"/>
          <w:szCs w:val="13"/>
          <w:color w:val="auto"/>
        </w:rPr>
        <w:t>Sales and repayments of investments for the three and nine months ended June 30, 2018 totaled $117.7 million and $556.4 million, respectively, and net realized gains totaled $17.4 million and $43.0 million, respectively. The change in realized gains/losses was primarily due to changes in the market conditions of our investments and the values at which they were realized.</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Facilities and the 2019 Notes</w:t>
      </w:r>
    </w:p>
    <w:p>
      <w:pPr>
        <w:spacing w:after="0" w:line="217"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For the three and nine months ended June 30, 2019, we reported net change in unrealized depreciation on investments of $93.4 million and $52.9 million, respectively. For the three and nine months ended June 30, 2018, we reported net change in unrealized depreciation on investments of $13.9 million and $50.2 million, respectively. As of June 30, 2019 and September 30, 2018, our net unrealized depreciation on investments totaled $58.9 million and $111.8 million, respectively. The net change in unrealized appreciation/depreciation on our investments compared to the same periods in the prior year was primarily due to changes in the capital market conditions, the financial performance of certain portfolio companies and the reversal of unrealized appreciation/depreciation on investments that were realized.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right="80" w:firstLine="438"/>
        <w:spacing w:after="0" w:line="255" w:lineRule="auto"/>
        <w:rPr>
          <w:sz w:val="20"/>
          <w:szCs w:val="20"/>
          <w:color w:val="auto"/>
        </w:rPr>
      </w:pPr>
      <w:r>
        <w:rPr>
          <w:rFonts w:ascii="Arial" w:cs="Arial" w:eastAsia="Arial" w:hAnsi="Arial"/>
          <w:sz w:val="13"/>
          <w:szCs w:val="13"/>
          <w:color w:val="auto"/>
        </w:rPr>
        <w:t>For the three and nine months ended June 30, 2019 our Credit Facilities and the 2019 Notes had a net change in unrealized depreciation of $0.2 million and $9.9 million, respectively. For the three and nine months ended June 30, 2018, the SunTrust Credit Facility and the 2019 Notes had a net change in unrealized depreciation of $1.6 million and $3.1 million, respectively. As of June 30, 2019, the net unrealized depreciation on the Credit Facilities totaled $11.5 million. As of September 30, 2018, the net unrealized depreciation on the SunTrust Credit Facility and the 2019 Notes totaled $1.6 million. The net change in net unrealized depreciation compared to the same periods in the prior year was primarily due to changes in the capital markets.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217"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Net change in net assets resulting from operations totaled $5.6 million and $7.7 million, or $0.08 and $0.11 per share, for the three and nine months ended June 30, 2019. Net change in net assets resulting from operations totaled $16.9 million and $35.2 million, or $0.24 and $0.50 per share, for the three and nine months ended June 30, 2018. The decrease in the net change in net assets from operations compared to the same periods in the prior year was primarily due to depreciation of the portfolio.</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21" w:lineRule="exact"/>
        <w:rPr>
          <w:sz w:val="20"/>
          <w:szCs w:val="20"/>
          <w:color w:val="auto"/>
        </w:rPr>
      </w:pPr>
    </w:p>
    <w:p>
      <w:pPr>
        <w:ind w:right="240" w:firstLine="438"/>
        <w:spacing w:after="0" w:line="251"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June 30, 2019,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pacing w:after="0" w:line="190"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June 30, 2019 and September 30, 2018, our asset coverage ratio, as computed in accordance with the 1940 Act, was 204% and 292%, respectively.</w:t>
      </w:r>
    </w:p>
    <w:p>
      <w:pPr>
        <w:spacing w:after="0" w:line="188"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The annualized weighted average cost of debt for the nine months ended June 30, 2019 and 2018, inclusive of the fee on the undrawn commitment under the SunTrust Credit Facility, debt issuance costs on the BNP Credit Facility, prepayment penalties on the 2019 Notes and amortized upfront fees on SBA debentures, was 5.4% and 4.6%, respectively (excluding debt issuance costs and prepayment penalties, amounts were 4.6% and 4.6%, respectively).</w:t>
      </w:r>
    </w:p>
    <w:p>
      <w:pPr>
        <w:spacing w:after="0" w:line="196"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On February 22, 2019, Funding I closed the BNP Credit Facility for up to $250.0 million in borrowings with certain lenders and BNP Paribas, as administrative agent, and The Bank of New York Mellon Trust Company, N.A., as collateral agent. As of June 30, 2019, Funding I had $178.0 million in outstanding borrowings under the BNP Credit Facility. The BNP Credit Facility had a weighted average interest rate of 5.0% as of June 30, 2019. The BNP Credit Facility is a five-year revolving facility with a stated maturity date of February 22, 2024 and pricing set at 260 basis points over LIBOR. As of June 30, 2019, Funding I had $72.0 million of unused borrowing capacity under the BNP Credit Facility, subject to the regulatory restrictions. The BNP Credit Facility is secured by all of our assets held by Funding I. As of June 30, 2019, we were in compliance with the terms of the BNP Credit Facility.</w:t>
      </w:r>
    </w:p>
    <w:p>
      <w:pPr>
        <w:spacing w:after="0" w:line="190"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As of June 30, 2019, we had the multi-currency SunTrust Credit Facility for up to $445.0 million in borrowings with certain lenders and SunTrust Bank, acting as administrative agent, and JPMorgan Chase Bank, N.A., acting as syndication agent for the lenders. As of June 30, 2019 and September 30, 2018, we had $382.6 million (including a $12.0 million temporary draw) and $80.5 million (including a $2.0 million temporary draw), respectively, in outstanding borrowings under the SunTrust Credit Facility. The SunTrust Credit Facility had a weighted average interest rate of 4.7% and 3.8%, respectively, exclusive of the fee on undrawn commitments of 0.4%, as of June 30, 2019 and September 30, 2018. The SunTrust Credit Facility is a five-year revolving facility with a stated maturity date of May 25, 2022, a one-year term-out period following its fourth year and pricing set at 225 basis points over LIBOR. As of June 30, 2019 and September 30, 2018, we had $62.4 million and $364.5 million of unused borrowing capacity under the SunTrust Credit Facility, respectively, subject to the regulatory restrictions. The SunTrust Credit Facility is secured by substantially all of our assets excluding assets held by Funding I and our SBIC Fund. As of June 30, 2019, we were in compliance with the terms of the SunTrust Credit Facility.</w:t>
      </w:r>
    </w:p>
    <w:p>
      <w:pPr>
        <w:spacing w:after="0" w:line="192" w:lineRule="exact"/>
        <w:rPr>
          <w:sz w:val="20"/>
          <w:szCs w:val="20"/>
          <w:color w:val="auto"/>
        </w:rPr>
      </w:pPr>
    </w:p>
    <w:p>
      <w:pPr>
        <w:ind w:right="260" w:firstLine="438"/>
        <w:spacing w:after="0" w:line="251" w:lineRule="auto"/>
        <w:rPr>
          <w:sz w:val="20"/>
          <w:szCs w:val="20"/>
          <w:color w:val="auto"/>
        </w:rPr>
      </w:pPr>
      <w:r>
        <w:rPr>
          <w:rFonts w:ascii="Arial" w:cs="Arial" w:eastAsia="Arial" w:hAnsi="Arial"/>
          <w:sz w:val="13"/>
          <w:szCs w:val="13"/>
          <w:color w:val="auto"/>
        </w:rPr>
        <w:t>In September 2014, we issued $250.0 million in aggregate principal amount of 2019 Notes, for net proceeds of $245.5 million after underwriting discounts and offering costs. Interest on the 2019 Notes was paid semi-annually on April 1 and October 1, at a rate of 4.50% per year. On March 4, 2019 the 2019 Notes were redeemed in full and no amounts were outstanding as of June 30, 2019. The 2019 Notes were redeemed on March 4, 2019 at a redemption price equal to $1,008.65 for each $1,000.00 of principal of notes outstanding, plus accrued and unpaid interest to March 4, 2019, pursuant to the indenture governing the 2019 Notes. Please refer to our indenture agreement filed as Exhibit (d)(8) to our post-effective amendment filed on January 22, 2013 and the supplemental indenture agreement filed as Exhibit (d)(11) to our post-effective amendment filed on September 23, 2014 for more information.</w:t>
      </w:r>
    </w:p>
    <w:p>
      <w:pPr>
        <w:spacing w:after="0" w:line="19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Facilities and SBA debentures. Furthermore, our Credit Facilities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9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On May 9, 2018, we announced a share repurchase program which allowed us to repurchase up to $30 million of our outstanding common stock in the open market at prices below our net asset value as reported in our then most recently published consolidated financial statements. The program expired on May 9, 2019. During the three and nine months ended June 30, 2019, we repurchased zero and 2.0 million shares of common stock, respectively, in open market transactions for an aggregate cost (including transaction costs) of zero and $14.5 million, respectively. From May 9, 2018 through the program’s expiration, we purchased 4.0 million shares of common stock in open market transactions for an aggregate cost (including transaction costs) of $29.5 million.</w:t>
      </w:r>
    </w:p>
    <w:p>
      <w:pPr>
        <w:spacing w:after="0" w:line="197" w:lineRule="exact"/>
        <w:rPr>
          <w:sz w:val="20"/>
          <w:szCs w:val="20"/>
          <w:color w:val="auto"/>
        </w:rPr>
      </w:pPr>
    </w:p>
    <w:p>
      <w:pPr>
        <w:ind w:right="180" w:firstLine="438"/>
        <w:spacing w:after="0" w:line="251" w:lineRule="auto"/>
        <w:rPr>
          <w:sz w:val="20"/>
          <w:szCs w:val="20"/>
          <w:color w:val="auto"/>
        </w:rPr>
      </w:pPr>
      <w:r>
        <w:rPr>
          <w:rFonts w:ascii="Arial" w:cs="Arial" w:eastAsia="Arial" w:hAnsi="Arial"/>
          <w:sz w:val="13"/>
          <w:szCs w:val="13"/>
          <w:color w:val="auto"/>
        </w:rPr>
        <w:t>Our SBIC Fund is able to borrow funds from the SBA against regulatory capital (which approximates equity capital) that is paid-in and is subject to customary regulatory requirements including an examination by the SBA. During the quarter ended June 30, 2019 we liquidated SBIC I. We have funded SBIC II with $75.0 million of equity capital and it had SBA debentures outstanding of $150.0 million as of June 30, 2019.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19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As of June 30, 2019 and September 30, 2018, our SBIC Fund had $150.0 million and $300.0 million in debt commitments, respectively, of which $150.0 million and $180.0 million was drawn, respectively. As of June 30, 2019 and September 30, 2018, the unamortized fees on the SBA debentures were $4.0 million and $4.6 million, respectively. The SBA debentures’ upfront fees of 3.4% consist of a commitment fee of 1.0% and an issuance discount of 2.4%, which are being amortized.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left="440"/>
        <w:spacing w:after="0"/>
        <w:rPr>
          <w:sz w:val="20"/>
          <w:szCs w:val="20"/>
          <w:color w:val="auto"/>
        </w:rPr>
      </w:pPr>
      <w:r>
        <w:rPr>
          <w:rFonts w:ascii="Arial" w:cs="Arial" w:eastAsia="Arial" w:hAnsi="Arial"/>
          <w:sz w:val="14"/>
          <w:szCs w:val="14"/>
          <w:color w:val="auto"/>
        </w:rPr>
        <w:t>Our fixed-rate SBA debentures as of June 30, 2019 and September 30, 2018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14"/>
                <w:szCs w:val="14"/>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4"/>
                <w:szCs w:val="14"/>
                <w:color w:val="auto"/>
              </w:rPr>
            </w:pPr>
          </w:p>
        </w:tc>
        <w:tc>
          <w:tcPr>
            <w:tcW w:w="2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As of June 30, 2019</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CFF"/>
            </w:tcBorders>
            <w:vMerge w:val="continue"/>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4"/>
              </w:rPr>
              <w:t>Principal 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920"/>
              <w:spacing w:after="0" w:line="155" w:lineRule="exact"/>
              <w:rPr>
                <w:sz w:val="20"/>
                <w:szCs w:val="20"/>
                <w:color w:val="auto"/>
              </w:rPr>
            </w:pPr>
            <w:r>
              <w:rPr>
                <w:rFonts w:ascii="Arial" w:cs="Arial" w:eastAsia="Arial" w:hAnsi="Arial"/>
                <w:sz w:val="14"/>
                <w:szCs w:val="14"/>
                <w:color w:val="auto"/>
              </w:rPr>
              <w:t>2.9%</w:t>
            </w:r>
          </w:p>
        </w:tc>
        <w:tc>
          <w:tcPr>
            <w:tcW w:w="20" w:type="dxa"/>
            <w:vAlign w:val="bottom"/>
            <w:shd w:val="clear" w:color="auto" w:fill="CCECFF"/>
          </w:tcPr>
          <w:p>
            <w:pPr>
              <w:spacing w:after="0"/>
              <w:rPr>
                <w:sz w:val="13"/>
                <w:szCs w:val="13"/>
                <w:color w:val="auto"/>
              </w:rPr>
            </w:pPr>
          </w:p>
        </w:tc>
        <w:tc>
          <w:tcPr>
            <w:tcW w:w="180" w:type="dxa"/>
            <w:vAlign w:val="bottom"/>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2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46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100" w:type="dxa"/>
            <w:vAlign w:val="bottom"/>
          </w:tcPr>
          <w:p>
            <w:pPr>
              <w:ind w:left="1920"/>
              <w:spacing w:after="0"/>
              <w:rPr>
                <w:sz w:val="20"/>
                <w:szCs w:val="20"/>
                <w:color w:val="auto"/>
              </w:rPr>
            </w:pPr>
            <w:r>
              <w:rPr>
                <w:rFonts w:ascii="Arial" w:cs="Arial" w:eastAsia="Arial" w:hAnsi="Arial"/>
                <w:sz w:val="14"/>
                <w:szCs w:val="14"/>
                <w:color w:val="auto"/>
                <w:w w:val="81"/>
              </w:rPr>
              <w:t>2.4</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100" w:type="dxa"/>
            <w:vAlign w:val="bottom"/>
            <w:shd w:val="clear" w:color="auto" w:fill="CCECFF"/>
          </w:tcPr>
          <w:p>
            <w:pPr>
              <w:ind w:left="1920"/>
              <w:spacing w:after="0"/>
              <w:rPr>
                <w:sz w:val="20"/>
                <w:szCs w:val="20"/>
                <w:color w:val="auto"/>
              </w:rPr>
            </w:pPr>
            <w:r>
              <w:rPr>
                <w:rFonts w:ascii="Arial" w:cs="Arial" w:eastAsia="Arial" w:hAnsi="Arial"/>
                <w:sz w:val="14"/>
                <w:szCs w:val="14"/>
                <w:color w:val="auto"/>
                <w:w w:val="81"/>
              </w:rPr>
              <w:t>2.9</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4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10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w w:val="81"/>
              </w:rPr>
              <w:t>3.5</w:t>
            </w:r>
          </w:p>
        </w:tc>
        <w:tc>
          <w:tcPr>
            <w:tcW w:w="4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71,000,000</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920"/>
              <w:spacing w:after="0" w:line="155" w:lineRule="exact"/>
              <w:rPr>
                <w:sz w:val="20"/>
                <w:szCs w:val="20"/>
                <w:color w:val="auto"/>
              </w:rPr>
            </w:pPr>
            <w:r>
              <w:rPr>
                <w:rFonts w:ascii="Arial" w:cs="Arial" w:eastAsia="Arial" w:hAnsi="Arial"/>
                <w:sz w:val="14"/>
                <w:szCs w:val="14"/>
                <w:color w:val="auto"/>
              </w:rPr>
              <w:t>3.1%</w:t>
            </w:r>
          </w:p>
        </w:tc>
        <w:tc>
          <w:tcPr>
            <w:tcW w:w="20" w:type="dxa"/>
            <w:vAlign w:val="bottom"/>
            <w:shd w:val="clear" w:color="auto" w:fill="CCECFF"/>
          </w:tcPr>
          <w:p>
            <w:pPr>
              <w:spacing w:after="0"/>
              <w:rPr>
                <w:sz w:val="13"/>
                <w:szCs w:val="13"/>
                <w:color w:val="auto"/>
              </w:rPr>
            </w:pPr>
          </w:p>
        </w:tc>
        <w:tc>
          <w:tcPr>
            <w:tcW w:w="180" w:type="dxa"/>
            <w:vAlign w:val="bottom"/>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2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2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CFF"/>
            </w:tcBorders>
          </w:tcPr>
          <w:p>
            <w:pPr>
              <w:spacing w:after="0" w:line="20" w:lineRule="exact"/>
              <w:rPr>
                <w:sz w:val="1"/>
                <w:szCs w:val="1"/>
                <w:color w:val="auto"/>
              </w:rPr>
            </w:pPr>
          </w:p>
        </w:tc>
        <w:tc>
          <w:tcPr>
            <w:tcW w:w="2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 September 30, 2018</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CFF"/>
            </w:tcBorders>
            <w:vMerge w:val="continue"/>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4"/>
              </w:rPr>
              <w:t>Principal 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21, 2011</w:t>
            </w:r>
          </w:p>
        </w:tc>
        <w:tc>
          <w:tcPr>
            <w:tcW w:w="24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2021</w:t>
            </w: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920"/>
              <w:spacing w:after="0" w:line="155" w:lineRule="exact"/>
              <w:rPr>
                <w:sz w:val="20"/>
                <w:szCs w:val="20"/>
                <w:color w:val="auto"/>
              </w:rPr>
            </w:pPr>
            <w:r>
              <w:rPr>
                <w:rFonts w:ascii="Arial" w:cs="Arial" w:eastAsia="Arial" w:hAnsi="Arial"/>
                <w:sz w:val="14"/>
                <w:szCs w:val="14"/>
                <w:color w:val="auto"/>
              </w:rPr>
              <w:t>3.4%</w:t>
            </w:r>
          </w:p>
        </w:tc>
        <w:tc>
          <w:tcPr>
            <w:tcW w:w="20" w:type="dxa"/>
            <w:vAlign w:val="bottom"/>
            <w:shd w:val="clear" w:color="auto" w:fill="CCECFF"/>
          </w:tcPr>
          <w:p>
            <w:pPr>
              <w:spacing w:after="0"/>
              <w:rPr>
                <w:sz w:val="13"/>
                <w:szCs w:val="13"/>
                <w:color w:val="auto"/>
              </w:rPr>
            </w:pPr>
          </w:p>
        </w:tc>
        <w:tc>
          <w:tcPr>
            <w:tcW w:w="180" w:type="dxa"/>
            <w:vAlign w:val="bottom"/>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2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March 23, 2016</w:t>
            </w:r>
          </w:p>
        </w:tc>
        <w:tc>
          <w:tcPr>
            <w:tcW w:w="2460" w:type="dxa"/>
            <w:vAlign w:val="bottom"/>
            <w:gridSpan w:val="2"/>
          </w:tcPr>
          <w:p>
            <w:pPr>
              <w:spacing w:after="0"/>
              <w:rPr>
                <w:sz w:val="20"/>
                <w:szCs w:val="20"/>
                <w:color w:val="auto"/>
              </w:rPr>
            </w:pPr>
            <w:r>
              <w:rPr>
                <w:rFonts w:ascii="Arial" w:cs="Arial" w:eastAsia="Arial" w:hAnsi="Arial"/>
                <w:sz w:val="14"/>
                <w:szCs w:val="14"/>
                <w:color w:val="auto"/>
              </w:rPr>
              <w:t>March 1, 2026</w:t>
            </w:r>
          </w:p>
        </w:tc>
        <w:tc>
          <w:tcPr>
            <w:tcW w:w="2100" w:type="dxa"/>
            <w:vAlign w:val="bottom"/>
          </w:tcPr>
          <w:p>
            <w:pPr>
              <w:ind w:left="1920"/>
              <w:spacing w:after="0"/>
              <w:rPr>
                <w:sz w:val="20"/>
                <w:szCs w:val="20"/>
                <w:color w:val="auto"/>
              </w:rPr>
            </w:pPr>
            <w:r>
              <w:rPr>
                <w:rFonts w:ascii="Arial" w:cs="Arial" w:eastAsia="Arial" w:hAnsi="Arial"/>
                <w:sz w:val="14"/>
                <w:szCs w:val="14"/>
                <w:color w:val="auto"/>
                <w:w w:val="81"/>
              </w:rPr>
              <w:t>2.9</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2026</w:t>
            </w:r>
          </w:p>
        </w:tc>
        <w:tc>
          <w:tcPr>
            <w:tcW w:w="2100" w:type="dxa"/>
            <w:vAlign w:val="bottom"/>
            <w:shd w:val="clear" w:color="auto" w:fill="CCECFF"/>
          </w:tcPr>
          <w:p>
            <w:pPr>
              <w:ind w:left="1920"/>
              <w:spacing w:after="0"/>
              <w:rPr>
                <w:sz w:val="20"/>
                <w:szCs w:val="20"/>
                <w:color w:val="auto"/>
              </w:rPr>
            </w:pPr>
            <w:r>
              <w:rPr>
                <w:rFonts w:ascii="Arial" w:cs="Arial" w:eastAsia="Arial" w:hAnsi="Arial"/>
                <w:sz w:val="14"/>
                <w:szCs w:val="14"/>
                <w:color w:val="auto"/>
                <w:w w:val="81"/>
              </w:rPr>
              <w:t>2.4</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September 20, 2017</w:t>
            </w:r>
          </w:p>
        </w:tc>
        <w:tc>
          <w:tcPr>
            <w:tcW w:w="2460" w:type="dxa"/>
            <w:vAlign w:val="bottom"/>
            <w:gridSpan w:val="2"/>
          </w:tcPr>
          <w:p>
            <w:pPr>
              <w:spacing w:after="0"/>
              <w:rPr>
                <w:sz w:val="20"/>
                <w:szCs w:val="20"/>
                <w:color w:val="auto"/>
              </w:rPr>
            </w:pPr>
            <w:r>
              <w:rPr>
                <w:rFonts w:ascii="Arial" w:cs="Arial" w:eastAsia="Arial" w:hAnsi="Arial"/>
                <w:sz w:val="14"/>
                <w:szCs w:val="14"/>
                <w:color w:val="auto"/>
              </w:rPr>
              <w:t>September 1, 2027</w:t>
            </w:r>
          </w:p>
        </w:tc>
        <w:tc>
          <w:tcPr>
            <w:tcW w:w="2100" w:type="dxa"/>
            <w:vAlign w:val="bottom"/>
          </w:tcPr>
          <w:p>
            <w:pPr>
              <w:ind w:left="1920"/>
              <w:spacing w:after="0"/>
              <w:rPr>
                <w:sz w:val="20"/>
                <w:szCs w:val="20"/>
                <w:color w:val="auto"/>
              </w:rPr>
            </w:pPr>
            <w:r>
              <w:rPr>
                <w:rFonts w:ascii="Arial" w:cs="Arial" w:eastAsia="Arial" w:hAnsi="Arial"/>
                <w:sz w:val="14"/>
                <w:szCs w:val="14"/>
                <w:color w:val="auto"/>
                <w:w w:val="81"/>
              </w:rPr>
              <w:t>2.9</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2028</w:t>
            </w:r>
          </w:p>
        </w:tc>
        <w:tc>
          <w:tcPr>
            <w:tcW w:w="2100" w:type="dxa"/>
            <w:vAlign w:val="bottom"/>
            <w:tcBorders>
              <w:bottom w:val="single" w:sz="8" w:color="auto"/>
            </w:tcBorders>
            <w:shd w:val="clear" w:color="auto" w:fill="CCECFF"/>
          </w:tcPr>
          <w:p>
            <w:pPr>
              <w:ind w:left="1920"/>
              <w:spacing w:after="0"/>
              <w:rPr>
                <w:sz w:val="20"/>
                <w:szCs w:val="20"/>
                <w:color w:val="auto"/>
              </w:rPr>
            </w:pPr>
            <w:r>
              <w:rPr>
                <w:rFonts w:ascii="Arial" w:cs="Arial" w:eastAsia="Arial" w:hAnsi="Arial"/>
                <w:sz w:val="14"/>
                <w:szCs w:val="14"/>
                <w:color w:val="auto"/>
                <w:w w:val="81"/>
              </w:rPr>
              <w:t>3.5</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2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2"/>
          </w:tcPr>
          <w:p>
            <w:pPr>
              <w:ind w:left="1920"/>
              <w:spacing w:after="0" w:line="155"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2020" w:type="dxa"/>
            <w:vAlign w:val="bottom"/>
          </w:tcPr>
          <w:p>
            <w:pPr>
              <w:jc w:val="right"/>
              <w:spacing w:after="0" w:line="155" w:lineRule="exact"/>
              <w:rPr>
                <w:sz w:val="20"/>
                <w:szCs w:val="20"/>
                <w:color w:val="auto"/>
              </w:rPr>
            </w:pPr>
            <w:r>
              <w:rPr>
                <w:rFonts w:ascii="Arial" w:cs="Arial" w:eastAsia="Arial" w:hAnsi="Arial"/>
                <w:sz w:val="14"/>
                <w:szCs w:val="14"/>
                <w:color w:val="auto"/>
              </w:rPr>
              <w:t>180,000,000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03" w:lineRule="exact"/>
        <w:rPr>
          <w:sz w:val="20"/>
          <w:szCs w:val="20"/>
          <w:color w:val="auto"/>
        </w:rPr>
      </w:pPr>
    </w:p>
    <w:p>
      <w:pPr>
        <w:ind w:right="220"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2019, our SBIC Funds were in compliance with their regulatory requirements.</w:t>
      </w:r>
    </w:p>
    <w:p>
      <w:pPr>
        <w:spacing w:after="0" w:line="197" w:lineRule="exact"/>
        <w:rPr>
          <w:sz w:val="20"/>
          <w:szCs w:val="20"/>
          <w:color w:val="auto"/>
        </w:rPr>
      </w:pPr>
    </w:p>
    <w:p>
      <w:pPr>
        <w:ind w:right="80" w:firstLine="438"/>
        <w:spacing w:after="0" w:line="283" w:lineRule="auto"/>
        <w:rPr>
          <w:sz w:val="20"/>
          <w:szCs w:val="20"/>
          <w:color w:val="auto"/>
        </w:rPr>
      </w:pPr>
      <w:r>
        <w:rPr>
          <w:rFonts w:ascii="Arial" w:cs="Arial" w:eastAsia="Arial" w:hAnsi="Arial"/>
          <w:sz w:val="12"/>
          <w:szCs w:val="12"/>
          <w:color w:val="auto"/>
        </w:rPr>
        <w:t>In accordance with the 1940 Act, with certain limited exceptions, PennantPark Investment is only allowed to borrow amounts such that our required 150% asset coverage ratio is met after such borrowing. As of June 30, 2019 and September 30, 2018,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73"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As of June 30, 2019 and September 30, 2018, we had cash and cash equivalents of $21.7 million and $19.5 million, respectively, available for investing and general corporate purposes. We believe our liquidity and capital resources are sufficient to take advantage of market opportunities.</w:t>
      </w:r>
    </w:p>
    <w:p>
      <w:pPr>
        <w:spacing w:after="0" w:line="187" w:lineRule="exact"/>
        <w:rPr>
          <w:sz w:val="20"/>
          <w:szCs w:val="20"/>
          <w:color w:val="auto"/>
        </w:rPr>
      </w:pPr>
    </w:p>
    <w:p>
      <w:pPr>
        <w:jc w:val="both"/>
        <w:ind w:right="220" w:firstLine="438"/>
        <w:spacing w:after="0" w:line="253" w:lineRule="auto"/>
        <w:rPr>
          <w:sz w:val="20"/>
          <w:szCs w:val="20"/>
          <w:color w:val="auto"/>
        </w:rPr>
      </w:pPr>
      <w:r>
        <w:rPr>
          <w:rFonts w:ascii="Arial" w:cs="Arial" w:eastAsia="Arial" w:hAnsi="Arial"/>
          <w:sz w:val="14"/>
          <w:szCs w:val="14"/>
          <w:color w:val="auto"/>
        </w:rPr>
        <w:t>Our operating activities used cash of $146.7 million for the nine months ended June 30, 2019, and our financing activities provided cash of $148.9 million for the same period. Our operating activities used cash primarily for our investment activities and our financing activities provided cash primarily from net borrowings under the Credit Facilities.</w:t>
      </w:r>
    </w:p>
    <w:p>
      <w:pPr>
        <w:spacing w:after="0" w:line="187" w:lineRule="exact"/>
        <w:rPr>
          <w:sz w:val="20"/>
          <w:szCs w:val="20"/>
          <w:color w:val="auto"/>
        </w:rPr>
      </w:pPr>
    </w:p>
    <w:p>
      <w:pPr>
        <w:jc w:val="both"/>
        <w:ind w:right="200" w:firstLine="438"/>
        <w:spacing w:after="0" w:line="238" w:lineRule="auto"/>
        <w:rPr>
          <w:sz w:val="20"/>
          <w:szCs w:val="20"/>
          <w:color w:val="auto"/>
        </w:rPr>
      </w:pPr>
      <w:r>
        <w:rPr>
          <w:rFonts w:ascii="Arial" w:cs="Arial" w:eastAsia="Arial" w:hAnsi="Arial"/>
          <w:sz w:val="14"/>
          <w:szCs w:val="14"/>
          <w:color w:val="auto"/>
        </w:rPr>
        <w:t>Our operating activities provided cash of $173.7 million for the nine months ended June 30, 2018 and our financing activities used cash of $104.7 million for the same period. Our operating activities provided cash from sales and repayments on our investments and our financing activities used cash primarily to pay distributions to stockholders and for net repayments under the SunTrust Credit Facility.</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 summary of our significant contractual payment obligations at cost as of June 30, 2019, including borrowings under our various debt facilities and other contractual obligations, is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jc w:val="right"/>
              <w:spacing w:after="0"/>
              <w:rPr>
                <w:sz w:val="20"/>
                <w:szCs w:val="20"/>
                <w:color w:val="auto"/>
              </w:rPr>
            </w:pPr>
            <w:r>
              <w:rPr>
                <w:rFonts w:ascii="Arial" w:cs="Arial" w:eastAsia="Arial" w:hAnsi="Arial"/>
                <w:sz w:val="14"/>
                <w:szCs w:val="14"/>
                <w:b w:val="1"/>
                <w:bCs w:val="1"/>
                <w:color w:val="auto"/>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Less than 1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155"/>
        </w:trPr>
        <w:tc>
          <w:tcPr>
            <w:tcW w:w="3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BNP 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178.0</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178.0</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SunTrust Credit Facility</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382.6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382.6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SBA debentures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CFF"/>
          </w:tcPr>
          <w:p>
            <w:pPr>
              <w:spacing w:after="0"/>
              <w:rPr>
                <w:sz w:val="14"/>
                <w:szCs w:val="14"/>
                <w:color w:val="auto"/>
              </w:rPr>
            </w:pPr>
          </w:p>
        </w:tc>
      </w:tr>
      <w:tr>
        <w:trPr>
          <w:trHeight w:val="155"/>
        </w:trPr>
        <w:tc>
          <w:tcPr>
            <w:tcW w:w="3680" w:type="dxa"/>
            <w:vAlign w:val="bottom"/>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710.6</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560.6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150.0</w:t>
            </w:r>
          </w:p>
        </w:tc>
        <w:tc>
          <w:tcPr>
            <w:tcW w:w="120" w:type="dxa"/>
            <w:vAlign w:val="bottom"/>
          </w:tcPr>
          <w:p>
            <w:pPr>
              <w:spacing w:after="0"/>
              <w:rPr>
                <w:sz w:val="13"/>
                <w:szCs w:val="13"/>
                <w:color w:val="auto"/>
              </w:rPr>
            </w:pP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49.0</w:t>
            </w:r>
          </w:p>
        </w:tc>
        <w:tc>
          <w:tcPr>
            <w:tcW w:w="2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7.3</w:t>
            </w:r>
          </w:p>
        </w:tc>
        <w:tc>
          <w:tcPr>
            <w:tcW w:w="2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CFF"/>
          </w:tcPr>
          <w:p>
            <w:pPr>
              <w:spacing w:after="0"/>
              <w:rPr>
                <w:sz w:val="14"/>
                <w:szCs w:val="14"/>
                <w:color w:val="auto"/>
              </w:rPr>
            </w:pPr>
          </w:p>
        </w:tc>
      </w:tr>
      <w:tr>
        <w:trPr>
          <w:trHeight w:val="155"/>
        </w:trPr>
        <w:tc>
          <w:tcPr>
            <w:tcW w:w="368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759.6</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584.6</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165.7</w:t>
            </w:r>
          </w:p>
        </w:tc>
        <w:tc>
          <w:tcPr>
            <w:tcW w:w="120" w:type="dxa"/>
            <w:vAlign w:val="bottom"/>
          </w:tcPr>
          <w:p>
            <w:pPr>
              <w:spacing w:after="0"/>
              <w:rPr>
                <w:sz w:val="13"/>
                <w:szCs w:val="13"/>
                <w:color w:val="auto"/>
              </w:rPr>
            </w:pPr>
          </w:p>
        </w:tc>
      </w:tr>
      <w:tr>
        <w:trPr>
          <w:trHeight w:val="20"/>
        </w:trPr>
        <w:tc>
          <w:tcPr>
            <w:tcW w:w="3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right="200" w:hanging="372"/>
        <w:spacing w:after="0" w:line="230" w:lineRule="auto"/>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June 30, 2019, was 4.4%, exclusive of the fee on the undrawn commitment on the SunTrust Credit Facility, debt issuance costs on the BNP Credit Facility and 3.4% of upfront fees on SBA debentures.</w:t>
      </w:r>
    </w:p>
    <w:p>
      <w:pPr>
        <w:ind w:left="380" w:hanging="3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-294640</wp:posOffset>
            </wp:positionV>
            <wp:extent cx="1499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85" w:lineRule="exact"/>
        <w:rPr>
          <w:sz w:val="20"/>
          <w:szCs w:val="20"/>
          <w:color w:val="auto"/>
        </w:rPr>
      </w:pPr>
    </w:p>
    <w:p>
      <w:pPr>
        <w:jc w:val="both"/>
        <w:ind w:right="320" w:firstLine="438"/>
        <w:spacing w:after="0" w:line="265"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2019, and subsequently amended and restated in April 2019, as approved by our Board of Directors (including a majority of our directors who are not interested persons of us or our Investment Adviser), PennantPark Investment Advisers serves as our investment adviser.</w:t>
      </w:r>
    </w:p>
    <w:p>
      <w:pPr>
        <w:ind w:right="20"/>
        <w:spacing w:after="0" w:line="255" w:lineRule="auto"/>
        <w:rPr>
          <w:sz w:val="20"/>
          <w:szCs w:val="20"/>
          <w:color w:val="auto"/>
        </w:rPr>
      </w:pPr>
      <w:r>
        <w:rPr>
          <w:rFonts w:ascii="Arial" w:cs="Arial" w:eastAsia="Arial" w:hAnsi="Arial"/>
          <w:sz w:val="13"/>
          <w:szCs w:val="13"/>
          <w:color w:val="auto"/>
        </w:rPr>
        <w:t>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86" w:lineRule="exact"/>
        <w:rPr>
          <w:sz w:val="20"/>
          <w:szCs w:val="20"/>
          <w:color w:val="auto"/>
        </w:rPr>
      </w:pPr>
    </w:p>
    <w:p>
      <w:pPr>
        <w:ind w:right="260" w:firstLine="438"/>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2019, the Administrator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right="6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217"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9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97"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During the three and nine months ended June 30, 2019, we declared distributions of $0.18 and $0.54 per share, for total distributions of $12.1 million and $36.4 million, respectively. For the same periods in the prior year, we declared distributions of $0.18 and $0.54 per share, respectively, for total distributions of $12.6 million and $38.2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217" w:lineRule="exact"/>
        <w:rPr>
          <w:sz w:val="20"/>
          <w:szCs w:val="20"/>
          <w:color w:val="auto"/>
        </w:rPr>
      </w:pPr>
    </w:p>
    <w:p>
      <w:pPr>
        <w:ind w:right="620" w:firstLine="438"/>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stockholders specifically “opt out” of the dividend reinvestment plan so as to receive cash distributions.</w:t>
      </w:r>
    </w:p>
    <w:p>
      <w:pPr>
        <w:spacing w:after="0" w:line="165"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217" w:lineRule="exact"/>
        <w:rPr>
          <w:sz w:val="20"/>
          <w:szCs w:val="20"/>
          <w:color w:val="auto"/>
        </w:rPr>
      </w:pPr>
    </w:p>
    <w:p>
      <w:pPr>
        <w:ind w:right="220" w:firstLine="438"/>
        <w:spacing w:after="0" w:line="233" w:lineRule="auto"/>
        <w:rPr>
          <w:sz w:val="20"/>
          <w:szCs w:val="20"/>
          <w:color w:val="auto"/>
        </w:rPr>
      </w:pPr>
      <w:r>
        <w:rPr>
          <w:rFonts w:ascii="Arial" w:cs="Arial" w:eastAsia="Arial" w:hAnsi="Arial"/>
          <w:sz w:val="14"/>
          <w:szCs w:val="14"/>
          <w:color w:val="auto"/>
        </w:rPr>
        <w:t>In August 2018, the FASB issued ASU 2018-13, which changed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98" w:lineRule="exact"/>
        <w:rPr>
          <w:sz w:val="20"/>
          <w:szCs w:val="20"/>
          <w:color w:val="auto"/>
        </w:rPr>
      </w:pPr>
    </w:p>
    <w:p>
      <w:pPr>
        <w:ind w:right="200" w:firstLine="438"/>
        <w:spacing w:after="0" w:line="233" w:lineRule="auto"/>
        <w:rPr>
          <w:sz w:val="20"/>
          <w:szCs w:val="20"/>
          <w:color w:val="auto"/>
        </w:rPr>
      </w:pPr>
      <w:r>
        <w:rPr>
          <w:rFonts w:ascii="Arial" w:cs="Arial" w:eastAsia="Arial" w:hAnsi="Arial"/>
          <w:sz w:val="14"/>
          <w:szCs w:val="14"/>
          <w:color w:val="auto"/>
        </w:rPr>
        <w:t xml:space="preserve">In August 2018, the SEC issued Securities Act Release No. 33-10532, </w:t>
      </w:r>
      <w:r>
        <w:rPr>
          <w:rFonts w:ascii="Arial" w:cs="Arial" w:eastAsia="Arial" w:hAnsi="Arial"/>
          <w:sz w:val="14"/>
          <w:szCs w:val="14"/>
          <w:i w:val="1"/>
          <w:iCs w:val="1"/>
          <w:color w:val="auto"/>
        </w:rPr>
        <w:t>Disclosure Update and Simplification</w:t>
      </w:r>
      <w:r>
        <w:rPr>
          <w:rFonts w:ascii="Arial" w:cs="Arial" w:eastAsia="Arial" w:hAnsi="Arial"/>
          <w:sz w:val="14"/>
          <w:szCs w:val="14"/>
          <w:color w:val="auto"/>
        </w:rPr>
        <w:t>, or the Final Rule Release, amending certain disclosure requirements that were redundant, duplicative, overlapping, outdated or superseded. The amendments are intended to facilitate the disclosure of information to investors and simplify compliance. The Final Rule Release became effective for all filings on or after November 5, 2018. We adopted these amendments as currently required and they are reflected in the Company’s consolidated financial statements and related disclosures. Certain prior year information has been adjusted to conform to these amendments.</w:t>
      </w:r>
    </w:p>
    <w:p>
      <w:pPr>
        <w:spacing w:after="0" w:line="198"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 xml:space="preserve">In March 2019, the SEC issued the Final Rule Release No. 33-10618, </w:t>
      </w:r>
      <w:r>
        <w:rPr>
          <w:rFonts w:ascii="Arial" w:cs="Arial" w:eastAsia="Arial" w:hAnsi="Arial"/>
          <w:sz w:val="13"/>
          <w:szCs w:val="13"/>
          <w:i w:val="1"/>
          <w:iCs w:val="1"/>
          <w:color w:val="auto"/>
        </w:rPr>
        <w:t>FAST Act Modernization and Simplification of Regulation S-K</w:t>
      </w:r>
      <w:r>
        <w:rPr>
          <w:rFonts w:ascii="Arial" w:cs="Arial" w:eastAsia="Arial" w:hAnsi="Arial"/>
          <w:sz w:val="13"/>
          <w:szCs w:val="13"/>
          <w:color w:val="auto"/>
        </w:rPr>
        <w:t>, which amends certain SEC disclosure requirements. The amendments are intended to simplify certain disclosure requirements and to provide for a consistent set of rules to govern incorporating information by reference and hyperlinking, improve readability and navigability of disclosure documents, and discourage repetition and disclosure of immaterial information. The amendments are effective for all filings submitted on or after May 2, 2019. The Company adopted the requisite amendments effective May 2, 2019. As it pertains to the Company for this Form 10-Q, there were no significant changes to the Company’s consolidated financial position or disclosures. The Company is still evaluating the impact these amendments will have on its other future periodic filings and registration statements.</w:t>
      </w:r>
    </w:p>
    <w:p>
      <w:pPr>
        <w:spacing w:after="0" w:line="186"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21"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June 30, 2019, our debt portfolio consisted of 88% variable-rate investments and 12%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97"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(3,885)</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(0.06)</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3,885</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8,770</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0.12</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11,655</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15,656</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0.23</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8"/>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0" w:type="dxa"/>
            <w:vAlign w:val="bottom"/>
          </w:tcPr>
          <w:p>
            <w:pPr>
              <w:jc w:val="right"/>
              <w:ind w:right="1528"/>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66" w:right="319" w:bottom="1440" w:gutter="0" w:footer="0" w:header="0"/>
        </w:sectPr>
      </w:pPr>
    </w:p>
    <w:bookmarkStart w:id="33" w:name="page34"/>
    <w:bookmarkEnd w:id="33"/>
    <w:p>
      <w:pPr>
        <w:ind w:right="3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96"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9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Facilities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221"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92" w:lineRule="exact"/>
        <w:rPr>
          <w:sz w:val="20"/>
          <w:szCs w:val="20"/>
          <w:color w:val="auto"/>
        </w:rPr>
      </w:pPr>
    </w:p>
    <w:p>
      <w:pPr>
        <w:ind w:right="44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PART II – OTHER INFORMATION</w:t>
      </w:r>
    </w:p>
    <w:p>
      <w:pPr>
        <w:spacing w:after="0" w:line="217"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221"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9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21"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2018,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217"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the Company was permitted to borrow up to one dollar for investment purposes for every one dollar of investor equity and, under the 150% minimum asset coverage ratio, the Company is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the Company’s total net assets as of the immediately preceding quarter-end.</w:t>
      </w:r>
    </w:p>
    <w:p>
      <w:pPr>
        <w:spacing w:after="0" w:line="198" w:lineRule="exact"/>
        <w:rPr>
          <w:sz w:val="20"/>
          <w:szCs w:val="20"/>
          <w:color w:val="auto"/>
        </w:rPr>
      </w:pPr>
    </w:p>
    <w:p>
      <w:pPr>
        <w:ind w:right="300" w:firstLine="483"/>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87"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96" w:lineRule="exact"/>
        <w:rPr>
          <w:sz w:val="20"/>
          <w:szCs w:val="20"/>
          <w:color w:val="auto"/>
        </w:rPr>
      </w:pPr>
    </w:p>
    <w:p>
      <w:pPr>
        <w:ind w:right="140" w:firstLine="438"/>
        <w:spacing w:after="0" w:line="248" w:lineRule="auto"/>
        <w:rPr>
          <w:sz w:val="20"/>
          <w:szCs w:val="20"/>
          <w:color w:val="auto"/>
        </w:rPr>
      </w:pPr>
      <w:r>
        <w:rPr>
          <w:rFonts w:ascii="Arial" w:cs="Arial" w:eastAsia="Arial" w:hAnsi="Arial"/>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94"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We are partially dependent on our SBIC Funds for cash distributions to enable us to meet the distribution requirements to be subject to tax as a RIC. In this regard, our SBIC Funds are limited by the SBA regulations governing SBICs from making certain distributions to us that may be necessary to satisfy the requirements to be subject to tax as a RIC. In such a case, we would need to request a waiver of the SBA’s restrictions for our SBIC Funds to make certain distributions to enable us to be subject to tax as a RIC. We cannot assure you that the SBA will grant such waiver, and if our SBIC Funds are unable to obtain a waiver, compliance with the SBA regulations may cause us to incur a corporate-level income tax.</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217"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We have indebtedness outstanding pursuant to our Credit Facilities and SBA debentures and expect in the future to borrow additional amounts under our Credit Facilities or other debt securities, subject to market availability, and, may increase the size of our Credit Facilities.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Facilities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Facilities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98" w:lineRule="exact"/>
        <w:rPr>
          <w:sz w:val="20"/>
          <w:szCs w:val="20"/>
          <w:color w:val="auto"/>
        </w:rPr>
      </w:pPr>
    </w:p>
    <w:p>
      <w:pPr>
        <w:jc w:val="both"/>
        <w:ind w:right="140" w:firstLine="438"/>
        <w:spacing w:after="0" w:line="233" w:lineRule="auto"/>
        <w:rPr>
          <w:sz w:val="20"/>
          <w:szCs w:val="20"/>
          <w:color w:val="auto"/>
        </w:rPr>
      </w:pPr>
      <w:r>
        <w:rPr>
          <w:rFonts w:ascii="Arial" w:cs="Arial" w:eastAsia="Arial" w:hAnsi="Arial"/>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98"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As of June 30, 2019 and September 30, 2018, our asset coverage ratio, as computed in accordance with the 1940 Act, was 204% and 292%, respectively. Since our leverage, including SBA debentures outstanding, was 123% and 81% of our net assets as of June 30, 2019 and September 30, 2018, respectively, we would have to receive an annual return of at least 2.4% and 1.8%, respectively, to cover annual interest payments.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ind w:right="60" w:firstLine="438"/>
        <w:spacing w:after="0" w:line="229" w:lineRule="auto"/>
        <w:rPr>
          <w:sz w:val="20"/>
          <w:szCs w:val="20"/>
          <w:color w:val="auto"/>
        </w:rPr>
      </w:pPr>
      <w:r>
        <w:rPr>
          <w:rFonts w:ascii="Arial" w:cs="Arial" w:eastAsia="Arial" w:hAnsi="Arial"/>
          <w:sz w:val="14"/>
          <w:szCs w:val="14"/>
          <w:color w:val="auto"/>
        </w:rPr>
        <w:t>As of June 30, 2019, we had outstanding borrowings of $560.6 million under our Credit Facilities and $150.0 million outstanding under the SBA debentures. Our consolidated debt outstanding was $710.6 million and had a weighted average annual interest rate at the time of 4.4%, exclusive of the fee on undrawn commitment on the SunTrust Credit Facility, debt issuance costs on the BNP Credit Facility and 3.4%% of upfront fees on the SBA debentures. To cover the annual interest on our borrowings of $710.6 million outstanding as of June 30, 2019, at the weighted average annual rate of 4.4%, we would have to receive an annual yield of at least 2.4%. This example is for illustrative purposes only, and actual interest rates on our Credit Facilities or any future borrowings are likely to fluctuate. The costs associated with our borrowings, including any increase in the management fee or incentive fee payable to our Investment Adviser, are and will be borne by our common stockholders.</w:t>
      </w:r>
    </w:p>
    <w:p>
      <w:pPr>
        <w:spacing w:after="0" w:line="199"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June 30, 2019 of 53% of total assets (including such borrowed funds), at the current interest rate at the time of 4.4%,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139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c>
          <w:tcPr>
            <w:tcW w:w="19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1"/>
                <w:shd w:val="clear" w:color="auto" w:fill="CCECFF"/>
              </w:rPr>
              <w:t>)%</w:t>
            </w:r>
          </w:p>
        </w:tc>
        <w:tc>
          <w:tcPr>
            <w:tcW w:w="139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w:t>
            </w:r>
          </w:p>
        </w:tc>
        <w:tc>
          <w:tcPr>
            <w:tcW w:w="19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1"/>
                <w:shd w:val="clear" w:color="auto" w:fill="CCECFF"/>
              </w:rPr>
              <w:t>)%</w:t>
            </w:r>
          </w:p>
        </w:tc>
        <w:tc>
          <w:tcPr>
            <w:tcW w:w="141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7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shd w:val="clear" w:color="auto" w:fill="CCECFF"/>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shd w:val="clear" w:color="auto" w:fill="CCECFF"/>
              </w:rPr>
              <w:t>%</w:t>
            </w:r>
          </w:p>
        </w:tc>
      </w:tr>
      <w:tr>
        <w:trPr>
          <w:trHeight w:val="182"/>
        </w:trPr>
        <w:tc>
          <w:tcPr>
            <w:tcW w:w="340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(27.6)%</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17.0%</w:t>
            </w:r>
          </w:p>
        </w:tc>
      </w:tr>
    </w:tbl>
    <w:p>
      <w:pPr>
        <w:spacing w:after="0" w:line="109"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3"/>
          <w:szCs w:val="13"/>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80" w:right="220" w:hanging="372"/>
        <w:spacing w:after="0" w:line="255" w:lineRule="auto"/>
        <w:tabs>
          <w:tab w:leader="none" w:pos="380" w:val="left"/>
        </w:tabs>
        <w:numPr>
          <w:ilvl w:val="0"/>
          <w:numId w:val="26"/>
        </w:numPr>
        <w:rPr>
          <w:rFonts w:ascii="Arial" w:cs="Arial" w:eastAsia="Arial" w:hAnsi="Arial"/>
          <w:sz w:val="12"/>
          <w:szCs w:val="12"/>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13455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9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Repurchases of our common stock under our share repurchase program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Approximate Dollar Value</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2"/>
              </w:rPr>
              <w:t>Average Price per</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8"/>
        </w:trPr>
        <w:tc>
          <w:tcPr>
            <w:tcW w:w="338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1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Share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Plans or Programs </w:t>
            </w:r>
            <w:r>
              <w:rPr>
                <w:rFonts w:ascii="Arial" w:cs="Arial" w:eastAsia="Arial" w:hAnsi="Arial"/>
                <w:sz w:val="12"/>
                <w:szCs w:val="12"/>
                <w:b w:val="1"/>
                <w:bCs w:val="1"/>
                <w:color w:val="auto"/>
                <w:w w:val="92"/>
              </w:rPr>
              <w:t>(1)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or Programs (in millions)</w:t>
            </w:r>
          </w:p>
        </w:tc>
        <w:tc>
          <w:tcPr>
            <w:tcW w:w="0" w:type="dxa"/>
            <w:vAlign w:val="bottom"/>
          </w:tcPr>
          <w:p>
            <w:pPr>
              <w:spacing w:after="0"/>
              <w:rPr>
                <w:sz w:val="1"/>
                <w:szCs w:val="1"/>
                <w:color w:val="auto"/>
              </w:rPr>
            </w:pPr>
          </w:p>
        </w:tc>
      </w:tr>
      <w:tr>
        <w:trPr>
          <w:trHeight w:val="155"/>
        </w:trPr>
        <w:tc>
          <w:tcPr>
            <w:tcW w:w="32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October 1, 2018 through October 31, 2018</w:t>
            </w:r>
          </w:p>
        </w:tc>
        <w:tc>
          <w:tcPr>
            <w:tcW w:w="180" w:type="dxa"/>
            <w:vAlign w:val="bottom"/>
            <w:tcBorders>
              <w:top w:val="single" w:sz="8" w:color="CCECFF"/>
            </w:tcBorders>
            <w:shd w:val="clear" w:color="auto" w:fill="CCECFF"/>
          </w:tcPr>
          <w:p>
            <w:pPr>
              <w:spacing w:after="0"/>
              <w:rPr>
                <w:sz w:val="13"/>
                <w:szCs w:val="13"/>
                <w:color w:val="auto"/>
              </w:rPr>
            </w:pP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7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gridSpan w:val="2"/>
          </w:tcPr>
          <w:p>
            <w:pPr>
              <w:spacing w:after="0"/>
              <w:rPr>
                <w:sz w:val="20"/>
                <w:szCs w:val="20"/>
                <w:color w:val="auto"/>
              </w:rPr>
            </w:pPr>
            <w:r>
              <w:rPr>
                <w:rFonts w:ascii="Arial" w:cs="Arial" w:eastAsia="Arial" w:hAnsi="Arial"/>
                <w:sz w:val="14"/>
                <w:szCs w:val="14"/>
                <w:color w:val="auto"/>
              </w:rPr>
              <w:t>November 1, 2018 through November 30, 2018</w:t>
            </w:r>
          </w:p>
        </w:tc>
        <w:tc>
          <w:tcPr>
            <w:tcW w:w="1520" w:type="dxa"/>
            <w:vAlign w:val="bottom"/>
          </w:tcPr>
          <w:p>
            <w:pPr>
              <w:jc w:val="right"/>
              <w:spacing w:after="0"/>
              <w:rPr>
                <w:sz w:val="20"/>
                <w:szCs w:val="20"/>
                <w:color w:val="auto"/>
              </w:rPr>
            </w:pPr>
            <w:r>
              <w:rPr>
                <w:rFonts w:ascii="Arial" w:cs="Arial" w:eastAsia="Arial" w:hAnsi="Arial"/>
                <w:sz w:val="14"/>
                <w:szCs w:val="14"/>
                <w:color w:val="auto"/>
              </w:rPr>
              <w:t>464,543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464,543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December 1, 2018 through December 31, 2018</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561,878</w:t>
            </w: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561,878</w:t>
            </w: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gridSpan w:val="2"/>
          </w:tcPr>
          <w:p>
            <w:pPr>
              <w:spacing w:after="0"/>
              <w:rPr>
                <w:sz w:val="20"/>
                <w:szCs w:val="20"/>
                <w:color w:val="auto"/>
              </w:rPr>
            </w:pPr>
            <w:r>
              <w:rPr>
                <w:rFonts w:ascii="Arial" w:cs="Arial" w:eastAsia="Arial" w:hAnsi="Arial"/>
                <w:sz w:val="14"/>
                <w:szCs w:val="14"/>
                <w:color w:val="auto"/>
              </w:rPr>
              <w:t>January 1, 2019 through January 31, 2019</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February 1, 2019 through February 28, 2019</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712,432</w:t>
            </w: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712,432</w:t>
            </w: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gridSpan w:val="2"/>
          </w:tcPr>
          <w:p>
            <w:pPr>
              <w:spacing w:after="0"/>
              <w:rPr>
                <w:sz w:val="20"/>
                <w:szCs w:val="20"/>
                <w:color w:val="auto"/>
              </w:rPr>
            </w:pPr>
            <w:r>
              <w:rPr>
                <w:rFonts w:ascii="Arial" w:cs="Arial" w:eastAsia="Arial" w:hAnsi="Arial"/>
                <w:sz w:val="14"/>
                <w:szCs w:val="14"/>
                <w:color w:val="auto"/>
              </w:rPr>
              <w:t>March 1, 2019 through March 31, 2019</w:t>
            </w:r>
          </w:p>
        </w:tc>
        <w:tc>
          <w:tcPr>
            <w:tcW w:w="1520" w:type="dxa"/>
            <w:vAlign w:val="bottom"/>
          </w:tcPr>
          <w:p>
            <w:pPr>
              <w:jc w:val="right"/>
              <w:spacing w:after="0"/>
              <w:rPr>
                <w:sz w:val="20"/>
                <w:szCs w:val="20"/>
                <w:color w:val="auto"/>
              </w:rPr>
            </w:pPr>
            <w:r>
              <w:rPr>
                <w:rFonts w:ascii="Arial" w:cs="Arial" w:eastAsia="Arial" w:hAnsi="Arial"/>
                <w:sz w:val="14"/>
                <w:szCs w:val="14"/>
                <w:color w:val="auto"/>
              </w:rPr>
              <w:t>270,000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270,000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April 1, 2019 through April 30, 2019</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760" w:type="dxa"/>
            <w:vAlign w:val="bottom"/>
            <w:gridSpan w:val="3"/>
            <w:shd w:val="clear" w:color="auto" w:fill="CCECFF"/>
          </w:tcPr>
          <w:p>
            <w:pPr>
              <w:jc w:val="right"/>
              <w:ind w:right="300"/>
              <w:spacing w:after="0"/>
              <w:rPr>
                <w:sz w:val="20"/>
                <w:szCs w:val="20"/>
                <w:color w:val="auto"/>
              </w:rPr>
            </w:pPr>
            <w:r>
              <w:rPr>
                <w:rFonts w:ascii="Arial" w:cs="Arial" w:eastAsia="Arial" w:hAnsi="Arial"/>
                <w:sz w:val="14"/>
                <w:szCs w:val="14"/>
                <w:color w:val="auto"/>
              </w:rPr>
              <w:t>N/A</w:t>
            </w: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May 1, 2019 through May 9, 2019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1760" w:type="dxa"/>
            <w:vAlign w:val="bottom"/>
            <w:tcBorders>
              <w:bottom w:val="single" w:sz="8" w:color="CCECFF"/>
            </w:tcBorders>
            <w:gridSpan w:val="3"/>
          </w:tcPr>
          <w:p>
            <w:pPr>
              <w:jc w:val="right"/>
              <w:ind w:right="300"/>
              <w:spacing w:after="0"/>
              <w:rPr>
                <w:sz w:val="20"/>
                <w:szCs w:val="20"/>
                <w:color w:val="auto"/>
              </w:rPr>
            </w:pPr>
            <w:r>
              <w:rPr>
                <w:rFonts w:ascii="Arial" w:cs="Arial" w:eastAsia="Arial" w:hAnsi="Arial"/>
                <w:sz w:val="14"/>
                <w:szCs w:val="14"/>
                <w:color w:val="auto"/>
              </w:rPr>
              <w:t>N/A</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4"/>
                <w:szCs w:val="14"/>
                <w:color w:val="auto"/>
              </w:rPr>
            </w:pPr>
          </w:p>
        </w:tc>
        <w:tc>
          <w:tcPr>
            <w:tcW w:w="28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380" w:type="dxa"/>
            <w:vAlign w:val="bottom"/>
            <w:tcBorders>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15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2,008,853</w:t>
            </w:r>
          </w:p>
        </w:tc>
        <w:tc>
          <w:tcPr>
            <w:tcW w:w="28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14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7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2,008,853</w:t>
            </w:r>
          </w:p>
        </w:tc>
        <w:tc>
          <w:tcPr>
            <w:tcW w:w="10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18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80" w:right="20" w:hanging="372"/>
        <w:spacing w:after="0" w:line="290" w:lineRule="auto"/>
        <w:tabs>
          <w:tab w:leader="none" w:pos="380" w:val="left"/>
        </w:tabs>
        <w:numPr>
          <w:ilvl w:val="0"/>
          <w:numId w:val="27"/>
        </w:numPr>
        <w:rPr>
          <w:rFonts w:ascii="Arial" w:cs="Arial" w:eastAsia="Arial" w:hAnsi="Arial"/>
          <w:sz w:val="11"/>
          <w:szCs w:val="11"/>
          <w:b w:val="1"/>
          <w:bCs w:val="1"/>
          <w:color w:val="auto"/>
        </w:rPr>
      </w:pPr>
      <w:r>
        <w:rPr>
          <w:rFonts w:ascii="Arial" w:cs="Arial" w:eastAsia="Arial" w:hAnsi="Arial"/>
          <w:sz w:val="13"/>
          <w:szCs w:val="13"/>
          <w:color w:val="auto"/>
        </w:rPr>
        <w:t>On May 9, 2018, we announced a share repurchase program which allowed us to repurchase up to $30.0 million of our outstanding common stock. The program expired on May 9, 2019 and we repurchased 4.0 million shares of our common stock in open market transactions while the program was in effect for an aggregate cost (including transaction costs) of $29.5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13455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6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line="191" w:lineRule="auto"/>
        <w:framePr w:w="420" w:h="128" w:wrap="auto" w:vAnchor="page" w:hAnchor="page" w:x="280" w:y="2955"/>
        <w:rPr>
          <w:rFonts w:ascii="Arial" w:cs="Arial" w:eastAsia="Arial" w:hAnsi="Arial"/>
          <w:sz w:val="14"/>
          <w:szCs w:val="14"/>
          <w:color w:val="auto"/>
        </w:rPr>
      </w:pPr>
      <w:r>
        <w:rPr>
          <w:rFonts w:ascii="Arial" w:cs="Arial" w:eastAsia="Arial" w:hAnsi="Arial"/>
          <w:sz w:val="14"/>
          <w:szCs w:val="14"/>
          <w:color w:val="auto"/>
        </w:rPr>
        <w:t>31.1*</w:t>
      </w:r>
    </w:p>
    <w:p>
      <w:pPr>
        <w:spacing w:after="0" w:line="191" w:lineRule="auto"/>
        <w:framePr w:w="420" w:h="128" w:wrap="auto" w:vAnchor="page" w:hAnchor="page" w:x="280" w:y="3252"/>
        <w:rPr>
          <w:rFonts w:ascii="Arial" w:cs="Arial" w:eastAsia="Arial" w:hAnsi="Arial"/>
          <w:sz w:val="14"/>
          <w:szCs w:val="14"/>
          <w:color w:val="auto"/>
        </w:rPr>
      </w:pPr>
      <w:r>
        <w:rPr>
          <w:rFonts w:ascii="Arial" w:cs="Arial" w:eastAsia="Arial" w:hAnsi="Arial"/>
          <w:sz w:val="14"/>
          <w:szCs w:val="14"/>
          <w:color w:val="auto"/>
        </w:rPr>
        <w:t>31.2*</w:t>
      </w:r>
    </w:p>
    <w:p>
      <w:pPr>
        <w:spacing w:after="0" w:line="191" w:lineRule="auto"/>
        <w:framePr w:w="420" w:h="128" w:wrap="auto" w:vAnchor="page" w:hAnchor="page" w:x="280" w:y="3549"/>
        <w:rPr>
          <w:rFonts w:ascii="Arial" w:cs="Arial" w:eastAsia="Arial" w:hAnsi="Arial"/>
          <w:sz w:val="14"/>
          <w:szCs w:val="14"/>
          <w:color w:val="auto"/>
        </w:rPr>
      </w:pPr>
      <w:r>
        <w:rPr>
          <w:rFonts w:ascii="Arial" w:cs="Arial" w:eastAsia="Arial" w:hAnsi="Arial"/>
          <w:sz w:val="14"/>
          <w:szCs w:val="14"/>
          <w:color w:val="auto"/>
        </w:rPr>
        <w:t>32.1*</w:t>
      </w:r>
    </w:p>
    <w:p>
      <w:pPr>
        <w:spacing w:after="0" w:line="191" w:lineRule="auto"/>
        <w:framePr w:w="420" w:h="128" w:wrap="auto" w:vAnchor="page" w:hAnchor="page" w:x="280" w:y="3846"/>
        <w:rPr>
          <w:rFonts w:ascii="Arial" w:cs="Arial" w:eastAsia="Arial" w:hAnsi="Arial"/>
          <w:sz w:val="14"/>
          <w:szCs w:val="14"/>
          <w:color w:val="auto"/>
        </w:rPr>
      </w:pPr>
      <w:r>
        <w:rPr>
          <w:rFonts w:ascii="Arial" w:cs="Arial" w:eastAsia="Arial" w:hAnsi="Arial"/>
          <w:sz w:val="14"/>
          <w:szCs w:val="14"/>
          <w:color w:val="auto"/>
        </w:rPr>
        <w:t>32.2*</w:t>
      </w:r>
    </w:p>
    <w:p>
      <w:pPr>
        <w:spacing w:after="0" w:line="205" w:lineRule="auto"/>
        <w:framePr w:w="340" w:h="128" w:wrap="auto" w:vAnchor="page" w:hAnchor="page" w:x="280" w:y="4143"/>
        <w:rPr>
          <w:rFonts w:ascii="Arial" w:cs="Arial" w:eastAsia="Arial" w:hAnsi="Arial"/>
          <w:sz w:val="13"/>
          <w:szCs w:val="13"/>
          <w:color w:val="auto"/>
        </w:rPr>
      </w:pPr>
      <w:r>
        <w:rPr>
          <w:rFonts w:ascii="Arial" w:cs="Arial" w:eastAsia="Arial" w:hAnsi="Arial"/>
          <w:sz w:val="13"/>
          <w:szCs w:val="13"/>
          <w:color w:val="auto"/>
        </w:rPr>
        <w:t>99.1</w:t>
      </w:r>
    </w:p>
    <w:p>
      <w:pPr>
        <w:spacing w:after="0" w:line="209" w:lineRule="auto"/>
        <w:framePr w:w="400" w:h="160" w:wrap="auto" w:vAnchor="page" w:hAnchor="page" w:x="280" w:y="2302"/>
        <w:rPr>
          <w:rFonts w:ascii="Arial" w:cs="Arial" w:eastAsia="Arial" w:hAnsi="Arial"/>
          <w:sz w:val="16"/>
          <w:szCs w:val="16"/>
          <w:color w:val="auto"/>
        </w:rPr>
      </w:pPr>
      <w:r>
        <w:rPr>
          <w:rFonts w:ascii="Arial" w:cs="Arial" w:eastAsia="Arial" w:hAnsi="Arial"/>
          <w:sz w:val="16"/>
          <w:szCs w:val="16"/>
          <w:color w:val="auto"/>
        </w:rPr>
        <w:t>10.1</w:t>
      </w:r>
    </w:p>
    <w:p>
      <w:pPr>
        <w:spacing w:after="0"/>
        <w:tabs>
          <w:tab w:leader="none" w:pos="9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221" w:lineRule="exact"/>
        <w:rPr>
          <w:rFonts w:ascii="Arial" w:cs="Arial" w:eastAsia="Arial" w:hAnsi="Arial"/>
          <w:sz w:val="16"/>
          <w:szCs w:val="16"/>
          <w:color w:val="auto"/>
        </w:rPr>
      </w:pPr>
    </w:p>
    <w:p>
      <w:pPr>
        <w:ind w:left="44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17" w:lineRule="exact"/>
        <w:rPr>
          <w:rFonts w:ascii="Arial" w:cs="Arial" w:eastAsia="Arial" w:hAnsi="Arial"/>
          <w:sz w:val="16"/>
          <w:szCs w:val="16"/>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w:t>
      </w:r>
      <w:r>
        <w:rPr>
          <w:sz w:val="20"/>
          <w:szCs w:val="20"/>
          <w:color w:val="auto"/>
        </w:rPr>
        <w:tab/>
      </w:r>
      <w:hyperlink r:id="rId67">
        <w:r>
          <w:rPr>
            <w:rFonts w:ascii="Arial" w:cs="Arial" w:eastAsia="Arial" w:hAnsi="Arial"/>
            <w:sz w:val="13"/>
            <w:szCs w:val="13"/>
            <w:u w:val="single" w:color="auto"/>
            <w:color w:val="0000EE"/>
          </w:rPr>
          <w:t>Articles of Incorporation (Incorporated by reference to Exhibit 99(a) to the Registrant’s Pre-Effective Amendment No. 3 to the Registration Statement on Form N-2/A (File No. 333-</w:t>
        </w:r>
      </w:hyperlink>
    </w:p>
    <w:p>
      <w:pPr>
        <w:ind w:left="500"/>
        <w:spacing w:after="0"/>
        <w:rPr>
          <w:rFonts w:ascii="Arial" w:cs="Arial" w:eastAsia="Arial" w:hAnsi="Arial"/>
          <w:sz w:val="14"/>
          <w:szCs w:val="14"/>
          <w:u w:val="single" w:color="auto"/>
          <w:color w:val="0000EE"/>
        </w:rPr>
      </w:pPr>
      <w:hyperlink r:id="rId67">
        <w:r>
          <w:rPr>
            <w:rFonts w:ascii="Arial" w:cs="Arial" w:eastAsia="Arial" w:hAnsi="Arial"/>
            <w:sz w:val="14"/>
            <w:szCs w:val="14"/>
            <w:u w:val="single" w:color="auto"/>
            <w:color w:val="0000EE"/>
          </w:rPr>
          <w:t>140092), filed on April 5, 2007).</w:t>
        </w:r>
      </w:hyperlink>
    </w:p>
    <w:p>
      <w:pPr>
        <w:spacing w:after="0" w:line="124" w:lineRule="exact"/>
        <w:rPr>
          <w:rFonts w:ascii="Arial" w:cs="Arial" w:eastAsia="Arial" w:hAnsi="Arial"/>
          <w:sz w:val="16"/>
          <w:szCs w:val="16"/>
          <w:color w:val="auto"/>
        </w:rPr>
      </w:pPr>
    </w:p>
    <w:p>
      <w:pPr>
        <w:ind w:left="500" w:right="900" w:hanging="413"/>
        <w:spacing w:after="0" w:line="253" w:lineRule="auto"/>
        <w:tabs>
          <w:tab w:leader="none" w:pos="480" w:val="left"/>
        </w:tabs>
        <w:rPr>
          <w:rFonts w:ascii="Arial" w:cs="Arial" w:eastAsia="Arial" w:hAnsi="Arial"/>
          <w:sz w:val="14"/>
          <w:szCs w:val="14"/>
          <w:u w:val="single" w:color="auto"/>
          <w:color w:val="0000EE"/>
        </w:rPr>
      </w:pPr>
      <w:r>
        <w:rPr>
          <w:rFonts w:ascii="Arial" w:cs="Arial" w:eastAsia="Arial" w:hAnsi="Arial"/>
          <w:sz w:val="14"/>
          <w:szCs w:val="14"/>
          <w:color w:val="auto"/>
        </w:rPr>
        <w:t>3.2</w:t>
      </w:r>
      <w:r>
        <w:rPr>
          <w:sz w:val="20"/>
          <w:szCs w:val="20"/>
          <w:color w:val="auto"/>
        </w:rPr>
        <w:tab/>
      </w:r>
      <w:hyperlink r:id="rId68">
        <w:r>
          <w:rPr>
            <w:rFonts w:ascii="Arial" w:cs="Arial" w:eastAsia="Arial" w:hAnsi="Arial"/>
            <w:sz w:val="14"/>
            <w:szCs w:val="14"/>
            <w:u w:val="single" w:color="auto"/>
            <w:color w:val="0000EE"/>
          </w:rPr>
          <w:t>Amended and Restated Bylaws of the Registrant (Incorporated by reference to Exhibit 3.1 to the Registrant’s Current Report on Form 8-K (File No. 814-00736), filed on</w:t>
        </w:r>
      </w:hyperlink>
      <w:r>
        <w:rPr>
          <w:rFonts w:ascii="Arial" w:cs="Arial" w:eastAsia="Arial" w:hAnsi="Arial"/>
          <w:sz w:val="14"/>
          <w:szCs w:val="14"/>
          <w:u w:val="single" w:color="auto"/>
          <w:color w:val="0000EE"/>
        </w:rPr>
        <w:t xml:space="preserve"> </w:t>
      </w:r>
      <w:hyperlink r:id="rId68">
        <w:r>
          <w:rPr>
            <w:rFonts w:ascii="Arial" w:cs="Arial" w:eastAsia="Arial" w:hAnsi="Arial"/>
            <w:sz w:val="14"/>
            <w:szCs w:val="14"/>
            <w:u w:val="single" w:color="auto"/>
            <w:color w:val="0000EE"/>
          </w:rPr>
          <w:t>December 2, 2015).</w:t>
        </w:r>
      </w:hyperlink>
    </w:p>
    <w:p>
      <w:pPr>
        <w:spacing w:after="0" w:line="106" w:lineRule="exact"/>
        <w:rPr>
          <w:sz w:val="20"/>
          <w:szCs w:val="20"/>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69">
        <w:r>
          <w:rPr>
            <w:rFonts w:ascii="Arial" w:cs="Arial" w:eastAsia="Arial" w:hAnsi="Arial"/>
            <w:sz w:val="13"/>
            <w:szCs w:val="13"/>
            <w:u w:val="single" w:color="auto"/>
            <w:color w:val="0000EE"/>
          </w:rPr>
          <w:t>Form of Share Certificate (Incorporated by reference to Exhibit 99(d)(1) to the Registrant’s Registration Statement on Form N-2 (File No. 333-150033), filed on April 2, 2008).</w:t>
        </w:r>
      </w:hyperlink>
    </w:p>
    <w:p>
      <w:pPr>
        <w:spacing w:after="0" w:line="136" w:lineRule="exact"/>
        <w:rPr>
          <w:sz w:val="20"/>
          <w:szCs w:val="20"/>
          <w:color w:val="auto"/>
        </w:rPr>
      </w:pPr>
    </w:p>
    <w:p>
      <w:pPr>
        <w:jc w:val="both"/>
        <w:ind w:left="500"/>
        <w:spacing w:after="0" w:line="238" w:lineRule="auto"/>
        <w:rPr>
          <w:rFonts w:ascii="Arial" w:cs="Arial" w:eastAsia="Arial" w:hAnsi="Arial"/>
          <w:sz w:val="14"/>
          <w:szCs w:val="14"/>
          <w:u w:val="single" w:color="auto"/>
          <w:color w:val="0000EE"/>
        </w:rPr>
      </w:pPr>
      <w:hyperlink r:id="rId70">
        <w:r>
          <w:rPr>
            <w:rFonts w:ascii="Arial" w:cs="Arial" w:eastAsia="Arial" w:hAnsi="Arial"/>
            <w:sz w:val="14"/>
            <w:szCs w:val="14"/>
            <w:u w:val="single" w:color="auto"/>
            <w:color w:val="0000EE"/>
          </w:rPr>
          <w:t>Third Amended and Restated Investment Advisory Management Agreement by and between the PennantPark Investment Corporation and PennantPark Investment Advisers, LLC dated</w:t>
        </w:r>
      </w:hyperlink>
      <w:r>
        <w:rPr>
          <w:rFonts w:ascii="Arial" w:cs="Arial" w:eastAsia="Arial" w:hAnsi="Arial"/>
          <w:sz w:val="14"/>
          <w:szCs w:val="14"/>
          <w:u w:val="single" w:color="auto"/>
          <w:color w:val="0000EE"/>
        </w:rPr>
        <w:t xml:space="preserve"> </w:t>
      </w:r>
      <w:hyperlink r:id="rId70">
        <w:r>
          <w:rPr>
            <w:rFonts w:ascii="Arial" w:cs="Arial" w:eastAsia="Arial" w:hAnsi="Arial"/>
            <w:sz w:val="14"/>
            <w:szCs w:val="14"/>
            <w:u w:val="single" w:color="auto"/>
            <w:color w:val="0000EE"/>
          </w:rPr>
          <w:t>as of April 12, 2019 (Incorporated by reference to Exhibit g(3) to the Registrant’s Pre-Effective Amendment No. 1 to the Registration Statement on Form N-2/A (File No. 333-230014),</w:t>
        </w:r>
      </w:hyperlink>
      <w:r>
        <w:rPr>
          <w:rFonts w:ascii="Arial" w:cs="Arial" w:eastAsia="Arial" w:hAnsi="Arial"/>
          <w:sz w:val="14"/>
          <w:szCs w:val="14"/>
          <w:u w:val="single" w:color="auto"/>
          <w:color w:val="0000EE"/>
        </w:rPr>
        <w:t xml:space="preserve"> </w:t>
      </w:r>
      <w:hyperlink r:id="rId70">
        <w:r>
          <w:rPr>
            <w:rFonts w:ascii="Arial" w:cs="Arial" w:eastAsia="Arial" w:hAnsi="Arial"/>
            <w:sz w:val="14"/>
            <w:szCs w:val="14"/>
            <w:u w:val="single" w:color="auto"/>
            <w:color w:val="0000EE"/>
          </w:rPr>
          <w:t>filed on April 12, 2019).</w:t>
        </w:r>
      </w:hyperlink>
    </w:p>
    <w:p>
      <w:pPr>
        <w:spacing w:after="0" w:line="183" w:lineRule="exact"/>
        <w:rPr>
          <w:rFonts w:ascii="Arial" w:cs="Arial" w:eastAsia="Arial" w:hAnsi="Arial"/>
          <w:sz w:val="14"/>
          <w:szCs w:val="14"/>
          <w:u w:val="single" w:color="auto"/>
          <w:color w:val="0000EE"/>
        </w:rPr>
      </w:pPr>
    </w:p>
    <w:p>
      <w:pPr>
        <w:ind w:left="500"/>
        <w:spacing w:after="0"/>
        <w:rPr>
          <w:rFonts w:ascii="Arial" w:cs="Arial" w:eastAsia="Arial" w:hAnsi="Arial"/>
          <w:sz w:val="14"/>
          <w:szCs w:val="14"/>
          <w:u w:val="single" w:color="auto"/>
          <w:color w:val="0000EE"/>
        </w:rPr>
      </w:pPr>
      <w:hyperlink w:anchor="page39">
        <w:r>
          <w:rPr>
            <w:rFonts w:ascii="Arial" w:cs="Arial" w:eastAsia="Arial" w:hAnsi="Arial"/>
            <w:sz w:val="14"/>
            <w:szCs w:val="14"/>
            <w:u w:val="single" w:color="auto"/>
            <w:color w:val="0000EE"/>
          </w:rPr>
          <w:t>Certification of Chief Executive Officer pursuant to Rule 13a-14 of the Securities Exchange Act of 1934, as amended.</w:t>
        </w:r>
      </w:hyperlink>
    </w:p>
    <w:p>
      <w:pPr>
        <w:spacing w:after="0" w:line="136" w:lineRule="exact"/>
        <w:rPr>
          <w:rFonts w:ascii="Arial" w:cs="Arial" w:eastAsia="Arial" w:hAnsi="Arial"/>
          <w:sz w:val="14"/>
          <w:szCs w:val="14"/>
          <w:u w:val="single" w:color="auto"/>
          <w:color w:val="0000EE"/>
        </w:rPr>
      </w:pPr>
    </w:p>
    <w:p>
      <w:pPr>
        <w:ind w:left="500"/>
        <w:spacing w:after="0"/>
        <w:rPr>
          <w:rFonts w:ascii="Arial" w:cs="Arial" w:eastAsia="Arial" w:hAnsi="Arial"/>
          <w:sz w:val="14"/>
          <w:szCs w:val="14"/>
          <w:u w:val="single" w:color="auto"/>
          <w:color w:val="0000EE"/>
        </w:rPr>
      </w:pPr>
      <w:hyperlink w:anchor="page40">
        <w:r>
          <w:rPr>
            <w:rFonts w:ascii="Arial" w:cs="Arial" w:eastAsia="Arial" w:hAnsi="Arial"/>
            <w:sz w:val="14"/>
            <w:szCs w:val="14"/>
            <w:u w:val="single" w:color="auto"/>
            <w:color w:val="0000EE"/>
          </w:rPr>
          <w:t>Certification of Chief Financial Officer pursuant to Rule 13a-14 of the Securities Exchange Act of 1934, as amended.</w:t>
        </w:r>
      </w:hyperlink>
    </w:p>
    <w:p>
      <w:pPr>
        <w:spacing w:after="0" w:line="136" w:lineRule="exact"/>
        <w:rPr>
          <w:rFonts w:ascii="Arial" w:cs="Arial" w:eastAsia="Arial" w:hAnsi="Arial"/>
          <w:sz w:val="14"/>
          <w:szCs w:val="14"/>
          <w:u w:val="single" w:color="auto"/>
          <w:color w:val="0000EE"/>
        </w:rPr>
      </w:pPr>
    </w:p>
    <w:p>
      <w:pPr>
        <w:ind w:left="500"/>
        <w:spacing w:after="0"/>
        <w:rPr>
          <w:rFonts w:ascii="Arial" w:cs="Arial" w:eastAsia="Arial" w:hAnsi="Arial"/>
          <w:sz w:val="14"/>
          <w:szCs w:val="14"/>
          <w:u w:val="single" w:color="auto"/>
          <w:color w:val="0000EE"/>
        </w:rPr>
      </w:pPr>
      <w:hyperlink w:anchor="page41">
        <w:r>
          <w:rPr>
            <w:rFonts w:ascii="Arial" w:cs="Arial" w:eastAsia="Arial" w:hAnsi="Arial"/>
            <w:sz w:val="14"/>
            <w:szCs w:val="14"/>
            <w:u w:val="single" w:color="auto"/>
            <w:color w:val="0000EE"/>
          </w:rPr>
          <w:t>Certification of Chief Executive Officer pursuant to Section 906 of the Sarbanes-Oxley Act of 2002.</w:t>
        </w:r>
      </w:hyperlink>
    </w:p>
    <w:p>
      <w:pPr>
        <w:spacing w:after="0" w:line="136" w:lineRule="exact"/>
        <w:rPr>
          <w:rFonts w:ascii="Arial" w:cs="Arial" w:eastAsia="Arial" w:hAnsi="Arial"/>
          <w:sz w:val="14"/>
          <w:szCs w:val="14"/>
          <w:u w:val="single" w:color="auto"/>
          <w:color w:val="0000EE"/>
        </w:rPr>
      </w:pPr>
    </w:p>
    <w:p>
      <w:pPr>
        <w:ind w:left="500"/>
        <w:spacing w:after="0"/>
        <w:rPr>
          <w:rFonts w:ascii="Arial" w:cs="Arial" w:eastAsia="Arial" w:hAnsi="Arial"/>
          <w:sz w:val="14"/>
          <w:szCs w:val="14"/>
          <w:u w:val="single" w:color="auto"/>
          <w:color w:val="0000EE"/>
        </w:rPr>
      </w:pPr>
      <w:hyperlink w:anchor="page42">
        <w:r>
          <w:rPr>
            <w:rFonts w:ascii="Arial" w:cs="Arial" w:eastAsia="Arial" w:hAnsi="Arial"/>
            <w:sz w:val="14"/>
            <w:szCs w:val="14"/>
            <w:u w:val="single" w:color="auto"/>
            <w:color w:val="0000EE"/>
          </w:rPr>
          <w:t>Certification of Chief Financial Officer pursuant to Section 906 of the Sarbanes-Oxley Act of 2002.</w:t>
        </w:r>
      </w:hyperlink>
    </w:p>
    <w:p>
      <w:pPr>
        <w:spacing w:after="0" w:line="136" w:lineRule="exact"/>
        <w:rPr>
          <w:rFonts w:ascii="Arial" w:cs="Arial" w:eastAsia="Arial" w:hAnsi="Arial"/>
          <w:sz w:val="14"/>
          <w:szCs w:val="14"/>
          <w:u w:val="single" w:color="auto"/>
          <w:color w:val="0000EE"/>
        </w:rPr>
      </w:pPr>
    </w:p>
    <w:p>
      <w:pPr>
        <w:ind w:left="500"/>
        <w:spacing w:after="0"/>
        <w:rPr>
          <w:rFonts w:ascii="Arial" w:cs="Arial" w:eastAsia="Arial" w:hAnsi="Arial"/>
          <w:sz w:val="13"/>
          <w:szCs w:val="13"/>
          <w:color w:val="0000EE"/>
        </w:rPr>
      </w:pPr>
      <w:hyperlink r:id="rId71">
        <w:r>
          <w:rPr>
            <w:rFonts w:ascii="Arial" w:cs="Arial" w:eastAsia="Arial" w:hAnsi="Arial"/>
            <w:sz w:val="13"/>
            <w:szCs w:val="13"/>
            <w:u w:val="single" w:color="auto"/>
            <w:color w:val="0000EE"/>
          </w:rPr>
          <w:t>Privacy Policy of the Registrant (Incorporated by reference to Exhibit 99.1 to the Registrant’s Annual Report on Form 10-K (File No. 814-00736), filed on November 16, 2011)</w:t>
        </w:r>
        <w:r>
          <w:rPr>
            <w:rFonts w:ascii="Arial" w:cs="Arial" w:eastAsia="Arial" w:hAnsi="Arial"/>
            <w:sz w:val="13"/>
            <w:szCs w:val="13"/>
            <w:color w:val="0000EE"/>
          </w:rPr>
          <w:t>.</w:t>
        </w:r>
      </w:hyperlink>
    </w:p>
    <w:p>
      <w:pPr>
        <w:spacing w:after="0" w:line="256" w:lineRule="exact"/>
        <w:rPr>
          <w:rFonts w:ascii="Arial" w:cs="Arial" w:eastAsia="Arial" w:hAnsi="Arial"/>
          <w:sz w:val="14"/>
          <w:szCs w:val="14"/>
          <w:u w:val="single" w:color="auto"/>
          <w:color w:val="0000EE"/>
        </w:rPr>
      </w:pPr>
    </w:p>
    <w:p>
      <w:pPr>
        <w:ind w:left="380" w:hanging="372"/>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32" w:lineRule="exact"/>
        <w:rPr>
          <w:rFonts w:ascii="Arial" w:cs="Arial" w:eastAsia="Arial" w:hAnsi="Arial"/>
          <w:sz w:val="14"/>
          <w:szCs w:val="14"/>
          <w:u w:val="single" w:color="auto"/>
          <w:color w:val="0000EE"/>
        </w:rPr>
      </w:pPr>
    </w:p>
    <w:p>
      <w:pPr>
        <w:jc w:val="center"/>
        <w:ind w:right="-119"/>
        <w:spacing w:after="0"/>
        <w:rPr>
          <w:sz w:val="20"/>
          <w:szCs w:val="20"/>
          <w:color w:val="auto"/>
        </w:rPr>
      </w:pPr>
      <w:r>
        <w:rPr>
          <w:rFonts w:ascii="Arial" w:cs="Arial" w:eastAsia="Arial" w:hAnsi="Arial"/>
          <w:sz w:val="14"/>
          <w:szCs w:val="14"/>
          <w:color w:val="auto"/>
        </w:rPr>
        <w:t>37</w:t>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37" w:name="page38"/>
    <w:bookmarkEnd w:id="37"/>
    <w:p>
      <w:pPr>
        <w:jc w:val="center"/>
        <w:spacing w:after="0"/>
        <w:rPr>
          <w:sz w:val="20"/>
          <w:szCs w:val="20"/>
          <w:color w:val="auto"/>
        </w:rPr>
      </w:pPr>
      <w:r>
        <w:rPr>
          <w:rFonts w:ascii="Arial" w:cs="Arial" w:eastAsia="Arial" w:hAnsi="Arial"/>
          <w:sz w:val="14"/>
          <w:szCs w:val="14"/>
          <w:b w:val="1"/>
          <w:bCs w:val="1"/>
          <w:color w:val="auto"/>
        </w:rPr>
        <w:t>SIGNATURES</w:t>
      </w:r>
    </w:p>
    <w:p>
      <w:pPr>
        <w:spacing w:after="0" w:line="200" w:lineRule="exact"/>
        <w:rPr>
          <w:sz w:val="20"/>
          <w:szCs w:val="20"/>
          <w:color w:val="auto"/>
        </w:rPr>
      </w:pPr>
    </w:p>
    <w:p>
      <w:pPr>
        <w:spacing w:after="0" w:line="251"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120" w:type="dxa"/>
            <w:vAlign w:val="bottom"/>
          </w:tcPr>
          <w:p>
            <w:pPr>
              <w:ind w:left="780"/>
              <w:spacing w:after="0"/>
              <w:rPr>
                <w:sz w:val="20"/>
                <w:szCs w:val="20"/>
                <w:color w:val="auto"/>
              </w:rPr>
            </w:pPr>
            <w:r>
              <w:rPr>
                <w:rFonts w:ascii="Arial" w:cs="Arial" w:eastAsia="Arial" w:hAnsi="Arial"/>
                <w:sz w:val="14"/>
                <w:szCs w:val="14"/>
                <w:color w:val="auto"/>
              </w:rPr>
              <w:t>PENNANTPARK INVESTMENT CORPORATION</w:t>
            </w:r>
          </w:p>
        </w:tc>
        <w:tc>
          <w:tcPr>
            <w:tcW w:w="0" w:type="dxa"/>
            <w:vAlign w:val="bottom"/>
          </w:tcPr>
          <w:p>
            <w:pPr>
              <w:spacing w:after="0"/>
              <w:rPr>
                <w:sz w:val="1"/>
                <w:szCs w:val="1"/>
                <w:color w:val="auto"/>
              </w:rPr>
            </w:pPr>
          </w:p>
        </w:tc>
      </w:tr>
      <w:tr>
        <w:trPr>
          <w:trHeight w:val="324"/>
        </w:trPr>
        <w:tc>
          <w:tcPr>
            <w:tcW w:w="3400" w:type="dxa"/>
            <w:vAlign w:val="bottom"/>
          </w:tcPr>
          <w:p>
            <w:pPr>
              <w:spacing w:after="0"/>
              <w:rPr>
                <w:sz w:val="20"/>
                <w:szCs w:val="20"/>
                <w:color w:val="auto"/>
              </w:rPr>
            </w:pPr>
            <w:r>
              <w:rPr>
                <w:rFonts w:ascii="Arial" w:cs="Arial" w:eastAsia="Arial" w:hAnsi="Arial"/>
                <w:sz w:val="14"/>
                <w:szCs w:val="14"/>
                <w:color w:val="auto"/>
              </w:rPr>
              <w:t>Date: August 7, 2019</w:t>
            </w:r>
          </w:p>
        </w:tc>
        <w:tc>
          <w:tcPr>
            <w:tcW w:w="2720" w:type="dxa"/>
            <w:vAlign w:val="bottom"/>
            <w:vMerge w:val="restart"/>
          </w:tcPr>
          <w:p>
            <w:pPr>
              <w:ind w:left="2220"/>
              <w:spacing w:after="0"/>
              <w:rPr>
                <w:sz w:val="20"/>
                <w:szCs w:val="20"/>
                <w:color w:val="auto"/>
              </w:rPr>
            </w:pPr>
            <w:r>
              <w:rPr>
                <w:rFonts w:ascii="Arial" w:cs="Arial" w:eastAsia="Arial" w:hAnsi="Arial"/>
                <w:sz w:val="14"/>
                <w:szCs w:val="14"/>
                <w:color w:val="auto"/>
              </w:rPr>
              <w:t>By:</w:t>
            </w:r>
          </w:p>
        </w:tc>
        <w:tc>
          <w:tcPr>
            <w:tcW w:w="5120" w:type="dxa"/>
            <w:vAlign w:val="bottom"/>
            <w:vMerge w:val="restart"/>
          </w:tcPr>
          <w:p>
            <w:pPr>
              <w:jc w:val="center"/>
              <w:spacing w:after="0"/>
              <w:rPr>
                <w:sz w:val="20"/>
                <w:szCs w:val="20"/>
                <w:color w:val="auto"/>
              </w:rPr>
            </w:pPr>
            <w:r>
              <w:rPr>
                <w:rFonts w:ascii="Arial" w:cs="Arial" w:eastAsia="Arial" w:hAnsi="Arial"/>
                <w:sz w:val="14"/>
                <w:szCs w:val="14"/>
                <w:color w:val="auto"/>
                <w:w w:val="93"/>
              </w:rPr>
              <w:t>/s/ Arthur H. Penn</w:t>
            </w:r>
          </w:p>
        </w:tc>
        <w:tc>
          <w:tcPr>
            <w:tcW w:w="0" w:type="dxa"/>
            <w:vAlign w:val="bottom"/>
          </w:tcPr>
          <w:p>
            <w:pPr>
              <w:spacing w:after="0"/>
              <w:rPr>
                <w:sz w:val="1"/>
                <w:szCs w:val="1"/>
                <w:color w:val="auto"/>
              </w:rPr>
            </w:pPr>
          </w:p>
        </w:tc>
      </w:tr>
      <w:tr>
        <w:trPr>
          <w:trHeight w:val="71"/>
        </w:trPr>
        <w:tc>
          <w:tcPr>
            <w:tcW w:w="3400" w:type="dxa"/>
            <w:vAlign w:val="bottom"/>
          </w:tcPr>
          <w:p>
            <w:pPr>
              <w:spacing w:after="0"/>
              <w:rPr>
                <w:sz w:val="5"/>
                <w:szCs w:val="5"/>
                <w:color w:val="auto"/>
              </w:rPr>
            </w:pPr>
          </w:p>
        </w:tc>
        <w:tc>
          <w:tcPr>
            <w:tcW w:w="2720" w:type="dxa"/>
            <w:vAlign w:val="bottom"/>
            <w:vMerge w:val="continue"/>
          </w:tcPr>
          <w:p>
            <w:pPr>
              <w:spacing w:after="0"/>
              <w:rPr>
                <w:sz w:val="5"/>
                <w:szCs w:val="5"/>
                <w:color w:val="auto"/>
              </w:rPr>
            </w:pPr>
          </w:p>
        </w:tc>
        <w:tc>
          <w:tcPr>
            <w:tcW w:w="5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Arthur H. Penn</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 Directors</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Executive Officer)</w:t>
            </w:r>
          </w:p>
        </w:tc>
        <w:tc>
          <w:tcPr>
            <w:tcW w:w="0" w:type="dxa"/>
            <w:vAlign w:val="bottom"/>
          </w:tcPr>
          <w:p>
            <w:pPr>
              <w:spacing w:after="0"/>
              <w:rPr>
                <w:sz w:val="1"/>
                <w:szCs w:val="1"/>
                <w:color w:val="auto"/>
              </w:rPr>
            </w:pPr>
          </w:p>
        </w:tc>
      </w:tr>
      <w:tr>
        <w:trPr>
          <w:trHeight w:val="297"/>
        </w:trPr>
        <w:tc>
          <w:tcPr>
            <w:tcW w:w="3400" w:type="dxa"/>
            <w:vAlign w:val="bottom"/>
          </w:tcPr>
          <w:p>
            <w:pPr>
              <w:spacing w:after="0"/>
              <w:rPr>
                <w:sz w:val="20"/>
                <w:szCs w:val="20"/>
                <w:color w:val="auto"/>
              </w:rPr>
            </w:pPr>
            <w:r>
              <w:rPr>
                <w:rFonts w:ascii="Arial" w:cs="Arial" w:eastAsia="Arial" w:hAnsi="Arial"/>
                <w:sz w:val="14"/>
                <w:szCs w:val="14"/>
                <w:color w:val="auto"/>
              </w:rPr>
              <w:t>Date: August 7, 2019</w:t>
            </w:r>
          </w:p>
        </w:tc>
        <w:tc>
          <w:tcPr>
            <w:tcW w:w="2720" w:type="dxa"/>
            <w:vAlign w:val="bottom"/>
            <w:vMerge w:val="restart"/>
          </w:tcPr>
          <w:p>
            <w:pPr>
              <w:ind w:left="2220"/>
              <w:spacing w:after="0"/>
              <w:rPr>
                <w:sz w:val="20"/>
                <w:szCs w:val="20"/>
                <w:color w:val="auto"/>
              </w:rPr>
            </w:pPr>
            <w:r>
              <w:rPr>
                <w:rFonts w:ascii="Arial" w:cs="Arial" w:eastAsia="Arial" w:hAnsi="Arial"/>
                <w:sz w:val="14"/>
                <w:szCs w:val="14"/>
                <w:color w:val="auto"/>
              </w:rPr>
              <w:t>By:</w:t>
            </w:r>
          </w:p>
        </w:tc>
        <w:tc>
          <w:tcPr>
            <w:tcW w:w="5120" w:type="dxa"/>
            <w:vAlign w:val="bottom"/>
            <w:vMerge w:val="restart"/>
          </w:tcPr>
          <w:p>
            <w:pPr>
              <w:jc w:val="center"/>
              <w:spacing w:after="0"/>
              <w:rPr>
                <w:sz w:val="20"/>
                <w:szCs w:val="20"/>
                <w:color w:val="auto"/>
              </w:rPr>
            </w:pPr>
            <w:r>
              <w:rPr>
                <w:rFonts w:ascii="Arial" w:cs="Arial" w:eastAsia="Arial" w:hAnsi="Arial"/>
                <w:sz w:val="14"/>
                <w:szCs w:val="14"/>
                <w:color w:val="auto"/>
                <w:w w:val="96"/>
              </w:rPr>
              <w:t>/s/ Aviv Efrat</w:t>
            </w:r>
          </w:p>
        </w:tc>
        <w:tc>
          <w:tcPr>
            <w:tcW w:w="0" w:type="dxa"/>
            <w:vAlign w:val="bottom"/>
          </w:tcPr>
          <w:p>
            <w:pPr>
              <w:spacing w:after="0"/>
              <w:rPr>
                <w:sz w:val="1"/>
                <w:szCs w:val="1"/>
                <w:color w:val="auto"/>
              </w:rPr>
            </w:pPr>
          </w:p>
        </w:tc>
      </w:tr>
      <w:tr>
        <w:trPr>
          <w:trHeight w:val="71"/>
        </w:trPr>
        <w:tc>
          <w:tcPr>
            <w:tcW w:w="3400" w:type="dxa"/>
            <w:vAlign w:val="bottom"/>
          </w:tcPr>
          <w:p>
            <w:pPr>
              <w:spacing w:after="0"/>
              <w:rPr>
                <w:sz w:val="5"/>
                <w:szCs w:val="5"/>
                <w:color w:val="auto"/>
              </w:rPr>
            </w:pPr>
          </w:p>
        </w:tc>
        <w:tc>
          <w:tcPr>
            <w:tcW w:w="2720" w:type="dxa"/>
            <w:vAlign w:val="bottom"/>
            <w:vMerge w:val="continue"/>
          </w:tcPr>
          <w:p>
            <w:pPr>
              <w:spacing w:after="0"/>
              <w:rPr>
                <w:sz w:val="5"/>
                <w:szCs w:val="5"/>
                <w:color w:val="auto"/>
              </w:rPr>
            </w:pPr>
          </w:p>
        </w:tc>
        <w:tc>
          <w:tcPr>
            <w:tcW w:w="5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7"/>
              </w:rPr>
              <w:t>Aviv Efrat</w:t>
            </w:r>
          </w:p>
        </w:tc>
        <w:tc>
          <w:tcPr>
            <w:tcW w:w="0" w:type="dxa"/>
            <w:vAlign w:val="bottom"/>
          </w:tcPr>
          <w:p>
            <w:pPr>
              <w:spacing w:after="0"/>
              <w:rPr>
                <w:sz w:val="1"/>
                <w:szCs w:val="1"/>
                <w:color w:val="auto"/>
              </w:rPr>
            </w:pPr>
          </w:p>
        </w:tc>
      </w:tr>
      <w:tr>
        <w:trPr>
          <w:trHeight w:val="205"/>
        </w:trPr>
        <w:tc>
          <w:tcPr>
            <w:tcW w:w="3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Chief Financial Officer and Treasurer</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c>
          <w:tcPr>
            <w:tcW w:w="0" w:type="dxa"/>
            <w:vAlign w:val="bottom"/>
          </w:tcPr>
          <w:p>
            <w:pPr>
              <w:spacing w:after="0"/>
              <w:rPr>
                <w:sz w:val="1"/>
                <w:szCs w:val="1"/>
                <w:color w:val="auto"/>
              </w:rPr>
            </w:pPr>
          </w:p>
        </w:tc>
      </w:tr>
      <w:tr>
        <w:trPr>
          <w:trHeight w:val="743"/>
        </w:trPr>
        <w:tc>
          <w:tcPr>
            <w:tcW w:w="3400" w:type="dxa"/>
            <w:vAlign w:val="bottom"/>
          </w:tcPr>
          <w:p>
            <w:pPr>
              <w:spacing w:after="0"/>
              <w:rPr>
                <w:sz w:val="24"/>
                <w:szCs w:val="24"/>
                <w:color w:val="auto"/>
              </w:rPr>
            </w:pPr>
          </w:p>
        </w:tc>
        <w:tc>
          <w:tcPr>
            <w:tcW w:w="2720" w:type="dxa"/>
            <w:vAlign w:val="bottom"/>
          </w:tcPr>
          <w:p>
            <w:pPr>
              <w:jc w:val="right"/>
              <w:ind w:right="348"/>
              <w:spacing w:after="0"/>
              <w:rPr>
                <w:sz w:val="20"/>
                <w:szCs w:val="20"/>
                <w:color w:val="auto"/>
              </w:rPr>
            </w:pPr>
            <w:r>
              <w:rPr>
                <w:rFonts w:ascii="Arial" w:cs="Arial" w:eastAsia="Arial" w:hAnsi="Arial"/>
                <w:sz w:val="14"/>
                <w:szCs w:val="14"/>
                <w:color w:val="auto"/>
              </w:rPr>
              <w:t>38</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36" w:lineRule="exact"/>
        <w:rPr>
          <w:sz w:val="20"/>
          <w:szCs w:val="20"/>
          <w:color w:val="auto"/>
        </w:rPr>
      </w:pPr>
    </w:p>
    <w:p>
      <w:pPr>
        <w:ind w:left="600" w:hanging="145"/>
        <w:spacing w:after="0"/>
        <w:tabs>
          <w:tab w:leader="none" w:pos="600" w:val="left"/>
        </w:tabs>
        <w:numPr>
          <w:ilvl w:val="1"/>
          <w:numId w:val="2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36" w:lineRule="exact"/>
        <w:rPr>
          <w:rFonts w:ascii="Arial" w:cs="Arial" w:eastAsia="Arial" w:hAnsi="Arial"/>
          <w:sz w:val="14"/>
          <w:szCs w:val="14"/>
          <w:color w:val="auto"/>
        </w:rPr>
      </w:pPr>
    </w:p>
    <w:p>
      <w:pPr>
        <w:ind w:right="480" w:firstLine="441"/>
        <w:spacing w:after="0" w:line="253" w:lineRule="auto"/>
        <w:tabs>
          <w:tab w:leader="none" w:pos="577"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right="200" w:firstLine="455"/>
        <w:spacing w:after="0" w:line="253" w:lineRule="auto"/>
        <w:tabs>
          <w:tab w:leader="none" w:pos="591"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right="440" w:firstLine="695"/>
        <w:spacing w:after="0" w:line="335" w:lineRule="auto"/>
        <w:tabs>
          <w:tab w:leader="none" w:pos="832" w:val="left"/>
        </w:tabs>
        <w:numPr>
          <w:ilvl w:val="2"/>
          <w:numId w:val="3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right="620" w:firstLine="692"/>
        <w:spacing w:after="0" w:line="335" w:lineRule="auto"/>
        <w:tabs>
          <w:tab w:leader="none" w:pos="838" w:val="left"/>
        </w:tabs>
        <w:numPr>
          <w:ilvl w:val="2"/>
          <w:numId w:val="3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right="340" w:firstLine="719"/>
        <w:spacing w:after="0" w:line="253" w:lineRule="auto"/>
        <w:tabs>
          <w:tab w:leader="none" w:pos="856" w:val="left"/>
        </w:tabs>
        <w:numPr>
          <w:ilvl w:val="3"/>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right="480" w:firstLine="705"/>
        <w:spacing w:after="0" w:line="290" w:lineRule="auto"/>
        <w:tabs>
          <w:tab w:leader="none" w:pos="850" w:val="left"/>
        </w:tabs>
        <w:numPr>
          <w:ilvl w:val="3"/>
          <w:numId w:val="3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3"/>
          <w:szCs w:val="13"/>
          <w:color w:val="auto"/>
        </w:rPr>
      </w:pPr>
    </w:p>
    <w:p>
      <w:pPr>
        <w:ind w:right="380" w:firstLine="447"/>
        <w:spacing w:after="0" w:line="253" w:lineRule="auto"/>
        <w:tabs>
          <w:tab w:leader="none" w:pos="583"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right="100" w:firstLine="719"/>
        <w:spacing w:after="0" w:line="253" w:lineRule="auto"/>
        <w:tabs>
          <w:tab w:leader="none" w:pos="856" w:val="left"/>
        </w:tabs>
        <w:numPr>
          <w:ilvl w:val="3"/>
          <w:numId w:val="3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860" w:hanging="161"/>
        <w:spacing w:after="0"/>
        <w:tabs>
          <w:tab w:leader="none" w:pos="860" w:val="left"/>
        </w:tabs>
        <w:numPr>
          <w:ilvl w:val="3"/>
          <w:numId w:val="3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Dated: August 7, 2019</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Arthur H. Penn</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ind w:left="10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1240"/>
          </w:cols>
          <w:pgMar w:left="320" w:top="11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36" w:lineRule="exact"/>
        <w:rPr>
          <w:sz w:val="20"/>
          <w:szCs w:val="20"/>
          <w:color w:val="auto"/>
        </w:rPr>
      </w:pPr>
    </w:p>
    <w:p>
      <w:pPr>
        <w:ind w:left="600" w:hanging="145"/>
        <w:spacing w:after="0"/>
        <w:tabs>
          <w:tab w:leader="none" w:pos="600" w:val="left"/>
        </w:tabs>
        <w:numPr>
          <w:ilvl w:val="1"/>
          <w:numId w:val="32"/>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36" w:lineRule="exact"/>
        <w:rPr>
          <w:rFonts w:ascii="Arial" w:cs="Arial" w:eastAsia="Arial" w:hAnsi="Arial"/>
          <w:sz w:val="14"/>
          <w:szCs w:val="14"/>
          <w:color w:val="auto"/>
        </w:rPr>
      </w:pPr>
    </w:p>
    <w:p>
      <w:pPr>
        <w:ind w:right="480" w:firstLine="441"/>
        <w:spacing w:after="0" w:line="253" w:lineRule="auto"/>
        <w:tabs>
          <w:tab w:leader="none" w:pos="577"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580" w:hanging="139"/>
        <w:spacing w:after="0"/>
        <w:tabs>
          <w:tab w:leader="none" w:pos="5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24" w:lineRule="exact"/>
        <w:rPr>
          <w:rFonts w:ascii="Arial" w:cs="Arial" w:eastAsia="Arial" w:hAnsi="Arial"/>
          <w:sz w:val="13"/>
          <w:szCs w:val="13"/>
          <w:color w:val="auto"/>
        </w:rPr>
      </w:pPr>
    </w:p>
    <w:p>
      <w:pPr>
        <w:ind w:right="440" w:firstLine="695"/>
        <w:spacing w:after="0" w:line="335" w:lineRule="auto"/>
        <w:tabs>
          <w:tab w:leader="none" w:pos="832" w:val="left"/>
        </w:tabs>
        <w:numPr>
          <w:ilvl w:val="2"/>
          <w:numId w:val="3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right="620" w:firstLine="692"/>
        <w:spacing w:after="0" w:line="335" w:lineRule="auto"/>
        <w:tabs>
          <w:tab w:leader="none" w:pos="838" w:val="left"/>
        </w:tabs>
        <w:numPr>
          <w:ilvl w:val="2"/>
          <w:numId w:val="3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right="340" w:firstLine="719"/>
        <w:spacing w:after="0" w:line="253" w:lineRule="auto"/>
        <w:tabs>
          <w:tab w:leader="none" w:pos="856" w:val="left"/>
        </w:tabs>
        <w:numPr>
          <w:ilvl w:val="3"/>
          <w:numId w:val="3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right="480" w:firstLine="705"/>
        <w:spacing w:after="0" w:line="290" w:lineRule="auto"/>
        <w:tabs>
          <w:tab w:leader="none" w:pos="850" w:val="left"/>
        </w:tabs>
        <w:numPr>
          <w:ilvl w:val="3"/>
          <w:numId w:val="3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3"/>
          <w:szCs w:val="13"/>
          <w:color w:val="auto"/>
        </w:rPr>
      </w:pPr>
    </w:p>
    <w:p>
      <w:pPr>
        <w:ind w:right="380" w:firstLine="447"/>
        <w:spacing w:after="0" w:line="253" w:lineRule="auto"/>
        <w:tabs>
          <w:tab w:leader="none" w:pos="583" w:val="left"/>
        </w:tabs>
        <w:numPr>
          <w:ilvl w:val="1"/>
          <w:numId w:val="3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right="100" w:firstLine="719"/>
        <w:spacing w:after="0" w:line="253" w:lineRule="auto"/>
        <w:tabs>
          <w:tab w:leader="none" w:pos="856" w:val="left"/>
        </w:tabs>
        <w:numPr>
          <w:ilvl w:val="3"/>
          <w:numId w:val="3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860" w:hanging="161"/>
        <w:spacing w:after="0"/>
        <w:tabs>
          <w:tab w:leader="none" w:pos="860" w:val="left"/>
        </w:tabs>
        <w:numPr>
          <w:ilvl w:val="3"/>
          <w:numId w:val="3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Dated: August 7, 2019</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Aviv Efrat</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ind w:left="10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connection with this Report on Form 10-Q for the three and nine months ended June 30, 2019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Arthur H. Penn, Chief Executive Officer of the Registrant, hereby certify, to the best of my knowledge, that:</w:t>
      </w:r>
    </w:p>
    <w:p>
      <w:pPr>
        <w:spacing w:after="0" w:line="124" w:lineRule="exact"/>
        <w:rPr>
          <w:sz w:val="20"/>
          <w:szCs w:val="20"/>
          <w:color w:val="auto"/>
        </w:rPr>
      </w:pPr>
    </w:p>
    <w:p>
      <w:pPr>
        <w:ind w:left="780" w:hanging="305"/>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780" w:hanging="305"/>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Name:</w:t>
        <w:tab/>
        <w:t>Arthur H. Penn</w:t>
      </w:r>
    </w:p>
    <w:p>
      <w:pPr>
        <w:sectPr>
          <w:pgSz w:w="11900" w:h="16838" w:orient="portrait"/>
          <w:cols w:equalWidth="0" w:num="1">
            <w:col w:w="11240"/>
          </w:cols>
          <w:pgMar w:left="320" w:top="11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Executive Officer</w:t>
      </w:r>
    </w:p>
    <w:p>
      <w:pPr>
        <w:spacing w:after="0" w:line="32" w:lineRule="exact"/>
        <w:rPr>
          <w:sz w:val="20"/>
          <w:szCs w:val="20"/>
          <w:color w:val="auto"/>
        </w:rPr>
      </w:pPr>
    </w:p>
    <w:p>
      <w:pPr>
        <w:sectPr>
          <w:pgSz w:w="11900" w:h="16838" w:orient="portrait"/>
          <w:cols w:equalWidth="0" w:num="2">
            <w:col w:w="320" w:space="260"/>
            <w:col w:w="10660"/>
          </w:cols>
          <w:pgMar w:left="320" w:top="118" w:right="33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August 7, 2019</w:t>
      </w:r>
    </w:p>
    <w:p>
      <w:pPr>
        <w:sectPr>
          <w:pgSz w:w="11900" w:h="16838" w:orient="portrait"/>
          <w:cols w:equalWidth="0" w:num="2">
            <w:col w:w="320" w:space="260"/>
            <w:col w:w="10660"/>
          </w:cols>
          <w:pgMar w:left="320" w:top="118" w:right="3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connection with this Report on Form 10-Q for the three and nine months ended June 30, 2019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Aviv Efrat, Chief Financial Officer of the Registrant, hereby certify, to the best of my knowledge, that:</w:t>
      </w:r>
    </w:p>
    <w:p>
      <w:pPr>
        <w:spacing w:after="0" w:line="124" w:lineRule="exact"/>
        <w:rPr>
          <w:sz w:val="20"/>
          <w:szCs w:val="20"/>
          <w:color w:val="auto"/>
        </w:rPr>
      </w:pPr>
    </w:p>
    <w:p>
      <w:pPr>
        <w:ind w:left="780" w:hanging="305"/>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780" w:hanging="305"/>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Name:</w:t>
        <w:tab/>
        <w:t>Aviv Efrat</w:t>
      </w:r>
    </w:p>
    <w:p>
      <w:pPr>
        <w:sectPr>
          <w:pgSz w:w="11900" w:h="16838" w:orient="portrait"/>
          <w:cols w:equalWidth="0" w:num="1">
            <w:col w:w="11240"/>
          </w:cols>
          <w:pgMar w:left="320" w:top="11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Financial Officer</w:t>
      </w:r>
    </w:p>
    <w:p>
      <w:pPr>
        <w:spacing w:after="0" w:line="32" w:lineRule="exact"/>
        <w:rPr>
          <w:sz w:val="20"/>
          <w:szCs w:val="20"/>
          <w:color w:val="auto"/>
        </w:rPr>
      </w:pPr>
    </w:p>
    <w:p>
      <w:pPr>
        <w:sectPr>
          <w:pgSz w:w="11900" w:h="16838" w:orient="portrait"/>
          <w:cols w:equalWidth="0" w:num="2">
            <w:col w:w="320" w:space="260"/>
            <w:col w:w="10660"/>
          </w:cols>
          <w:pgMar w:left="320" w:top="118" w:right="33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August 7, 2019</w:t>
      </w:r>
    </w:p>
    <w:sectPr>
      <w:pgSz w:w="11900" w:h="16838" w:orient="portrait"/>
      <w:cols w:equalWidth="0" w:num="2">
        <w:col w:w="320" w:space="260"/>
        <w:col w:w="1066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lowerLetter"/>
      <w:start w:val="2"/>
    </w:lvl>
  </w:abstractNum>
  <w:abstractNum w:abstractNumId="7">
    <w:nsid w:val="721DA317"/>
    <w:multiLevelType w:val="hybridMultilevel"/>
    <w:lvl w:ilvl="0">
      <w:lvlJc w:val="left"/>
      <w:lvlText w:val="(%1)"/>
      <w:numFmt w:val="lowerLetter"/>
      <w:start w:val="3"/>
    </w:lvl>
  </w:abstractNum>
  <w:abstractNum w:abstractNumId="8">
    <w:nsid w:val="2443A858"/>
    <w:multiLevelType w:val="hybridMultilevel"/>
    <w:lvl w:ilvl="0">
      <w:lvlJc w:val="left"/>
      <w:lvlText w:val="(%1)"/>
      <w:numFmt w:val="lowerLetter"/>
      <w:start w:val="4"/>
    </w:lvl>
  </w:abstractNum>
  <w:abstractNum w:abstractNumId="9">
    <w:nsid w:val="2D1D5AE9"/>
    <w:multiLevelType w:val="hybridMultilevel"/>
    <w:lvl w:ilvl="0">
      <w:lvlJc w:val="left"/>
      <w:lvlText w:val="(%1)"/>
      <w:numFmt w:val="lowerLetter"/>
      <w:start w:val="5"/>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lowerLetter"/>
      <w:start w:val="6"/>
    </w:lvl>
  </w:abstractNum>
  <w:abstractNum w:abstractNumId="12">
    <w:nsid w:val="8EDBDAB"/>
    <w:multiLevelType w:val="hybridMultilevel"/>
    <w:lvl w:ilvl="0">
      <w:lvlJc w:val="left"/>
      <w:lvlText w:val="(%1)"/>
      <w:numFmt w:val="lowerLetter"/>
      <w:start w:val="7"/>
    </w:lvl>
  </w:abstractNum>
  <w:abstractNum w:abstractNumId="13">
    <w:nsid w:val="79838CB2"/>
    <w:multiLevelType w:val="hybridMultilevel"/>
    <w:lvl w:ilvl="0">
      <w:lvlJc w:val="left"/>
      <w:lvlText w:val="(%1)"/>
      <w:numFmt w:val="lowerLetter"/>
      <w:start w:val="8"/>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9">
    <w:nsid w:val="4516DDE9"/>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0">
    <w:nsid w:val="3006C83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1">
    <w:nsid w:val="614FD4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2">
    <w:nsid w:val="419AC241"/>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3">
    <w:nsid w:val="5577F8E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67" Type="http://schemas.openxmlformats.org/officeDocument/2006/relationships/hyperlink" Target="http://www.sec.gov/Archives/edgar/data/1383414/000119312507075646/dex99a.htm" TargetMode="External"/><Relationship Id="rId68" Type="http://schemas.openxmlformats.org/officeDocument/2006/relationships/hyperlink" Target="http://www.sec.gov/Archives/edgar/data/1383414/000119312515393210/d59522dex31.htm" TargetMode="External"/><Relationship Id="rId69" Type="http://schemas.openxmlformats.org/officeDocument/2006/relationships/hyperlink" Target="http://www.sec.gov/Archives/edgar/data/1383414/000119312508072557/dex99d1.htm" TargetMode="External"/><Relationship Id="rId70" Type="http://schemas.openxmlformats.org/officeDocument/2006/relationships/hyperlink" Target="http://www.sec.gov/Archives/edgar/data/1383414/000119312519105161/d630383dex99g3.htm" TargetMode="External"/><Relationship Id="rId71"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2020-05-05T15:13:28Z</dcterms:created>
  <dcterms:modified xsi:type="dcterms:W3CDTF">2020-05-05T15:13:28Z</dcterms:modified>
</cp:coreProperties>
</file>