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February 03, 2016</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9" w:lineRule="exact"/>
        <w:rPr>
          <w:sz w:val="24"/>
          <w:szCs w:val="24"/>
          <w:color w:val="auto"/>
        </w:rPr>
      </w:pPr>
    </w:p>
    <w:p>
      <w:pPr>
        <w:ind w:left="40" w:right="100"/>
        <w:spacing w:after="0"/>
        <w:rPr>
          <w:sz w:val="20"/>
          <w:szCs w:val="20"/>
          <w:color w:val="auto"/>
        </w:rPr>
      </w:pPr>
      <w:r>
        <w:rPr>
          <w:rFonts w:ascii="Arial" w:cs="Arial" w:eastAsia="Arial" w:hAnsi="Arial"/>
          <w:sz w:val="22"/>
          <w:szCs w:val="22"/>
          <w:color w:val="auto"/>
        </w:rPr>
        <w:t>On February 3, 2016, PennantPark Investment Corporation issued a press release announcing financial results for the first fiscal quarter ended December 31, 2015 and a fee waiver. A copy of the press release is furnished as Exhibit 99.1 to this report pursuant to Item 2.02 on Form 8-K and Regulation FD.</w:t>
      </w:r>
    </w:p>
    <w:p>
      <w:pPr>
        <w:spacing w:after="0" w:line="213" w:lineRule="exact"/>
        <w:rPr>
          <w:sz w:val="24"/>
          <w:szCs w:val="24"/>
          <w:color w:val="auto"/>
        </w:rPr>
      </w:pPr>
    </w:p>
    <w:p>
      <w:pPr>
        <w:ind w:left="40" w:right="60"/>
        <w:spacing w:after="0" w:line="249" w:lineRule="auto"/>
        <w:rPr>
          <w:sz w:val="20"/>
          <w:szCs w:val="20"/>
          <w:color w:val="auto"/>
        </w:rPr>
      </w:pPr>
      <w:r>
        <w:rPr>
          <w:rFonts w:ascii="Arial" w:cs="Arial" w:eastAsia="Arial" w:hAnsi="Arial"/>
          <w:sz w:val="21"/>
          <w:szCs w:val="21"/>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205"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20"/>
        <w:spacing w:after="0" w:line="273" w:lineRule="auto"/>
        <w:rPr>
          <w:sz w:val="20"/>
          <w:szCs w:val="20"/>
          <w:color w:val="auto"/>
        </w:rPr>
      </w:pPr>
      <w:r>
        <w:rPr>
          <w:rFonts w:ascii="Arial" w:cs="Arial" w:eastAsia="Arial" w:hAnsi="Arial"/>
          <w:sz w:val="19"/>
          <w:szCs w:val="19"/>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ectPr>
          <w:pgSz w:w="11900" w:h="16884" w:orient="portrait"/>
          <w:cols w:equalWidth="0" w:num="1">
            <w:col w:w="11200"/>
          </w:cols>
          <w:pgMar w:left="320" w:top="828" w:right="379" w:bottom="0" w:gutter="0" w:footer="0" w:header="0"/>
        </w:sectPr>
      </w:pPr>
    </w:p>
    <w:bookmarkStart w:id="1" w:name="page2"/>
    <w:bookmarkEnd w:id="1"/>
    <w:p>
      <w:pPr>
        <w:spacing w:after="0" w:line="252" w:lineRule="auto"/>
        <w:rPr>
          <w:sz w:val="20"/>
          <w:szCs w:val="20"/>
          <w:color w:val="auto"/>
        </w:rPr>
      </w:pPr>
      <w:r>
        <w:rPr>
          <w:rFonts w:ascii="Arial" w:cs="Arial" w:eastAsia="Arial" w:hAnsi="Arial"/>
          <w:sz w:val="21"/>
          <w:szCs w:val="21"/>
          <w:color w:val="auto"/>
        </w:rPr>
        <w:t>PennantPark Investment Corporation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49" w:lineRule="exact"/>
        <w:rPr>
          <w:sz w:val="20"/>
          <w:szCs w:val="20"/>
          <w:color w:val="auto"/>
        </w:rPr>
      </w:pPr>
    </w:p>
    <w:p>
      <w:pPr>
        <w:ind w:left="660" w:right="882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4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20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February 03,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60" w:firstLine="324"/>
        <w:spacing w:after="0" w:line="250" w:lineRule="auto"/>
        <w:rPr>
          <w:sz w:val="20"/>
          <w:szCs w:val="20"/>
          <w:color w:val="auto"/>
        </w:rPr>
      </w:pPr>
      <w:r>
        <w:rPr>
          <w:rFonts w:ascii="Arial" w:cs="Arial" w:eastAsia="Arial" w:hAnsi="Arial"/>
          <w:sz w:val="22"/>
          <w:szCs w:val="22"/>
          <w:color w:val="auto"/>
        </w:rPr>
        <w:t>Pursuant to the requirements of the Exchange Act,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920" w:type="dxa"/>
            <w:vAlign w:val="bottom"/>
          </w:tcPr>
          <w:p>
            <w:pPr>
              <w:spacing w:after="0"/>
              <w:rPr>
                <w:sz w:val="20"/>
                <w:szCs w:val="20"/>
                <w:color w:val="auto"/>
              </w:rPr>
            </w:pPr>
            <w:r>
              <w:rPr>
                <w:rFonts w:ascii="Arial" w:cs="Arial" w:eastAsia="Arial" w:hAnsi="Arial"/>
                <w:sz w:val="22"/>
                <w:szCs w:val="22"/>
                <w:color w:val="auto"/>
              </w:rPr>
              <w:t>Dated: February 03, 2016</w:t>
            </w:r>
          </w:p>
        </w:tc>
        <w:tc>
          <w:tcPr>
            <w:tcW w:w="6520" w:type="dxa"/>
            <w:vAlign w:val="bottom"/>
            <w:gridSpan w:val="3"/>
          </w:tcPr>
          <w:p>
            <w:pPr>
              <w:ind w:left="170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920" w:type="dxa"/>
            <w:vAlign w:val="bottom"/>
          </w:tcPr>
          <w:p>
            <w:pPr>
              <w:spacing w:after="0"/>
              <w:rPr>
                <w:sz w:val="24"/>
                <w:szCs w:val="24"/>
                <w:color w:val="auto"/>
              </w:rPr>
            </w:pPr>
          </w:p>
        </w:tc>
        <w:tc>
          <w:tcPr>
            <w:tcW w:w="6520" w:type="dxa"/>
            <w:vAlign w:val="bottom"/>
            <w:gridSpan w:val="3"/>
          </w:tcPr>
          <w:p>
            <w:pPr>
              <w:ind w:left="1700"/>
              <w:spacing w:after="0"/>
              <w:rPr>
                <w:sz w:val="20"/>
                <w:szCs w:val="20"/>
                <w:color w:val="auto"/>
              </w:rPr>
            </w:pPr>
            <w:r>
              <w:rPr>
                <w:rFonts w:ascii="Arial" w:cs="Arial" w:eastAsia="Arial" w:hAnsi="Arial"/>
                <w:sz w:val="22"/>
                <w:szCs w:val="22"/>
                <w:color w:val="auto"/>
              </w:rPr>
              <w:t>By: /s/ Aviv Efrat</w:t>
            </w:r>
          </w:p>
        </w:tc>
      </w:tr>
      <w:tr>
        <w:trPr>
          <w:trHeight w:val="20"/>
        </w:trPr>
        <w:tc>
          <w:tcPr>
            <w:tcW w:w="3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920" w:type="dxa"/>
            <w:vAlign w:val="bottom"/>
          </w:tcPr>
          <w:p>
            <w:pPr>
              <w:spacing w:after="0"/>
              <w:rPr>
                <w:sz w:val="21"/>
                <w:szCs w:val="21"/>
                <w:color w:val="auto"/>
              </w:rPr>
            </w:pPr>
          </w:p>
        </w:tc>
        <w:tc>
          <w:tcPr>
            <w:tcW w:w="6520" w:type="dxa"/>
            <w:vAlign w:val="bottom"/>
            <w:gridSpan w:val="3"/>
          </w:tcPr>
          <w:p>
            <w:pPr>
              <w:ind w:left="194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920" w:type="dxa"/>
            <w:vAlign w:val="bottom"/>
          </w:tcPr>
          <w:p>
            <w:pPr>
              <w:spacing w:after="0"/>
              <w:rPr>
                <w:sz w:val="23"/>
                <w:szCs w:val="23"/>
                <w:color w:val="auto"/>
              </w:rPr>
            </w:pPr>
          </w:p>
        </w:tc>
        <w:tc>
          <w:tcPr>
            <w:tcW w:w="6520" w:type="dxa"/>
            <w:vAlign w:val="bottom"/>
            <w:gridSpan w:val="3"/>
          </w:tcPr>
          <w:p>
            <w:pPr>
              <w:ind w:left="1960"/>
              <w:spacing w:after="0"/>
              <w:rPr>
                <w:sz w:val="20"/>
                <w:szCs w:val="20"/>
                <w:color w:val="auto"/>
              </w:rPr>
            </w:pPr>
            <w:r>
              <w:rPr>
                <w:rFonts w:ascii="Arial" w:cs="Arial" w:eastAsia="Arial" w:hAnsi="Arial"/>
                <w:sz w:val="22"/>
                <w:szCs w:val="22"/>
                <w:i w:val="1"/>
                <w:iCs w:val="1"/>
                <w:color w:val="auto"/>
              </w:rPr>
              <w:t>Chief Financial Officer and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52"/>
              <w:spacing w:after="0"/>
              <w:rPr>
                <w:sz w:val="20"/>
                <w:szCs w:val="20"/>
                <w:color w:val="auto"/>
              </w:rPr>
            </w:pPr>
            <w:r>
              <w:rPr>
                <w:rFonts w:ascii="Arial" w:cs="Arial" w:eastAsia="Arial" w:hAnsi="Arial"/>
                <w:sz w:val="22"/>
                <w:szCs w:val="22"/>
                <w:color w:val="auto"/>
                <w:w w:val="87"/>
              </w:rPr>
              <w:t>February 03, 2016</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60" w:top="361" w:right="439" w:bottom="1440" w:gutter="0" w:footer="0" w:header="0"/>
        </w:sectPr>
      </w:pPr>
    </w:p>
    <w:bookmarkStart w:id="2" w:name="page3"/>
    <w:bookmarkEnd w:id="2"/>
    <w:p>
      <w:pPr>
        <w:ind w:right="120"/>
        <w:spacing w:after="0" w:line="257" w:lineRule="auto"/>
        <w:rPr>
          <w:sz w:val="20"/>
          <w:szCs w:val="20"/>
          <w:color w:val="auto"/>
        </w:rPr>
      </w:pPr>
      <w:r>
        <w:rPr>
          <w:rFonts w:ascii="Arial" w:cs="Arial" w:eastAsia="Arial" w:hAnsi="Arial"/>
          <w:sz w:val="22"/>
          <w:szCs w:val="22"/>
          <w:b w:val="1"/>
          <w:bCs w:val="1"/>
          <w:color w:val="auto"/>
        </w:rPr>
        <w:t>PennantPark Investment Corporation Announces Financial Results for the Quarter Ended December 31, 2015 and a Fee Waiver</w:t>
      </w:r>
    </w:p>
    <w:p>
      <w:pPr>
        <w:spacing w:after="0" w:line="167" w:lineRule="exact"/>
        <w:rPr>
          <w:sz w:val="20"/>
          <w:szCs w:val="20"/>
          <w:color w:val="auto"/>
        </w:rPr>
      </w:pPr>
    </w:p>
    <w:p>
      <w:pPr>
        <w:ind w:right="220"/>
        <w:spacing w:after="0" w:line="274" w:lineRule="auto"/>
        <w:rPr>
          <w:sz w:val="20"/>
          <w:szCs w:val="20"/>
          <w:color w:val="auto"/>
        </w:rPr>
      </w:pPr>
      <w:r>
        <w:rPr>
          <w:rFonts w:ascii="Arial" w:cs="Arial" w:eastAsia="Arial" w:hAnsi="Arial"/>
          <w:sz w:val="21"/>
          <w:szCs w:val="21"/>
          <w:color w:val="auto"/>
        </w:rPr>
        <w:t>NEW YORK, NY -- (Marketwired - February 03, 2016) - PennantPark Investment Corporation (NASDAQ: PNNT) announced today financial results for the first fiscal quarter ended December 31, 2015 and a management fee waiver.</w:t>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HIGHLIGHTS</w:t>
      </w:r>
    </w:p>
    <w:p>
      <w:pPr>
        <w:spacing w:after="0" w:line="238" w:lineRule="auto"/>
        <w:rPr>
          <w:sz w:val="20"/>
          <w:szCs w:val="20"/>
          <w:color w:val="auto"/>
        </w:rPr>
      </w:pPr>
      <w:r>
        <w:rPr>
          <w:rFonts w:ascii="Courier New" w:cs="Courier New" w:eastAsia="Courier New" w:hAnsi="Courier New"/>
          <w:sz w:val="18"/>
          <w:szCs w:val="18"/>
          <w:color w:val="auto"/>
        </w:rPr>
        <w:t>Quarter ended December 31, 2015</w:t>
      </w:r>
    </w:p>
    <w:p>
      <w:pPr>
        <w:spacing w:after="0" w:line="238" w:lineRule="auto"/>
        <w:rPr>
          <w:sz w:val="20"/>
          <w:szCs w:val="20"/>
          <w:color w:val="auto"/>
        </w:rPr>
      </w:pPr>
      <w:r>
        <w:rPr>
          <w:rFonts w:ascii="Courier New" w:cs="Courier New" w:eastAsia="Courier New" w:hAnsi="Courier New"/>
          <w:sz w:val="18"/>
          <w:szCs w:val="18"/>
          <w:color w:val="auto"/>
        </w:rPr>
        <w:t>($in millions,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20" w:type="dxa"/>
            <w:vAlign w:val="bottom"/>
          </w:tcPr>
          <w:p>
            <w:pPr>
              <w:spacing w:after="0"/>
              <w:rPr>
                <w:sz w:val="20"/>
                <w:szCs w:val="20"/>
                <w:color w:val="auto"/>
              </w:rPr>
            </w:pPr>
            <w:r>
              <w:rPr>
                <w:rFonts w:ascii="Courier New" w:cs="Courier New" w:eastAsia="Courier New" w:hAnsi="Courier New"/>
                <w:sz w:val="18"/>
                <w:szCs w:val="18"/>
                <w:color w:val="auto"/>
              </w:rPr>
              <w:t>Assets and Liabilities:</w:t>
            </w: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 portfolio</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1,261.9</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assets</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647.3</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9.02</w:t>
            </w:r>
          </w:p>
        </w:tc>
      </w:tr>
      <w:tr>
        <w:trPr>
          <w:trHeight w:val="405"/>
        </w:trPr>
        <w:tc>
          <w:tcPr>
            <w:tcW w:w="6020" w:type="dxa"/>
            <w:vAlign w:val="bottom"/>
          </w:tcPr>
          <w:p>
            <w:pPr>
              <w:ind w:left="220"/>
              <w:spacing w:after="0"/>
              <w:rPr>
                <w:sz w:val="20"/>
                <w:szCs w:val="20"/>
                <w:color w:val="auto"/>
              </w:rPr>
            </w:pPr>
            <w:r>
              <w:rPr>
                <w:rFonts w:ascii="Courier New" w:cs="Courier New" w:eastAsia="Courier New" w:hAnsi="Courier New"/>
                <w:sz w:val="18"/>
                <w:szCs w:val="18"/>
                <w:color w:val="auto"/>
              </w:rPr>
              <w:t>Credit Facility</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134.7</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2019 Notes</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249.2</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SBA debentures</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146.4</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2025 Notes</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71.1</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Yield on debt investments at quarter-end</w:t>
            </w:r>
          </w:p>
        </w:tc>
        <w:tc>
          <w:tcPr>
            <w:tcW w:w="10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12.2%</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Operating Results:</w:t>
            </w: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Management fee waiver</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0.02</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16.8</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GAAP net investment income per share</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0.23</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Provision for taxes per share</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0.02</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Core net investment income per share (1)</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0.25</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Distributions declared per share</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0.28</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Portfolio Activity:</w:t>
            </w: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investments</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130.3</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Sales and repayments of investments</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108.1</w:t>
            </w:r>
          </w:p>
        </w:tc>
      </w:tr>
      <w:tr>
        <w:trPr>
          <w:trHeight w:val="405"/>
        </w:trPr>
        <w:tc>
          <w:tcPr>
            <w:tcW w:w="6020" w:type="dxa"/>
            <w:vAlign w:val="bottom"/>
          </w:tcPr>
          <w:p>
            <w:pPr>
              <w:ind w:left="220"/>
              <w:spacing w:after="0"/>
              <w:rPr>
                <w:sz w:val="20"/>
                <w:szCs w:val="20"/>
                <w:color w:val="auto"/>
              </w:rPr>
            </w:pPr>
            <w:r>
              <w:rPr>
                <w:rFonts w:ascii="Courier New" w:cs="Courier New" w:eastAsia="Courier New" w:hAnsi="Courier New"/>
                <w:sz w:val="18"/>
                <w:szCs w:val="18"/>
                <w:color w:val="auto"/>
              </w:rPr>
              <w:t>Number of new portfolio companies invested</w:t>
            </w:r>
          </w:p>
        </w:tc>
        <w:tc>
          <w:tcPr>
            <w:tcW w:w="104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 existing portfolio companies invested</w:t>
            </w:r>
          </w:p>
        </w:tc>
        <w:tc>
          <w:tcPr>
            <w:tcW w:w="104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 portfolio companies at quarter-end</w:t>
            </w:r>
          </w:p>
        </w:tc>
        <w:tc>
          <w:tcPr>
            <w:tcW w:w="104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62</w:t>
            </w:r>
          </w:p>
        </w:tc>
      </w:tr>
    </w:tbl>
    <w:p>
      <w:pPr>
        <w:spacing w:after="0" w:line="207" w:lineRule="exact"/>
        <w:rPr>
          <w:sz w:val="20"/>
          <w:szCs w:val="20"/>
          <w:color w:val="auto"/>
        </w:rPr>
      </w:pPr>
    </w:p>
    <w:p>
      <w:pPr>
        <w:ind w:left="420" w:right="3220" w:hanging="412"/>
        <w:spacing w:after="0" w:line="237"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Core net investment income is a non-GAAP financial measure. The Company believes that core net investment income provides useful information to investors and management because it reflects the Company's financial performance excluding the costs associated with the provision for taxes. The presentation of this additional information is not meant to be considered in isolation or as a substitute for financial results prepared in accordance with GAAP.</w:t>
      </w:r>
    </w:p>
    <w:p>
      <w:pPr>
        <w:spacing w:after="0" w:line="3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FEBRUARY 4, 2016</w:t>
      </w:r>
    </w:p>
    <w:p>
      <w:pPr>
        <w:spacing w:after="0" w:line="212"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PennantPark Investment Corporation ("we," "our," "us" or "Company") will host a conference call at 10:00 a.m. (Eastern Time) on Thursday, February 4, 2016 to discuss its financial results. All interested parties are welcome to participate. You can access the conference call by dialing (888) 737-3713 approximately 5-10 minutes prior to the call. International callers should dial (913)</w:t>
      </w:r>
    </w:p>
    <w:p>
      <w:pPr>
        <w:spacing w:after="0" w:line="1" w:lineRule="exact"/>
        <w:rPr>
          <w:sz w:val="20"/>
          <w:szCs w:val="20"/>
          <w:color w:val="auto"/>
        </w:rPr>
      </w:pPr>
    </w:p>
    <w:p>
      <w:pPr>
        <w:jc w:val="both"/>
        <w:ind w:right="420"/>
        <w:spacing w:after="0" w:line="234" w:lineRule="auto"/>
        <w:rPr>
          <w:sz w:val="20"/>
          <w:szCs w:val="20"/>
          <w:color w:val="auto"/>
        </w:rPr>
      </w:pPr>
      <w:r>
        <w:rPr>
          <w:rFonts w:ascii="Arial" w:cs="Arial" w:eastAsia="Arial" w:hAnsi="Arial"/>
          <w:sz w:val="22"/>
          <w:szCs w:val="22"/>
          <w:color w:val="auto"/>
        </w:rPr>
        <w:t>981-5588. All callers should reference PennantPark Investment Corporation. An archived replay of the call will be available through February 18, 2016 by calling (888) 203-1112. International callers please dial (719) 457-0820. For all phone replays, please reference conference ID #1826142.</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FEE WAIVER</w:t>
      </w:r>
    </w:p>
    <w:p>
      <w:pPr>
        <w:spacing w:after="0" w:line="212" w:lineRule="exact"/>
        <w:rPr>
          <w:sz w:val="20"/>
          <w:szCs w:val="20"/>
          <w:color w:val="auto"/>
        </w:rPr>
      </w:pPr>
    </w:p>
    <w:p>
      <w:pPr>
        <w:ind w:right="360"/>
        <w:spacing w:after="0" w:line="287" w:lineRule="auto"/>
        <w:rPr>
          <w:sz w:val="20"/>
          <w:szCs w:val="20"/>
          <w:color w:val="auto"/>
        </w:rPr>
      </w:pPr>
      <w:r>
        <w:rPr>
          <w:rFonts w:ascii="Arial" w:cs="Arial" w:eastAsia="Arial" w:hAnsi="Arial"/>
          <w:sz w:val="19"/>
          <w:szCs w:val="19"/>
          <w:color w:val="auto"/>
        </w:rPr>
        <w:t>For the three months ended December 31, 2015 and through December 31, 2016, PennantPark Investment Advisers has voluntarily agreed, in consultation with the board of directors, to waive 16% of both base and incentive fees, correlated to our 16% energy cost exposure (oil &amp; gas and energy &amp; utilities industries) as of December 31, 2015. For the three months ended December 31, 2015 and 2014, the fee waiver was $1.6 million, or $0.02 per share, and zero,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ind w:right="20"/>
        <w:spacing w:after="0" w:line="275" w:lineRule="auto"/>
        <w:rPr>
          <w:sz w:val="20"/>
          <w:szCs w:val="20"/>
          <w:color w:val="auto"/>
        </w:rPr>
      </w:pPr>
      <w:r>
        <w:rPr>
          <w:rFonts w:ascii="Arial" w:cs="Arial" w:eastAsia="Arial" w:hAnsi="Arial"/>
          <w:sz w:val="19"/>
          <w:szCs w:val="19"/>
          <w:color w:val="auto"/>
        </w:rPr>
        <w:t>As of December 31, 2015, our portfolio totaled $1,261.9 million and consisted of $477.2 million of senior secured debt, $481.6 million of second lien secured debt, $173.1 million of subordinated debt and $130.0 million of preferred and common equity. Our debt portfolio consisted of 75% variable-rate investments (including 69% with a London Interbank Offered Rate, or LIBOR, or prime floor) and 25% fixed-rate investments. As of December 31, 2015, we had three companies on non-accrual, representing 5.4% and 1.2% of our overall portfolio on a cost and fair value basis, respectively. Overall, the portfolio had net unrealized depreciation of $165.1 million as of December 31, 2015. Our overall portfolio consisted of 62 companies with an average investment size of $20.4 million, had a weighted average yield on debt investments of 12.2% and was invested 38% in senior secured debt, 38% in second lien secured debt, 14% in subordinated debt and 10% in preferred and common equity.</w:t>
      </w:r>
    </w:p>
    <w:p>
      <w:pPr>
        <w:sectPr>
          <w:pgSz w:w="11900" w:h="16838" w:orient="portrait"/>
          <w:cols w:equalWidth="0" w:num="1">
            <w:col w:w="11240"/>
          </w:cols>
          <w:pgMar w:left="320" w:top="111" w:right="339" w:bottom="0" w:gutter="0" w:footer="0" w:header="0"/>
        </w:sectPr>
      </w:pPr>
    </w:p>
    <w:bookmarkStart w:id="3" w:name="page4"/>
    <w:bookmarkEnd w:id="3"/>
    <w:p>
      <w:pPr>
        <w:spacing w:after="0" w:line="62" w:lineRule="exact"/>
        <w:rPr>
          <w:sz w:val="20"/>
          <w:szCs w:val="20"/>
          <w:color w:val="auto"/>
        </w:rPr>
      </w:pPr>
    </w:p>
    <w:p>
      <w:pPr>
        <w:ind w:right="20"/>
        <w:spacing w:after="0" w:line="275" w:lineRule="auto"/>
        <w:rPr>
          <w:sz w:val="20"/>
          <w:szCs w:val="20"/>
          <w:color w:val="auto"/>
        </w:rPr>
      </w:pPr>
      <w:r>
        <w:rPr>
          <w:rFonts w:ascii="Arial" w:cs="Arial" w:eastAsia="Arial" w:hAnsi="Arial"/>
          <w:sz w:val="19"/>
          <w:szCs w:val="19"/>
          <w:color w:val="auto"/>
        </w:rPr>
        <w:t>As of September 30, 2015, our portfolio totaled $1,299.0 million and consisted of $399.2 million of senior secured debt, $612.5 million of second lien secured debt, $182.5 million of subordinated debt and $104.8 million of preferred and common equity. Our debt portfolio consisted of 71% variable-rate investments (including 65% with a LIBOR or prime floor) and 29% fixed-rate investments. As of September 30, 2015, we had four companies on non-accrual, representing 9.4% and 5.5% of our overall portfolio on a cost and fair value basis, respectively. Overall, the portfolio had net unrealized depreciation of $125.2 million as of September 30, 2015. Our overall portfolio consisted of 61 companies with an average investment size of $21.3 million, had a weighted average yield on debt investments of 12.1% and was invested 31% in senior secured debt, 47% in second lien secured debt, 14% in subordinated debt and 8% in preferred and common equity.</w:t>
      </w:r>
    </w:p>
    <w:p>
      <w:pPr>
        <w:spacing w:after="0" w:line="158" w:lineRule="exact"/>
        <w:rPr>
          <w:sz w:val="20"/>
          <w:szCs w:val="20"/>
          <w:color w:val="auto"/>
        </w:rPr>
      </w:pPr>
    </w:p>
    <w:p>
      <w:pPr>
        <w:jc w:val="both"/>
        <w:ind w:right="360"/>
        <w:spacing w:after="0"/>
        <w:rPr>
          <w:sz w:val="20"/>
          <w:szCs w:val="20"/>
          <w:color w:val="auto"/>
        </w:rPr>
      </w:pPr>
      <w:r>
        <w:rPr>
          <w:rFonts w:ascii="Arial" w:cs="Arial" w:eastAsia="Arial" w:hAnsi="Arial"/>
          <w:sz w:val="22"/>
          <w:szCs w:val="22"/>
          <w:color w:val="auto"/>
        </w:rPr>
        <w:t>For the three months ended December 31, 2015, we invested $130.3 million in four new and six existing portfolio companies with a weighted average yield on debt investments of 11.9%. Sales and repayments of investments for the three months ended December 31, 2015 totaled $108.1 million.</w:t>
      </w:r>
    </w:p>
    <w:p>
      <w:pPr>
        <w:spacing w:after="0" w:line="186" w:lineRule="exact"/>
        <w:rPr>
          <w:sz w:val="20"/>
          <w:szCs w:val="20"/>
          <w:color w:val="auto"/>
        </w:rPr>
      </w:pPr>
    </w:p>
    <w:p>
      <w:pPr>
        <w:jc w:val="both"/>
        <w:ind w:right="260"/>
        <w:spacing w:after="0"/>
        <w:rPr>
          <w:sz w:val="20"/>
          <w:szCs w:val="20"/>
          <w:color w:val="auto"/>
        </w:rPr>
      </w:pPr>
      <w:r>
        <w:rPr>
          <w:rFonts w:ascii="Arial" w:cs="Arial" w:eastAsia="Arial" w:hAnsi="Arial"/>
          <w:sz w:val="22"/>
          <w:szCs w:val="22"/>
          <w:color w:val="auto"/>
        </w:rPr>
        <w:t>For the three months ended December 31, 2014, we invested $158.9 million in three new and five existing portfolio companies with a weighted average yield on debt investments of 12.6%. Sales and repayments of investments for the three months ended December 31, 2014 totaled $79.3 million.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are the results of operations for the three months ended December 31, 2015 and 2014.</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ind w:right="100"/>
        <w:spacing w:after="0" w:line="248" w:lineRule="auto"/>
        <w:rPr>
          <w:sz w:val="20"/>
          <w:szCs w:val="20"/>
          <w:color w:val="auto"/>
        </w:rPr>
      </w:pPr>
      <w:r>
        <w:rPr>
          <w:rFonts w:ascii="Arial" w:cs="Arial" w:eastAsia="Arial" w:hAnsi="Arial"/>
          <w:sz w:val="21"/>
          <w:szCs w:val="21"/>
          <w:color w:val="auto"/>
        </w:rPr>
        <w:t>Investment income for the three months ended December 31, 2015 was $35.3 million and was attributable to $12.9 million from senior secured debt, $17.4 million from second lien secured debt and $5.0 million from subordinated debt, respectively. Investment income for the three months ended December 31, 2014 was $39.2 million and was attributable to $14.6 million from senior secured debt, $15.9 million from second lien secured debt, $8.2 million from subordinated debt and $0.5 million from preferred and common equity. The decrease in investment income per share compared with the same period in the prior year was primarily due to a lower yielding portfolio.</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ind w:right="60"/>
        <w:spacing w:after="0" w:line="246" w:lineRule="auto"/>
        <w:rPr>
          <w:sz w:val="20"/>
          <w:szCs w:val="20"/>
          <w:color w:val="auto"/>
        </w:rPr>
      </w:pPr>
      <w:r>
        <w:rPr>
          <w:rFonts w:ascii="Arial" w:cs="Arial" w:eastAsia="Arial" w:hAnsi="Arial"/>
          <w:sz w:val="21"/>
          <w:szCs w:val="21"/>
          <w:color w:val="auto"/>
        </w:rPr>
        <w:t>Expenses for the three months ended December 31, 2015 totaled $18.4 million. Base management fee for the same period totaled $5.5 million (after a base management fee waiver of $1.0 million), incentive fee totaled $3.2 million (after an incentive fee waiver of $0.6 million), debt related interest and expenses totaled $6.7 million, general and administrative expenses totaled $1.7 million and provision for taxes totaled $1.3 million. Expenses for the three months ended December 31, 2014 totaled $19.7 million. Base management fee for the same period totaled $6.8 million, incentive fee totaled $4.9 million, debt related interest and expenses totaled $6.5 million and general and administrative expenses totaled $1.5 million. The decrease in expenses compared with the same period in the prior year was primarily due to the management fee waiver and lower incentive fees offset by a higher provision for taxes.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Net investment income totaled $16.8 million, or $0.23 per share, for the three months ended December 31, 2015, and $19.5 million, or $0.26 per share, for the three months ended December 31, 2014. Core net investment income, a non-GAAP financial measure, totaled $18.1 million and $19.5 million, or $0.25 and $0.26 per share, for the three months ended December 31, 2015 and 2014, respectively. The decrease in net investment income compared to the same period in the prior year was primarily due to the repayments of higher yielding investments.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ind w:right="280"/>
        <w:spacing w:after="0" w:line="287" w:lineRule="auto"/>
        <w:rPr>
          <w:sz w:val="20"/>
          <w:szCs w:val="20"/>
          <w:color w:val="auto"/>
        </w:rPr>
      </w:pPr>
      <w:r>
        <w:rPr>
          <w:rFonts w:ascii="Arial" w:cs="Arial" w:eastAsia="Arial" w:hAnsi="Arial"/>
          <w:sz w:val="19"/>
          <w:szCs w:val="19"/>
          <w:color w:val="auto"/>
        </w:rPr>
        <w:t>Sales and repayments of investments for the three months ended December 31, 2015 totaled $108.1 million and realized losses totaled $25.4 million. Sales and repayments of investments totaled $79.3 million and realized gains totaled $8.6 million for the three months ended December 31, 2014. The increase in realized losses compared with the same period in the prior year was primarily due to the changes in market conditions of our investments and a higher volume of sales and repayments.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Credit Facility, 2019 Notes and 2025 Notes</w:t>
      </w:r>
    </w:p>
    <w:p>
      <w:pPr>
        <w:spacing w:after="0" w:line="212" w:lineRule="exact"/>
        <w:rPr>
          <w:sz w:val="20"/>
          <w:szCs w:val="20"/>
          <w:color w:val="auto"/>
        </w:rPr>
      </w:pPr>
    </w:p>
    <w:p>
      <w:pPr>
        <w:ind w:right="340"/>
        <w:spacing w:after="0" w:line="282" w:lineRule="auto"/>
        <w:rPr>
          <w:sz w:val="20"/>
          <w:szCs w:val="20"/>
          <w:color w:val="auto"/>
        </w:rPr>
      </w:pPr>
      <w:r>
        <w:rPr>
          <w:rFonts w:ascii="Arial" w:cs="Arial" w:eastAsia="Arial" w:hAnsi="Arial"/>
          <w:sz w:val="19"/>
          <w:szCs w:val="19"/>
          <w:color w:val="auto"/>
        </w:rPr>
        <w:t>For the three months ended December 31, 2015 and 2014, we reported net unrealized depreciation on investments of $39.9 million and $53.2 million, respectively. As of December 31, 2015 and September 30, 2015, our net unrealized depreciation on investments totaled $165.1 million and $125.2 million, respectively. The net change in unrealized depreciation on our investments was driven primarily by changes in the capital market conditions, financial performance of certain portfolio companies, and the reversal of unrealized depreciation (appreciation) of investments liquidated.</w:t>
      </w:r>
    </w:p>
    <w:p>
      <w:pPr>
        <w:spacing w:after="0" w:line="147"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color w:val="auto"/>
        </w:rPr>
        <w:t>For the three months ended December 31, 2015 and 2014, we reported net unrealized depreciation on our multi-currency, senior secured revolving credit facility, as amended and restated, or the Credit Facility, our 4.50% senior notes due 2019, or 2019 Notes, and our 6.25% senior notes due 2025, or 2025 Notes, of $7.7 million and $1.1 million, respectively. The change compared with the same period in the prior year was primarily due to changes in the capital markets.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Change in Net Assets Resulting from Operations</w:t>
      </w:r>
    </w:p>
    <w:p>
      <w:pPr>
        <w:sectPr>
          <w:pgSz w:w="11900" w:h="16901" w:orient="portrait"/>
          <w:cols w:equalWidth="0" w:num="1">
            <w:col w:w="11240"/>
          </w:cols>
          <w:pgMar w:left="320" w:top="118" w:right="339" w:bottom="0" w:gutter="0" w:footer="0" w:header="0"/>
        </w:sectPr>
      </w:pPr>
    </w:p>
    <w:bookmarkStart w:id="4" w:name="page5"/>
    <w:bookmarkEnd w:id="4"/>
    <w:p>
      <w:pPr>
        <w:spacing w:after="0" w:line="287" w:lineRule="auto"/>
        <w:rPr>
          <w:sz w:val="20"/>
          <w:szCs w:val="20"/>
          <w:color w:val="auto"/>
        </w:rPr>
      </w:pPr>
      <w:r>
        <w:rPr>
          <w:rFonts w:ascii="Arial" w:cs="Arial" w:eastAsia="Arial" w:hAnsi="Arial"/>
          <w:sz w:val="19"/>
          <w:szCs w:val="19"/>
          <w:color w:val="auto"/>
        </w:rPr>
        <w:t>Net change in net assets resulting from operations totaled $(40.8) million, or $(0.56) per share, for the three months ended December 31, 2015. This compares to a net change in net assets resulting from operations of $(23.9) million, or $(0.32) per share, for the three months ended December 31, 2014. The decrease in the net change in net assets from operations compared with the same period in the prior year is primarily the result of changes in portfolio investment values during the reporting period.</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and proceeds from the rotation of our portfolio and proceeds from public and private offerings of securities to finance our investment objectives.</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As of December 31, 2015 and September 30, 2015, there was $143.0 million (including a temporary draw of $15.0 million) and $136.9 million (including a temporary draw of $30.0 million), respectively, in outstanding borrowings under the Credit Facility. The Credit Facility had a weighted average interest rate at the time of 2.98% and 3.07%, respectively, exclusive of the fee on undrawn commitments. The annualized weighted average cost of debt for the three months ended December 31, 2015 and 2014, inclusive of the fee on the undrawn commitment on the Credit Facility and upfront fees on Small Business Administration, or SBA, debentures, was 4.50% and 4.63%, respectively. As of December 31, 2015 and September 30, 2015, we had $402.0 million and $408.1 million of unused borrowing capacity under our Credit Facility, respectively, subject to the regulatory restrictions.</w:t>
      </w:r>
    </w:p>
    <w:p>
      <w:pPr>
        <w:spacing w:after="0" w:line="152"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As of December 31, 2015 and September 30, 2015, we had $250.0 million and $71.3 million in aggregate principal amount of 2019 Notes and 2025 Notes, respectively, with a fixed interest rate of 4.50% and 6.25% per year, respectively. As of December 31, 2015 and September 30, 2015, we had $225.0 million in SBA debt commitments through certain of our consolidated subsidiaries and $150.0 million was drawn for each period with a weighted average fixed interest rate of 3.70% (excluding 3.43% of upfront fees).</w:t>
      </w:r>
    </w:p>
    <w:p>
      <w:pPr>
        <w:spacing w:after="0" w:line="187"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At December 31, 2015 and September 30, 2015, we had cash and cash equivalents of $26.3 million and $49.6 million, respectively, available for investing and general corporate purposes. We believe our liquidity and capital resources are sufficient to take advantage of market opportunities.</w:t>
      </w:r>
    </w:p>
    <w:p>
      <w:pPr>
        <w:spacing w:after="0" w:line="186"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Our operating activities used cash of $0.9 million for the three months ended December 31, 2015, and our financing activities used cash of $22.7 million for the same period. Our operating activities used cash primarily for our investment activities and our financing activities used cash primarily for our stock repurchase plan.</w:t>
      </w:r>
    </w:p>
    <w:p>
      <w:pPr>
        <w:spacing w:after="0" w:line="186" w:lineRule="exact"/>
        <w:rPr>
          <w:sz w:val="20"/>
          <w:szCs w:val="20"/>
          <w:color w:val="auto"/>
        </w:rPr>
      </w:pPr>
    </w:p>
    <w:p>
      <w:pPr>
        <w:ind w:right="260"/>
        <w:spacing w:after="0" w:line="274" w:lineRule="auto"/>
        <w:rPr>
          <w:sz w:val="20"/>
          <w:szCs w:val="20"/>
          <w:color w:val="auto"/>
        </w:rPr>
      </w:pPr>
      <w:r>
        <w:rPr>
          <w:rFonts w:ascii="Arial" w:cs="Arial" w:eastAsia="Arial" w:hAnsi="Arial"/>
          <w:sz w:val="21"/>
          <w:szCs w:val="21"/>
          <w:color w:val="auto"/>
        </w:rPr>
        <w:t>Our operating activities used cash of $61.8 million for the three months ended December 31, 2014, and our financing activities provided cash of $49.6 million for the same period, primarily from net borrowings under our Credit Facility.</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REPURCHASE PROGRAM</w:t>
      </w:r>
    </w:p>
    <w:p>
      <w:pPr>
        <w:spacing w:after="0" w:line="212" w:lineRule="exact"/>
        <w:rPr>
          <w:sz w:val="20"/>
          <w:szCs w:val="20"/>
          <w:color w:val="auto"/>
        </w:rPr>
      </w:pPr>
    </w:p>
    <w:p>
      <w:pPr>
        <w:ind w:right="20"/>
        <w:spacing w:after="0" w:line="245" w:lineRule="auto"/>
        <w:rPr>
          <w:sz w:val="20"/>
          <w:szCs w:val="20"/>
          <w:color w:val="auto"/>
        </w:rPr>
      </w:pPr>
      <w:r>
        <w:rPr>
          <w:rFonts w:ascii="Arial" w:cs="Arial" w:eastAsia="Arial" w:hAnsi="Arial"/>
          <w:sz w:val="21"/>
          <w:szCs w:val="21"/>
          <w:color w:val="auto"/>
        </w:rPr>
        <w:t>On May 6, 2015, we announced a share repurchase plan which allows us to repurchase up to $35 million of our outstanding common stock in the open market at prices below our net asset value as reported in our then most recently published consolidated financial statements. The shares may be purchased from time to time at prevailing market prices, through open market transactions, including block transactions. Unless extended by our board of directors, the program, which may be implemented at the discretion of management, will expire on the earlier of May 6, 2016 and the repurchase of $35 million of common stock. During the three and nine months ended December 31, 2015, we repurchased 1.2 million and 3.3 million shares of common stock, respectively, in open market transactions for an aggregate cost (including transaction costs) of $8.4 million and $26.3 million, respectively. During the three and nine months ended December 31, 2014, we did not make any repurchases of our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During the three months ended December 31, 2015 and 2014, we declared distributions of $0.28 per share for each period for total distributions of $20.1 million and $21.0 million, respectively. We monitor available net investment income to determine if a return of capital for taxation purposes may occur for the fiscal year. To the extent our taxable earnings fall below the total amount of our distributions for any given fiscal year, a portion of those distributions may be deemed to be a return of capital to our common stockholders. Tax characteristics of all distributions will be reported to stockholders on Form 1099-DIV after the end of the calendar year and in our periodic reports filed with the Securities and Exchange Commission, or the SEC.</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The Company makes available on its website its report on Form 10-Q filed with the SEC and stockholders may find the report on our website at www.pennantpark.com.</w:t>
      </w:r>
    </w:p>
    <w:p>
      <w:pPr>
        <w:spacing w:after="0" w:line="200" w:lineRule="exact"/>
        <w:rPr>
          <w:sz w:val="20"/>
          <w:szCs w:val="20"/>
          <w:color w:val="auto"/>
        </w:rPr>
      </w:pPr>
    </w:p>
    <w:p>
      <w:pPr>
        <w:spacing w:after="0" w:line="398" w:lineRule="exact"/>
        <w:rPr>
          <w:sz w:val="20"/>
          <w:szCs w:val="20"/>
          <w:color w:val="auto"/>
        </w:rPr>
      </w:pPr>
    </w:p>
    <w:p>
      <w:pPr>
        <w:jc w:val="center"/>
        <w:ind w:right="3340"/>
        <w:spacing w:after="0"/>
        <w:rPr>
          <w:sz w:val="20"/>
          <w:szCs w:val="20"/>
          <w:color w:val="auto"/>
        </w:rPr>
      </w:pPr>
      <w:r>
        <w:rPr>
          <w:rFonts w:ascii="Courier New" w:cs="Courier New" w:eastAsia="Courier New" w:hAnsi="Courier New"/>
          <w:sz w:val="18"/>
          <w:szCs w:val="18"/>
          <w:color w:val="auto"/>
        </w:rPr>
        <w:t>PENNANTPARK INVESTMENT CORPORATION AND SUBSIDIARIES</w:t>
      </w:r>
    </w:p>
    <w:p>
      <w:pPr>
        <w:jc w:val="center"/>
        <w:ind w:right="3340"/>
        <w:spacing w:after="0" w:line="238" w:lineRule="auto"/>
        <w:rPr>
          <w:sz w:val="20"/>
          <w:szCs w:val="20"/>
          <w:color w:val="auto"/>
        </w:rPr>
      </w:pPr>
      <w:r>
        <w:rPr>
          <w:rFonts w:ascii="Courier New" w:cs="Courier New" w:eastAsia="Courier New" w:hAnsi="Courier New"/>
          <w:sz w:val="18"/>
          <w:szCs w:val="18"/>
          <w:color w:val="auto"/>
        </w:rPr>
        <w:t>CONSOLIDATED STATEMENTS OF ASSETS AND LIABILITIES</w:t>
      </w:r>
    </w:p>
    <w:p>
      <w:pPr>
        <w:spacing w:after="0" w:line="201"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8"/>
          <w:szCs w:val="18"/>
          <w:color w:val="auto"/>
        </w:rPr>
        <w:t>December 31,</w:t>
      </w:r>
    </w:p>
    <w:p>
      <w:pPr>
        <w:sectPr>
          <w:pgSz w:w="11900" w:h="16838" w:orient="portrait"/>
          <w:cols w:equalWidth="0" w:num="1">
            <w:col w:w="11240"/>
          </w:cols>
          <w:pgMar w:left="320" w:top="118" w:right="33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2015</w:t>
            </w:r>
          </w:p>
        </w:tc>
        <w:tc>
          <w:tcPr>
            <w:tcW w:w="160" w:type="dxa"/>
            <w:vAlign w:val="bottom"/>
          </w:tcPr>
          <w:p>
            <w:pPr>
              <w:spacing w:after="0"/>
              <w:rPr>
                <w:sz w:val="17"/>
                <w:szCs w:val="17"/>
                <w:color w:val="auto"/>
              </w:rPr>
            </w:pP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5"/>
              </w:rPr>
              <w:t>September 30,</w:t>
            </w:r>
          </w:p>
        </w:tc>
      </w:tr>
      <w:tr>
        <w:trPr>
          <w:trHeight w:val="203"/>
        </w:trPr>
        <w:tc>
          <w:tcPr>
            <w:tcW w:w="4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(unaudited)</w:t>
            </w:r>
          </w:p>
        </w:tc>
        <w:tc>
          <w:tcPr>
            <w:tcW w:w="160" w:type="dxa"/>
            <w:vAlign w:val="bottom"/>
          </w:tcPr>
          <w:p>
            <w:pPr>
              <w:spacing w:after="0"/>
              <w:rPr>
                <w:sz w:val="17"/>
                <w:szCs w:val="17"/>
                <w:color w:val="auto"/>
              </w:rPr>
            </w:pP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2015</w:t>
            </w:r>
          </w:p>
        </w:tc>
      </w:tr>
      <w:tr>
        <w:trPr>
          <w:trHeight w:val="203"/>
        </w:trPr>
        <w:tc>
          <w:tcPr>
            <w:tcW w:w="4540" w:type="dxa"/>
            <w:vAlign w:val="bottom"/>
          </w:tcPr>
          <w:p>
            <w:pPr>
              <w:spacing w:after="0"/>
              <w:rPr>
                <w:sz w:val="17"/>
                <w:szCs w:val="17"/>
                <w:color w:val="auto"/>
              </w:rPr>
            </w:pP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 at fair value</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non-affiliated</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 (cost-$1,044,859,200 and</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$1,138,155,969, respectively)</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987,155,675</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$ 1,096,719,079</w:t>
            </w:r>
          </w:p>
        </w:tc>
      </w:tr>
      <w:tr>
        <w:trPr>
          <w:trHeight w:val="202"/>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affiliated investments</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(cost-$224,197,965 and $133,693,295,</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0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169,815,076</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95,503,104</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Controlled, affiliated investments</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(cost-$157,881,319 and $152,387,898,</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0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104,913,610</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106,825,650</w:t>
            </w:r>
          </w:p>
        </w:tc>
      </w:tr>
      <w:tr>
        <w:trPr>
          <w:trHeight w:val="203"/>
        </w:trPr>
        <w:tc>
          <w:tcPr>
            <w:tcW w:w="4540" w:type="dxa"/>
            <w:vAlign w:val="bottom"/>
          </w:tcPr>
          <w:p>
            <w:pPr>
              <w:spacing w:after="0"/>
              <w:rPr>
                <w:sz w:val="17"/>
                <w:szCs w:val="17"/>
                <w:color w:val="auto"/>
              </w:rPr>
            </w:pP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of investments (cost-</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$1,426,938,484 and $1,424,237,162,</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0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1,261,884,361</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1,299,047,833</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(cost-</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$26,281,577 and $49,637,415,</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respectively)</w:t>
            </w:r>
          </w:p>
        </w:tc>
        <w:tc>
          <w:tcPr>
            <w:tcW w:w="10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26,254,919</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49,619,256</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receivable</w:t>
            </w:r>
          </w:p>
        </w:tc>
        <w:tc>
          <w:tcPr>
            <w:tcW w:w="10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7,003,999</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7,590,197</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 and other assets</w:t>
            </w:r>
          </w:p>
        </w:tc>
        <w:tc>
          <w:tcPr>
            <w:tcW w:w="10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4,376,249</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8,790,944</w:t>
            </w:r>
          </w:p>
        </w:tc>
      </w:tr>
      <w:tr>
        <w:trPr>
          <w:trHeight w:val="203"/>
        </w:trPr>
        <w:tc>
          <w:tcPr>
            <w:tcW w:w="4540" w:type="dxa"/>
            <w:vAlign w:val="bottom"/>
          </w:tcPr>
          <w:p>
            <w:pPr>
              <w:spacing w:after="0"/>
              <w:rPr>
                <w:sz w:val="17"/>
                <w:szCs w:val="17"/>
                <w:color w:val="auto"/>
              </w:rPr>
            </w:pP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assets</w:t>
            </w:r>
          </w:p>
        </w:tc>
        <w:tc>
          <w:tcPr>
            <w:tcW w:w="10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1,299,519,528</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1,365,048,230</w:t>
            </w:r>
          </w:p>
        </w:tc>
      </w:tr>
      <w:tr>
        <w:trPr>
          <w:trHeight w:val="203"/>
        </w:trPr>
        <w:tc>
          <w:tcPr>
            <w:tcW w:w="4540" w:type="dxa"/>
            <w:vAlign w:val="bottom"/>
          </w:tcPr>
          <w:p>
            <w:pPr>
              <w:spacing w:after="0"/>
              <w:rPr>
                <w:sz w:val="17"/>
                <w:szCs w:val="17"/>
                <w:color w:val="auto"/>
              </w:rPr>
            </w:pP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payable</w:t>
            </w:r>
          </w:p>
        </w:tc>
        <w:tc>
          <w:tcPr>
            <w:tcW w:w="10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20,088,799</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20,430,492</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Payable for investments purchased</w:t>
            </w:r>
          </w:p>
        </w:tc>
        <w:tc>
          <w:tcPr>
            <w:tcW w:w="10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11,748,499</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3,591,177</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Credit Facility payable (par-$142,995,323</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$136,864,300, respectively)</w:t>
            </w:r>
          </w:p>
        </w:tc>
        <w:tc>
          <w:tcPr>
            <w:tcW w:w="10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134,682,108</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132,356,860</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2019 Notes payable (par-$250,000,000)</w:t>
            </w:r>
          </w:p>
        </w:tc>
        <w:tc>
          <w:tcPr>
            <w:tcW w:w="10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249,247,500</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253,102,500</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SBA debentures payable (par-$150,000,000)</w:t>
            </w:r>
          </w:p>
        </w:tc>
        <w:tc>
          <w:tcPr>
            <w:tcW w:w="10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146,412,932</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146,269,957</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2025 Notes payable (par-$71,250,000)</w:t>
            </w:r>
          </w:p>
        </w:tc>
        <w:tc>
          <w:tcPr>
            <w:tcW w:w="10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71,136,000</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71,136,000</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fee payable, net</w:t>
            </w:r>
          </w:p>
        </w:tc>
        <w:tc>
          <w:tcPr>
            <w:tcW w:w="10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5,464,856</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6,602,029</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Performance-based incentive fee payable,</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w:t>
            </w:r>
          </w:p>
        </w:tc>
        <w:tc>
          <w:tcPr>
            <w:tcW w:w="10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3,188,452</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5,007,792</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payable on debt</w:t>
            </w:r>
          </w:p>
        </w:tc>
        <w:tc>
          <w:tcPr>
            <w:tcW w:w="10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6,238,580</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7,638,514</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other expenses</w:t>
            </w:r>
          </w:p>
        </w:tc>
        <w:tc>
          <w:tcPr>
            <w:tcW w:w="10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4,002,403</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2,322,367</w:t>
            </w:r>
          </w:p>
        </w:tc>
      </w:tr>
      <w:tr>
        <w:trPr>
          <w:trHeight w:val="203"/>
        </w:trPr>
        <w:tc>
          <w:tcPr>
            <w:tcW w:w="4540" w:type="dxa"/>
            <w:vAlign w:val="bottom"/>
          </w:tcPr>
          <w:p>
            <w:pPr>
              <w:spacing w:after="0"/>
              <w:rPr>
                <w:sz w:val="17"/>
                <w:szCs w:val="17"/>
                <w:color w:val="auto"/>
              </w:rPr>
            </w:pP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0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652,210,129</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648,457,688</w:t>
            </w:r>
          </w:p>
        </w:tc>
      </w:tr>
      <w:tr>
        <w:trPr>
          <w:trHeight w:val="203"/>
        </w:trPr>
        <w:tc>
          <w:tcPr>
            <w:tcW w:w="4540" w:type="dxa"/>
            <w:vAlign w:val="bottom"/>
          </w:tcPr>
          <w:p>
            <w:pPr>
              <w:spacing w:after="0"/>
              <w:rPr>
                <w:sz w:val="17"/>
                <w:szCs w:val="17"/>
                <w:color w:val="auto"/>
              </w:rPr>
            </w:pP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Commitments and contingencies</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assets</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71,745,710 and 72,966,043</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issued and outstanding,</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respectively. Par value $0.001 per share</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100,000,000 shares authorized.</w:t>
            </w:r>
          </w:p>
        </w:tc>
        <w:tc>
          <w:tcPr>
            <w:tcW w:w="10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71,746</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72,966</w:t>
            </w:r>
          </w:p>
        </w:tc>
      </w:tr>
      <w:tr>
        <w:trPr>
          <w:trHeight w:val="202"/>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Paid-in capital in excess of par value</w:t>
            </w:r>
          </w:p>
        </w:tc>
        <w:tc>
          <w:tcPr>
            <w:tcW w:w="10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826,275,288</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834,711,229</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in excess of net investment</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w:t>
            </w:r>
          </w:p>
        </w:tc>
        <w:tc>
          <w:tcPr>
            <w:tcW w:w="100" w:type="dxa"/>
            <w:vAlign w:val="bottom"/>
          </w:tcPr>
          <w:p>
            <w:pPr>
              <w:spacing w:after="0"/>
              <w:rPr>
                <w:sz w:val="17"/>
                <w:szCs w:val="17"/>
                <w:color w:val="auto"/>
              </w:rPr>
            </w:pP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(16,682,155)</w:t>
            </w:r>
          </w:p>
        </w:tc>
        <w:tc>
          <w:tcPr>
            <w:tcW w:w="16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(13,424,886)</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net realized (loss) gain on</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00" w:type="dxa"/>
            <w:vAlign w:val="bottom"/>
          </w:tcPr>
          <w:p>
            <w:pPr>
              <w:spacing w:after="0"/>
              <w:rPr>
                <w:sz w:val="17"/>
                <w:szCs w:val="17"/>
                <w:color w:val="auto"/>
              </w:rPr>
            </w:pP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(6,455,658)</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18,919,305</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unrealized depreciation on investments</w:t>
            </w:r>
          </w:p>
        </w:tc>
        <w:tc>
          <w:tcPr>
            <w:tcW w:w="100" w:type="dxa"/>
            <w:vAlign w:val="bottom"/>
          </w:tcPr>
          <w:p>
            <w:pPr>
              <w:spacing w:after="0"/>
              <w:rPr>
                <w:sz w:val="17"/>
                <w:szCs w:val="17"/>
                <w:color w:val="auto"/>
              </w:rPr>
            </w:pP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(165,079,537)</w:t>
            </w:r>
          </w:p>
        </w:tc>
        <w:tc>
          <w:tcPr>
            <w:tcW w:w="16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(125,207,012)</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unrealized depreciation on debt</w:t>
            </w:r>
          </w:p>
        </w:tc>
        <w:tc>
          <w:tcPr>
            <w:tcW w:w="10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9,179,715</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1,518,940</w:t>
            </w:r>
          </w:p>
        </w:tc>
      </w:tr>
      <w:tr>
        <w:trPr>
          <w:trHeight w:val="203"/>
        </w:trPr>
        <w:tc>
          <w:tcPr>
            <w:tcW w:w="4540" w:type="dxa"/>
            <w:vAlign w:val="bottom"/>
          </w:tcPr>
          <w:p>
            <w:pPr>
              <w:spacing w:after="0"/>
              <w:rPr>
                <w:sz w:val="17"/>
                <w:szCs w:val="17"/>
                <w:color w:val="auto"/>
              </w:rPr>
            </w:pP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net assets</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647,309,399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716,590,542</w:t>
            </w:r>
          </w:p>
        </w:tc>
      </w:tr>
      <w:tr>
        <w:trPr>
          <w:trHeight w:val="203"/>
        </w:trPr>
        <w:tc>
          <w:tcPr>
            <w:tcW w:w="4540" w:type="dxa"/>
            <w:vAlign w:val="bottom"/>
          </w:tcPr>
          <w:p>
            <w:pPr>
              <w:spacing w:after="0"/>
              <w:rPr>
                <w:sz w:val="17"/>
                <w:szCs w:val="17"/>
                <w:color w:val="auto"/>
              </w:rPr>
            </w:pP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 and net assets</w:t>
            </w: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$ 1,299,519,528</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$ 1,365,048,230</w:t>
            </w:r>
          </w:p>
        </w:tc>
      </w:tr>
      <w:tr>
        <w:trPr>
          <w:trHeight w:val="203"/>
        </w:trPr>
        <w:tc>
          <w:tcPr>
            <w:tcW w:w="4540" w:type="dxa"/>
            <w:vAlign w:val="bottom"/>
          </w:tcPr>
          <w:p>
            <w:pPr>
              <w:spacing w:after="0"/>
              <w:rPr>
                <w:sz w:val="17"/>
                <w:szCs w:val="17"/>
                <w:color w:val="auto"/>
              </w:rPr>
            </w:pP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9.02</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9.82</w:t>
            </w:r>
          </w:p>
        </w:tc>
      </w:tr>
      <w:tr>
        <w:trPr>
          <w:trHeight w:val="203"/>
        </w:trPr>
        <w:tc>
          <w:tcPr>
            <w:tcW w:w="4540" w:type="dxa"/>
            <w:vAlign w:val="bottom"/>
          </w:tcPr>
          <w:p>
            <w:pPr>
              <w:spacing w:after="0"/>
              <w:rPr>
                <w:sz w:val="17"/>
                <w:szCs w:val="17"/>
                <w:color w:val="auto"/>
              </w:rPr>
            </w:pP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810"/>
        </w:trPr>
        <w:tc>
          <w:tcPr>
            <w:tcW w:w="8020" w:type="dxa"/>
            <w:vAlign w:val="bottom"/>
            <w:gridSpan w:val="5"/>
          </w:tcPr>
          <w:p>
            <w:pPr>
              <w:jc w:val="center"/>
              <w:ind w:right="12"/>
              <w:spacing w:after="0"/>
              <w:rPr>
                <w:sz w:val="20"/>
                <w:szCs w:val="20"/>
                <w:color w:val="auto"/>
              </w:rPr>
            </w:pPr>
            <w:r>
              <w:rPr>
                <w:rFonts w:ascii="Courier New" w:cs="Courier New" w:eastAsia="Courier New" w:hAnsi="Courier New"/>
                <w:sz w:val="18"/>
                <w:szCs w:val="18"/>
                <w:color w:val="auto"/>
                <w:w w:val="97"/>
              </w:rPr>
              <w:t>PENNANTPARK INVESTMENT CORPORATION AND SUBSIDIARIES</w:t>
            </w:r>
          </w:p>
        </w:tc>
      </w:tr>
      <w:tr>
        <w:trPr>
          <w:trHeight w:val="203"/>
        </w:trPr>
        <w:tc>
          <w:tcPr>
            <w:tcW w:w="6280" w:type="dxa"/>
            <w:vAlign w:val="bottom"/>
            <w:gridSpan w:val="3"/>
          </w:tcPr>
          <w:p>
            <w:pPr>
              <w:jc w:val="center"/>
              <w:ind w:left="1532"/>
              <w:spacing w:after="0" w:line="203" w:lineRule="exact"/>
              <w:rPr>
                <w:sz w:val="20"/>
                <w:szCs w:val="20"/>
                <w:color w:val="auto"/>
              </w:rPr>
            </w:pPr>
            <w:r>
              <w:rPr>
                <w:rFonts w:ascii="Courier New" w:cs="Courier New" w:eastAsia="Courier New" w:hAnsi="Courier New"/>
                <w:sz w:val="18"/>
                <w:szCs w:val="18"/>
                <w:color w:val="auto"/>
                <w:w w:val="97"/>
              </w:rPr>
              <w:t>CONSOLIDATED STATEMENTS OF OPERATIONS</w:t>
            </w: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540" w:type="dxa"/>
            <w:vAlign w:val="bottom"/>
          </w:tcPr>
          <w:p>
            <w:pPr>
              <w:jc w:val="center"/>
              <w:ind w:left="3292"/>
              <w:spacing w:after="0" w:line="203" w:lineRule="exact"/>
              <w:rPr>
                <w:sz w:val="20"/>
                <w:szCs w:val="20"/>
                <w:color w:val="auto"/>
              </w:rPr>
            </w:pPr>
            <w:r>
              <w:rPr>
                <w:rFonts w:ascii="Courier New" w:cs="Courier New" w:eastAsia="Courier New" w:hAnsi="Courier New"/>
                <w:sz w:val="18"/>
                <w:szCs w:val="18"/>
                <w:color w:val="auto"/>
                <w:w w:val="97"/>
              </w:rPr>
              <w:t>(Unaudited)</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4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gridSpan w:val="3"/>
          </w:tcPr>
          <w:p>
            <w:pPr>
              <w:jc w:val="right"/>
              <w:ind w:right="32"/>
              <w:spacing w:after="0"/>
              <w:rPr>
                <w:sz w:val="20"/>
                <w:szCs w:val="20"/>
                <w:color w:val="auto"/>
              </w:rPr>
            </w:pPr>
            <w:r>
              <w:rPr>
                <w:rFonts w:ascii="Courier New" w:cs="Courier New" w:eastAsia="Courier New" w:hAnsi="Courier New"/>
                <w:sz w:val="18"/>
                <w:szCs w:val="18"/>
                <w:color w:val="auto"/>
                <w:w w:val="96"/>
              </w:rPr>
              <w:t>Three Months Ended December 31,</w:t>
            </w:r>
          </w:p>
        </w:tc>
      </w:tr>
      <w:tr>
        <w:trPr>
          <w:trHeight w:val="203"/>
        </w:trPr>
        <w:tc>
          <w:tcPr>
            <w:tcW w:w="4540" w:type="dxa"/>
            <w:vAlign w:val="bottom"/>
          </w:tcPr>
          <w:p>
            <w:pPr>
              <w:spacing w:after="0"/>
              <w:rPr>
                <w:sz w:val="17"/>
                <w:szCs w:val="17"/>
                <w:color w:val="auto"/>
              </w:rPr>
            </w:pPr>
          </w:p>
        </w:tc>
        <w:tc>
          <w:tcPr>
            <w:tcW w:w="348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2015</w:t>
            </w:r>
          </w:p>
        </w:tc>
        <w:tc>
          <w:tcPr>
            <w:tcW w:w="160" w:type="dxa"/>
            <w:vAlign w:val="bottom"/>
          </w:tcPr>
          <w:p>
            <w:pPr>
              <w:spacing w:after="0"/>
              <w:rPr>
                <w:sz w:val="17"/>
                <w:szCs w:val="17"/>
                <w:color w:val="auto"/>
              </w:rPr>
            </w:pP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2014</w:t>
            </w:r>
          </w:p>
        </w:tc>
      </w:tr>
      <w:tr>
        <w:trPr>
          <w:trHeight w:val="202"/>
        </w:trPr>
        <w:tc>
          <w:tcPr>
            <w:tcW w:w="4540" w:type="dxa"/>
            <w:vAlign w:val="bottom"/>
          </w:tcPr>
          <w:p>
            <w:pPr>
              <w:spacing w:after="0"/>
              <w:rPr>
                <w:sz w:val="17"/>
                <w:szCs w:val="17"/>
                <w:color w:val="auto"/>
              </w:rPr>
            </w:pP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income:</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non-controlled, non-affiliated</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28,218,030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34,861,628</w:t>
            </w:r>
          </w:p>
        </w:tc>
      </w:tr>
      <w:tr>
        <w:trPr>
          <w:trHeight w:val="202"/>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w:t>
            </w:r>
          </w:p>
        </w:tc>
        <w:tc>
          <w:tcPr>
            <w:tcW w:w="10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1,667,653</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1,578,838</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non-controlled, affiliated</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0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2,180,576</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1,485,410</w:t>
            </w:r>
          </w:p>
        </w:tc>
      </w:tr>
    </w:tbl>
    <w:p>
      <w:pPr>
        <w:sectPr>
          <w:pgSz w:w="11900" w:h="16838" w:orient="portrait"/>
          <w:cols w:equalWidth="0" w:num="1">
            <w:col w:w="10139"/>
          </w:cols>
          <w:pgMar w:left="320" w:top="136"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80" w:type="dxa"/>
            <w:vAlign w:val="bottom"/>
          </w:tcPr>
          <w:p>
            <w:pPr>
              <w:spacing w:after="0"/>
              <w:rPr>
                <w:sz w:val="20"/>
                <w:szCs w:val="20"/>
                <w:color w:val="auto"/>
              </w:rPr>
            </w:pPr>
            <w:r>
              <w:rPr>
                <w:rFonts w:ascii="Courier New" w:cs="Courier New" w:eastAsia="Courier New" w:hAnsi="Courier New"/>
                <w:sz w:val="18"/>
                <w:szCs w:val="18"/>
                <w:color w:val="auto"/>
              </w:rPr>
              <w:t>From controlled, affiliated investments:</w:t>
            </w: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48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3,197,033</w:t>
            </w:r>
          </w:p>
        </w:tc>
        <w:tc>
          <w:tcPr>
            <w:tcW w:w="30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1,278,796</w:t>
            </w:r>
          </w:p>
        </w:tc>
      </w:tr>
      <w:tr>
        <w:trPr>
          <w:trHeight w:val="203"/>
        </w:trPr>
        <w:tc>
          <w:tcPr>
            <w:tcW w:w="448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investment income</w:t>
            </w:r>
          </w:p>
        </w:tc>
        <w:tc>
          <w:tcPr>
            <w:tcW w:w="48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35,263,292</w:t>
            </w:r>
          </w:p>
        </w:tc>
        <w:tc>
          <w:tcPr>
            <w:tcW w:w="30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39,204,672</w:t>
            </w:r>
          </w:p>
        </w:tc>
      </w:tr>
      <w:tr>
        <w:trPr>
          <w:trHeight w:val="203"/>
        </w:trPr>
        <w:tc>
          <w:tcPr>
            <w:tcW w:w="448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Base management fee</w:t>
            </w:r>
          </w:p>
        </w:tc>
        <w:tc>
          <w:tcPr>
            <w:tcW w:w="48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6,505,780</w:t>
            </w:r>
          </w:p>
        </w:tc>
        <w:tc>
          <w:tcPr>
            <w:tcW w:w="30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6,796,751</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Performance-based incentive fee</w:t>
            </w:r>
          </w:p>
        </w:tc>
        <w:tc>
          <w:tcPr>
            <w:tcW w:w="48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3,795,782</w:t>
            </w:r>
          </w:p>
        </w:tc>
        <w:tc>
          <w:tcPr>
            <w:tcW w:w="30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4,869,218</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and expenses on debt</w:t>
            </w:r>
          </w:p>
        </w:tc>
        <w:tc>
          <w:tcPr>
            <w:tcW w:w="48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6,726,325</w:t>
            </w:r>
          </w:p>
        </w:tc>
        <w:tc>
          <w:tcPr>
            <w:tcW w:w="30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6,515,331</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 services expenses</w:t>
            </w:r>
          </w:p>
        </w:tc>
        <w:tc>
          <w:tcPr>
            <w:tcW w:w="48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867,500</w:t>
            </w:r>
          </w:p>
        </w:tc>
        <w:tc>
          <w:tcPr>
            <w:tcW w:w="30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857,064</w:t>
            </w:r>
          </w:p>
        </w:tc>
      </w:tr>
      <w:tr>
        <w:trPr>
          <w:trHeight w:val="202"/>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general and administrative</w:t>
            </w: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expenses</w:t>
            </w:r>
          </w:p>
        </w:tc>
        <w:tc>
          <w:tcPr>
            <w:tcW w:w="48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884,629</w:t>
            </w:r>
          </w:p>
        </w:tc>
        <w:tc>
          <w:tcPr>
            <w:tcW w:w="30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689,436</w:t>
            </w:r>
          </w:p>
        </w:tc>
      </w:tr>
      <w:tr>
        <w:trPr>
          <w:trHeight w:val="203"/>
        </w:trPr>
        <w:tc>
          <w:tcPr>
            <w:tcW w:w="448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Expenses before management fee waiver</w:t>
            </w: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provision for taxes</w:t>
            </w:r>
          </w:p>
        </w:tc>
        <w:tc>
          <w:tcPr>
            <w:tcW w:w="48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18,780,016</w:t>
            </w:r>
          </w:p>
        </w:tc>
        <w:tc>
          <w:tcPr>
            <w:tcW w:w="30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19,727,800</w:t>
            </w:r>
          </w:p>
        </w:tc>
      </w:tr>
      <w:tr>
        <w:trPr>
          <w:trHeight w:val="203"/>
        </w:trPr>
        <w:tc>
          <w:tcPr>
            <w:tcW w:w="448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Management fee waiver</w:t>
            </w:r>
          </w:p>
        </w:tc>
        <w:tc>
          <w:tcPr>
            <w:tcW w:w="48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(1,648,254)</w:t>
            </w:r>
          </w:p>
        </w:tc>
        <w:tc>
          <w:tcPr>
            <w:tcW w:w="30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Provision for taxes</w:t>
            </w:r>
          </w:p>
        </w:tc>
        <w:tc>
          <w:tcPr>
            <w:tcW w:w="48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1,300,000</w:t>
            </w:r>
          </w:p>
        </w:tc>
        <w:tc>
          <w:tcPr>
            <w:tcW w:w="30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expenses</w:t>
            </w:r>
          </w:p>
        </w:tc>
        <w:tc>
          <w:tcPr>
            <w:tcW w:w="48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18,431,762</w:t>
            </w:r>
          </w:p>
        </w:tc>
        <w:tc>
          <w:tcPr>
            <w:tcW w:w="30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19,727,800</w:t>
            </w:r>
          </w:p>
        </w:tc>
      </w:tr>
      <w:tr>
        <w:trPr>
          <w:trHeight w:val="203"/>
        </w:trPr>
        <w:tc>
          <w:tcPr>
            <w:tcW w:w="448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48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16,831,530</w:t>
            </w:r>
          </w:p>
        </w:tc>
        <w:tc>
          <w:tcPr>
            <w:tcW w:w="30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19,476,872</w:t>
            </w:r>
          </w:p>
        </w:tc>
      </w:tr>
      <w:tr>
        <w:trPr>
          <w:trHeight w:val="203"/>
        </w:trPr>
        <w:tc>
          <w:tcPr>
            <w:tcW w:w="448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Realized and unrealized loss on</w:t>
            </w: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and debt:</w:t>
            </w: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(loss) gain on investments</w:t>
            </w:r>
          </w:p>
        </w:tc>
        <w:tc>
          <w:tcPr>
            <w:tcW w:w="48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(25,374,963)</w:t>
            </w:r>
          </w:p>
        </w:tc>
        <w:tc>
          <w:tcPr>
            <w:tcW w:w="30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8,626,139</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change in unrealized depreciation on:</w:t>
            </w: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non-affiliated</w:t>
            </w: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w:t>
            </w:r>
          </w:p>
        </w:tc>
        <w:tc>
          <w:tcPr>
            <w:tcW w:w="48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(16,742,815)</w:t>
            </w:r>
          </w:p>
        </w:tc>
        <w:tc>
          <w:tcPr>
            <w:tcW w:w="3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(53,059,559)</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and controlled,</w:t>
            </w: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affiliated investments</w:t>
            </w:r>
          </w:p>
        </w:tc>
        <w:tc>
          <w:tcPr>
            <w:tcW w:w="48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(23,129,710)</w:t>
            </w:r>
          </w:p>
        </w:tc>
        <w:tc>
          <w:tcPr>
            <w:tcW w:w="3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(104,773)</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Debt depreciation</w:t>
            </w:r>
          </w:p>
        </w:tc>
        <w:tc>
          <w:tcPr>
            <w:tcW w:w="48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7,660,775</w:t>
            </w:r>
          </w:p>
        </w:tc>
        <w:tc>
          <w:tcPr>
            <w:tcW w:w="30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1,115,627</w:t>
            </w:r>
          </w:p>
        </w:tc>
      </w:tr>
      <w:tr>
        <w:trPr>
          <w:trHeight w:val="203"/>
        </w:trPr>
        <w:tc>
          <w:tcPr>
            <w:tcW w:w="448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Net change in unrealized depreciation on</w:t>
            </w: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 and debt</w:t>
            </w:r>
          </w:p>
        </w:tc>
        <w:tc>
          <w:tcPr>
            <w:tcW w:w="48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(32,211,750)</w:t>
            </w:r>
          </w:p>
        </w:tc>
        <w:tc>
          <w:tcPr>
            <w:tcW w:w="3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(52,048,705)</w:t>
            </w:r>
          </w:p>
        </w:tc>
      </w:tr>
      <w:tr>
        <w:trPr>
          <w:trHeight w:val="203"/>
        </w:trPr>
        <w:tc>
          <w:tcPr>
            <w:tcW w:w="448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and unrealized loss from</w:t>
            </w: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and debt</w:t>
            </w:r>
          </w:p>
        </w:tc>
        <w:tc>
          <w:tcPr>
            <w:tcW w:w="48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(57,586,713)</w:t>
            </w:r>
          </w:p>
        </w:tc>
        <w:tc>
          <w:tcPr>
            <w:tcW w:w="3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(43,422,566)</w:t>
            </w:r>
          </w:p>
        </w:tc>
      </w:tr>
      <w:tr>
        <w:trPr>
          <w:trHeight w:val="203"/>
        </w:trPr>
        <w:tc>
          <w:tcPr>
            <w:tcW w:w="448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decrease in net assets resulting from</w:t>
            </w: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w:t>
            </w:r>
          </w:p>
        </w:tc>
        <w:tc>
          <w:tcPr>
            <w:tcW w:w="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(40,755,183)</w:t>
            </w:r>
          </w:p>
        </w:tc>
        <w:tc>
          <w:tcPr>
            <w:tcW w:w="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(23,945,694)</w:t>
            </w:r>
          </w:p>
        </w:tc>
      </w:tr>
      <w:tr>
        <w:trPr>
          <w:trHeight w:val="203"/>
        </w:trPr>
        <w:tc>
          <w:tcPr>
            <w:tcW w:w="448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decrease in net assets resulting from</w:t>
            </w: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 per common share</w:t>
            </w:r>
          </w:p>
        </w:tc>
        <w:tc>
          <w:tcPr>
            <w:tcW w:w="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(0.56)</w:t>
            </w:r>
          </w:p>
        </w:tc>
        <w:tc>
          <w:tcPr>
            <w:tcW w:w="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(0.32)</w:t>
            </w:r>
          </w:p>
        </w:tc>
      </w:tr>
      <w:tr>
        <w:trPr>
          <w:trHeight w:val="203"/>
        </w:trPr>
        <w:tc>
          <w:tcPr>
            <w:tcW w:w="448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investment income per common share</w:t>
            </w:r>
          </w:p>
        </w:tc>
        <w:tc>
          <w:tcPr>
            <w:tcW w:w="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0.23</w:t>
            </w:r>
          </w:p>
        </w:tc>
        <w:tc>
          <w:tcPr>
            <w:tcW w:w="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0.26</w:t>
            </w:r>
          </w:p>
        </w:tc>
      </w:tr>
      <w:tr>
        <w:trPr>
          <w:trHeight w:val="203"/>
        </w:trPr>
        <w:tc>
          <w:tcPr>
            <w:tcW w:w="448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bl>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CORPORATION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senior secured loans, mezzanine debt and equity investments. PennantPark Investment Corporation is managed by PennantPark Investment Advisers, LLC.</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ind w:right="120"/>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ind w:right="40"/>
        <w:spacing w:after="0" w:line="243" w:lineRule="auto"/>
        <w:rPr>
          <w:sz w:val="20"/>
          <w:szCs w:val="20"/>
          <w:color w:val="auto"/>
        </w:rPr>
      </w:pPr>
      <w:r>
        <w:rPr>
          <w:rFonts w:ascii="Arial" w:cs="Arial" w:eastAsia="Arial" w:hAnsi="Arial"/>
          <w:sz w:val="21"/>
          <w:szCs w:val="21"/>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The Company undertakes no duty to update any forward-looking statement made herein. You should not place undue influence on such forward-looking statements as such statements speak only as of the date on which they are made.</w:t>
      </w:r>
    </w:p>
    <w:p>
      <w:pPr>
        <w:spacing w:after="0" w:line="186"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ectPr>
          <w:pgSz w:w="11900" w:h="16838" w:orient="portrait"/>
          <w:cols w:equalWidth="0" w:num="1">
            <w:col w:w="11220"/>
          </w:cols>
          <w:pgMar w:left="320" w:top="136" w:right="359" w:bottom="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PennantPark Investment Corporation</w:t>
      </w:r>
    </w:p>
    <w:p>
      <w:pPr>
        <w:sectPr>
          <w:pgSz w:w="11900" w:h="16838" w:orient="portrait"/>
          <w:cols w:equalWidth="0" w:num="1">
            <w:col w:w="11220"/>
          </w:cols>
          <w:pgMar w:left="320" w:top="136" w:right="359" w:bottom="0" w:gutter="0" w:footer="0" w:header="0"/>
          <w:type w:val="continuous"/>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Reception: (212) 905-1000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www.pennantpark.com</w:t>
      </w:r>
    </w:p>
    <w:sectPr>
      <w:pgSz w:w="11900" w:h="16838" w:orient="portrait"/>
      <w:cols w:equalWidth="0" w:num="1">
        <w:col w:w="10139"/>
      </w:cols>
      <w:pgMar w:left="32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2020-05-05T15:07:30Z</dcterms:created>
  <dcterms:modified xsi:type="dcterms:W3CDTF">2020-05-05T15:07:30Z</dcterms:modified>
</cp:coreProperties>
</file>