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2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2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905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0551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jc w:val="center"/>
              <w:ind w:left="759"/>
              <w:spacing w:after="0"/>
              <w:rPr>
                <w:sz w:val="20"/>
                <w:szCs w:val="20"/>
                <w:color w:val="auto"/>
              </w:rPr>
            </w:pPr>
            <w:r>
              <w:rPr>
                <w:rFonts w:ascii="Times New Roman" w:cs="Times New Roman" w:eastAsia="Times New Roman" w:hAnsi="Times New Roman"/>
                <w:sz w:val="18"/>
                <w:szCs w:val="18"/>
                <w:b w:val="1"/>
                <w:bCs w:val="1"/>
                <w:color w:val="auto"/>
                <w:w w:val="99"/>
              </w:rPr>
              <w:t>MARYLAND</w:t>
            </w:r>
          </w:p>
        </w:tc>
        <w:tc>
          <w:tcPr>
            <w:tcW w:w="2560" w:type="dxa"/>
            <w:vAlign w:val="bottom"/>
          </w:tcPr>
          <w:p>
            <w:pPr>
              <w:spacing w:after="0"/>
              <w:rPr>
                <w:sz w:val="20"/>
                <w:szCs w:val="20"/>
                <w:color w:val="auto"/>
              </w:rPr>
            </w:pPr>
          </w:p>
        </w:tc>
        <w:tc>
          <w:tcPr>
            <w:tcW w:w="3860" w:type="dxa"/>
            <w:vAlign w:val="bottom"/>
          </w:tcPr>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193"/>
        </w:trPr>
        <w:tc>
          <w:tcPr>
            <w:tcW w:w="4820" w:type="dxa"/>
            <w:vAlign w:val="bottom"/>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560" w:type="dxa"/>
            <w:vAlign w:val="bottom"/>
          </w:tcPr>
          <w:p>
            <w:pPr>
              <w:spacing w:after="0"/>
              <w:rPr>
                <w:sz w:val="16"/>
                <w:szCs w:val="16"/>
                <w:color w:val="auto"/>
              </w:rPr>
            </w:pPr>
          </w:p>
        </w:tc>
        <w:tc>
          <w:tcPr>
            <w:tcW w:w="3860" w:type="dxa"/>
            <w:vAlign w:val="bottom"/>
          </w:tcPr>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4820" w:type="dxa"/>
            <w:vAlign w:val="bottom"/>
          </w:tcPr>
          <w:p>
            <w:pPr>
              <w:jc w:val="center"/>
              <w:ind w:left="739"/>
              <w:spacing w:after="0"/>
              <w:rPr>
                <w:sz w:val="20"/>
                <w:szCs w:val="20"/>
                <w:color w:val="auto"/>
              </w:rPr>
            </w:pPr>
            <w:r>
              <w:rPr>
                <w:rFonts w:ascii="Times New Roman" w:cs="Times New Roman" w:eastAsia="Times New Roman" w:hAnsi="Times New Roman"/>
                <w:sz w:val="18"/>
                <w:szCs w:val="18"/>
                <w:b w:val="1"/>
                <w:bCs w:val="1"/>
                <w:color w:val="auto"/>
              </w:rPr>
              <w:t>590 Madison Avenue, 15</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tc>
        <w:tc>
          <w:tcPr>
            <w:tcW w:w="2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4"/>
        </w:trPr>
        <w:tc>
          <w:tcPr>
            <w:tcW w:w="4820" w:type="dxa"/>
            <w:vAlign w:val="bottom"/>
          </w:tcPr>
          <w:p>
            <w:pPr>
              <w:jc w:val="center"/>
              <w:ind w:left="739"/>
              <w:spacing w:after="0"/>
              <w:rPr>
                <w:sz w:val="20"/>
                <w:szCs w:val="20"/>
                <w:color w:val="auto"/>
              </w:rPr>
            </w:pPr>
            <w:r>
              <w:rPr>
                <w:rFonts w:ascii="Times New Roman" w:cs="Times New Roman" w:eastAsia="Times New Roman" w:hAnsi="Times New Roman"/>
                <w:sz w:val="18"/>
                <w:szCs w:val="18"/>
                <w:b w:val="1"/>
                <w:bCs w:val="1"/>
                <w:color w:val="auto"/>
                <w:w w:val="97"/>
              </w:rPr>
              <w:t>New York, N.Y.</w:t>
            </w:r>
          </w:p>
        </w:tc>
        <w:tc>
          <w:tcPr>
            <w:tcW w:w="2560" w:type="dxa"/>
            <w:vAlign w:val="bottom"/>
          </w:tcPr>
          <w:p>
            <w:pPr>
              <w:spacing w:after="0"/>
              <w:rPr>
                <w:sz w:val="18"/>
                <w:szCs w:val="18"/>
                <w:color w:val="auto"/>
              </w:rPr>
            </w:pPr>
          </w:p>
        </w:tc>
        <w:tc>
          <w:tcPr>
            <w:tcW w:w="3860" w:type="dxa"/>
            <w:vAlign w:val="bottom"/>
          </w:tcPr>
          <w:p>
            <w:pPr>
              <w:jc w:val="right"/>
              <w:ind w:right="2379"/>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190"/>
        </w:trPr>
        <w:tc>
          <w:tcPr>
            <w:tcW w:w="4820" w:type="dxa"/>
            <w:vAlign w:val="bottom"/>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spacing w:after="0"/>
              <w:rPr>
                <w:sz w:val="16"/>
                <w:szCs w:val="16"/>
                <w:color w:val="auto"/>
              </w:rPr>
            </w:pPr>
          </w:p>
        </w:tc>
        <w:tc>
          <w:tcPr>
            <w:tcW w:w="38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88"/>
        </w:trPr>
        <w:tc>
          <w:tcPr>
            <w:tcW w:w="4820" w:type="dxa"/>
            <w:vAlign w:val="bottom"/>
          </w:tcPr>
          <w:p>
            <w:pPr>
              <w:spacing w:after="0"/>
              <w:rPr>
                <w:sz w:val="16"/>
                <w:szCs w:val="16"/>
                <w:color w:val="auto"/>
              </w:rPr>
            </w:pPr>
          </w:p>
        </w:tc>
        <w:tc>
          <w:tcPr>
            <w:tcW w:w="2560" w:type="dxa"/>
            <w:vAlign w:val="bottom"/>
          </w:tcPr>
          <w:p>
            <w:pPr>
              <w:jc w:val="center"/>
              <w:ind w:right="861"/>
              <w:spacing w:after="0"/>
              <w:rPr>
                <w:sz w:val="20"/>
                <w:szCs w:val="20"/>
                <w:color w:val="auto"/>
              </w:rPr>
            </w:pPr>
            <w:r>
              <w:rPr>
                <w:rFonts w:ascii="Times New Roman" w:cs="Times New Roman" w:eastAsia="Times New Roman" w:hAnsi="Times New Roman"/>
                <w:sz w:val="14"/>
                <w:szCs w:val="14"/>
                <w:b w:val="1"/>
                <w:bCs w:val="1"/>
                <w:color w:val="auto"/>
              </w:rPr>
              <w:t>(212) 905-1000</w:t>
            </w:r>
          </w:p>
        </w:tc>
        <w:tc>
          <w:tcPr>
            <w:tcW w:w="3860" w:type="dxa"/>
            <w:vAlign w:val="bottom"/>
          </w:tcPr>
          <w:p>
            <w:pPr>
              <w:spacing w:after="0"/>
              <w:rPr>
                <w:sz w:val="16"/>
                <w:szCs w:val="16"/>
                <w:color w:val="auto"/>
              </w:rPr>
            </w:pPr>
          </w:p>
        </w:tc>
      </w:tr>
      <w:tr>
        <w:trPr>
          <w:trHeight w:val="190"/>
        </w:trPr>
        <w:tc>
          <w:tcPr>
            <w:tcW w:w="7380" w:type="dxa"/>
            <w:vAlign w:val="bottom"/>
            <w:gridSpan w:val="2"/>
          </w:tcPr>
          <w:p>
            <w:pPr>
              <w:jc w:val="center"/>
              <w:ind w:left="37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60" w:type="dxa"/>
            <w:vAlign w:val="bottom"/>
          </w:tcPr>
          <w:p>
            <w:pPr>
              <w:spacing w:after="0"/>
              <w:rPr>
                <w:sz w:val="16"/>
                <w:szCs w:val="16"/>
                <w:color w:val="auto"/>
              </w:rPr>
            </w:pPr>
          </w:p>
        </w:tc>
      </w:tr>
      <w:tr>
        <w:trPr>
          <w:trHeight w:val="64"/>
        </w:trPr>
        <w:tc>
          <w:tcPr>
            <w:tcW w:w="482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r>
      <w:tr>
        <w:trPr>
          <w:trHeight w:val="204"/>
        </w:trPr>
        <w:tc>
          <w:tcPr>
            <w:tcW w:w="4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62"/>
        </w:trPr>
        <w:tc>
          <w:tcPr>
            <w:tcW w:w="4820" w:type="dxa"/>
            <w:vAlign w:val="bottom"/>
          </w:tcPr>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60" w:type="dxa"/>
            <w:vAlign w:val="bottom"/>
          </w:tcPr>
          <w:p>
            <w:pPr>
              <w:jc w:val="center"/>
              <w:ind w:right="88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8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482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560" w:type="dxa"/>
            <w:vAlign w:val="bottom"/>
          </w:tcPr>
          <w:p>
            <w:pPr>
              <w:jc w:val="center"/>
              <w:ind w:right="901"/>
              <w:spacing w:after="0"/>
              <w:rPr>
                <w:sz w:val="20"/>
                <w:szCs w:val="20"/>
                <w:color w:val="auto"/>
              </w:rPr>
            </w:pPr>
            <w:r>
              <w:rPr>
                <w:rFonts w:ascii="Times New Roman" w:cs="Times New Roman" w:eastAsia="Times New Roman" w:hAnsi="Times New Roman"/>
                <w:sz w:val="16"/>
                <w:szCs w:val="16"/>
                <w:color w:val="auto"/>
              </w:rPr>
              <w:t>PNNT</w:t>
            </w:r>
          </w:p>
        </w:tc>
        <w:tc>
          <w:tcPr>
            <w:tcW w:w="38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82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5.50% Notes due 2024</w:t>
            </w:r>
          </w:p>
        </w:tc>
        <w:tc>
          <w:tcPr>
            <w:tcW w:w="2560" w:type="dxa"/>
            <w:vAlign w:val="bottom"/>
          </w:tcPr>
          <w:p>
            <w:pPr>
              <w:jc w:val="center"/>
              <w:ind w:right="901"/>
              <w:spacing w:after="0"/>
              <w:rPr>
                <w:sz w:val="20"/>
                <w:szCs w:val="20"/>
                <w:color w:val="auto"/>
              </w:rPr>
            </w:pPr>
            <w:r>
              <w:rPr>
                <w:rFonts w:ascii="Times New Roman" w:cs="Times New Roman" w:eastAsia="Times New Roman" w:hAnsi="Times New Roman"/>
                <w:sz w:val="16"/>
                <w:szCs w:val="16"/>
                <w:color w:val="auto"/>
              </w:rPr>
              <w:t>PNNTG</w:t>
            </w:r>
          </w:p>
        </w:tc>
        <w:tc>
          <w:tcPr>
            <w:tcW w:w="38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54" w:lineRule="exact"/>
        <w:rPr>
          <w:sz w:val="24"/>
          <w:szCs w:val="24"/>
          <w:color w:val="auto"/>
        </w:rPr>
      </w:pPr>
    </w:p>
    <w:p>
      <w:pPr>
        <w:ind w:right="180" w:firstLine="496"/>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firstLine="496"/>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6" w:lineRule="exact"/>
        <w:rPr>
          <w:sz w:val="24"/>
          <w:szCs w:val="24"/>
          <w:color w:val="auto"/>
        </w:rPr>
      </w:pPr>
    </w:p>
    <w:p>
      <w:pPr>
        <w:jc w:val="both"/>
        <w:ind w:right="260" w:firstLine="49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5" w:lineRule="exact"/>
        <w:rPr>
          <w:sz w:val="24"/>
          <w:szCs w:val="24"/>
          <w:color w:val="auto"/>
        </w:rPr>
      </w:pPr>
    </w:p>
    <w:p>
      <w:pPr>
        <w:jc w:val="both"/>
        <w:ind w:right="80" w:firstLine="496"/>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500" w:right="192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$0.001 par value per share, outstanding as of February 9, 2021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p>
      <w:pPr>
        <w:jc w:val="center"/>
        <w:ind w:left="460"/>
        <w:spacing w:after="0" w:line="229" w:lineRule="auto"/>
        <w:rPr>
          <w:sz w:val="20"/>
          <w:szCs w:val="20"/>
          <w:color w:val="auto"/>
        </w:rPr>
      </w:pPr>
      <w:r>
        <w:rPr>
          <w:rFonts w:ascii="Times New Roman" w:cs="Times New Roman" w:eastAsia="Times New Roman" w:hAnsi="Times New Roman"/>
          <w:sz w:val="14"/>
          <w:szCs w:val="14"/>
          <w:b w:val="1"/>
          <w:bCs w:val="1"/>
          <w:color w:val="auto"/>
        </w:rPr>
        <w:t>FORM 10-Q FOR THE QUARTER ENDED DECEMBER 31, 2020</w:t>
      </w: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tcPr>
          <w:p>
            <w:pPr>
              <w:ind w:left="35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459"/>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418"/>
        </w:trPr>
        <w:tc>
          <w:tcPr>
            <w:tcW w:w="9200" w:type="dxa"/>
            <w:vAlign w:val="bottom"/>
          </w:tcPr>
          <w:p>
            <w:pPr>
              <w:ind w:left="360"/>
              <w:spacing w:after="0"/>
              <w:rPr>
                <w:rFonts w:ascii="Times New Roman" w:cs="Times New Roman" w:eastAsia="Times New Roman" w:hAnsi="Times New Roman"/>
                <w:sz w:val="14"/>
                <w:szCs w:val="14"/>
                <w:u w:val="single" w:color="auto"/>
                <w:color w:val="0000EE"/>
              </w:rPr>
            </w:pPr>
            <w:hyperlink w:anchor="page4">
              <w:r>
                <w:rPr>
                  <w:rFonts w:ascii="Times New Roman" w:cs="Times New Roman" w:eastAsia="Times New Roman" w:hAnsi="Times New Roman"/>
                  <w:sz w:val="14"/>
                  <w:szCs w:val="14"/>
                  <w:u w:val="single" w:color="auto"/>
                  <w:color w:val="0000EE"/>
                </w:rPr>
                <w:t>Consolidated Statements of Assets and Liabilities as of December 31, 2020 (unaudited) and September 30, 2020</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418"/>
        </w:trPr>
        <w:tc>
          <w:tcPr>
            <w:tcW w:w="9200" w:type="dxa"/>
            <w:vAlign w:val="bottom"/>
          </w:tcPr>
          <w:p>
            <w:pPr>
              <w:ind w:left="360"/>
              <w:spacing w:after="0"/>
              <w:rPr>
                <w:rFonts w:ascii="Times New Roman" w:cs="Times New Roman" w:eastAsia="Times New Roman" w:hAnsi="Times New Roman"/>
                <w:sz w:val="14"/>
                <w:szCs w:val="14"/>
                <w:u w:val="single" w:color="auto"/>
                <w:color w:val="0000EE"/>
              </w:rPr>
            </w:pPr>
            <w:hyperlink w:anchor="page5">
              <w:r>
                <w:rPr>
                  <w:rFonts w:ascii="Times New Roman" w:cs="Times New Roman" w:eastAsia="Times New Roman" w:hAnsi="Times New Roman"/>
                  <w:sz w:val="14"/>
                  <w:szCs w:val="14"/>
                  <w:u w:val="single" w:color="auto"/>
                  <w:color w:val="0000EE"/>
                </w:rPr>
                <w:t>Consolidated Statements of Operations for the three months ended December 31, 2020 and 2019 (unaudited)</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418"/>
        </w:trPr>
        <w:tc>
          <w:tcPr>
            <w:tcW w:w="9200" w:type="dxa"/>
            <w:vAlign w:val="bottom"/>
          </w:tcPr>
          <w:p>
            <w:pPr>
              <w:ind w:left="360"/>
              <w:spacing w:after="0"/>
              <w:rPr>
                <w:rFonts w:ascii="Times New Roman" w:cs="Times New Roman" w:eastAsia="Times New Roman" w:hAnsi="Times New Roman"/>
                <w:sz w:val="14"/>
                <w:szCs w:val="14"/>
                <w:u w:val="single" w:color="auto"/>
                <w:color w:val="0000EE"/>
              </w:rPr>
            </w:pPr>
            <w:hyperlink w:anchor="page6">
              <w:r>
                <w:rPr>
                  <w:rFonts w:ascii="Times New Roman" w:cs="Times New Roman" w:eastAsia="Times New Roman" w:hAnsi="Times New Roman"/>
                  <w:sz w:val="14"/>
                  <w:szCs w:val="14"/>
                  <w:u w:val="single" w:color="auto"/>
                  <w:color w:val="0000EE"/>
                </w:rPr>
                <w:t>Consolidated Statements of Changes in Net Assets for the three months ended December 31, 2020 and 2019 (unaudited)</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418"/>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7">
              <w:r>
                <w:rPr>
                  <w:rFonts w:ascii="Times New Roman" w:cs="Times New Roman" w:eastAsia="Times New Roman" w:hAnsi="Times New Roman"/>
                  <w:sz w:val="14"/>
                  <w:szCs w:val="14"/>
                  <w:u w:val="single" w:color="auto"/>
                  <w:color w:val="0000EE"/>
                </w:rPr>
                <w:t>Consolidated Statements of Cash Flows for the three months ended December 31, 2020 and 2019 (unaudited)</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405"/>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8">
              <w:r>
                <w:rPr>
                  <w:rFonts w:ascii="Times New Roman" w:cs="Times New Roman" w:eastAsia="Times New Roman" w:hAnsi="Times New Roman"/>
                  <w:sz w:val="14"/>
                  <w:szCs w:val="14"/>
                  <w:u w:val="single" w:color="auto"/>
                  <w:color w:val="0000EE"/>
                </w:rPr>
                <w:t>Consolidated Schedules of Investments as of December 31, 2020 (unaudited) and September 30, 2020</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418"/>
        </w:trPr>
        <w:tc>
          <w:tcPr>
            <w:tcW w:w="9200" w:type="dxa"/>
            <w:vAlign w:val="bottom"/>
          </w:tcPr>
          <w:p>
            <w:pPr>
              <w:ind w:left="360"/>
              <w:spacing w:after="0"/>
              <w:rPr>
                <w:rFonts w:ascii="Times New Roman" w:cs="Times New Roman" w:eastAsia="Times New Roman" w:hAnsi="Times New Roman"/>
                <w:sz w:val="14"/>
                <w:szCs w:val="14"/>
                <w:u w:val="single" w:color="auto"/>
                <w:color w:val="0000EE"/>
              </w:rPr>
            </w:pPr>
            <w:hyperlink w:anchor="page16">
              <w:r>
                <w:rPr>
                  <w:rFonts w:ascii="Times New Roman" w:cs="Times New Roman" w:eastAsia="Times New Roman" w:hAnsi="Times New Roman"/>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419"/>
        </w:trPr>
        <w:tc>
          <w:tcPr>
            <w:tcW w:w="9200" w:type="dxa"/>
            <w:vAlign w:val="bottom"/>
          </w:tcPr>
          <w:p>
            <w:pPr>
              <w:ind w:left="360"/>
              <w:spacing w:after="0"/>
              <w:rPr>
                <w:rFonts w:ascii="Times New Roman" w:cs="Times New Roman" w:eastAsia="Times New Roman" w:hAnsi="Times New Roman"/>
                <w:sz w:val="14"/>
                <w:szCs w:val="14"/>
                <w:u w:val="single" w:color="auto"/>
                <w:color w:val="0000EE"/>
              </w:rPr>
            </w:pPr>
            <w:hyperlink w:anchor="page30">
              <w:r>
                <w:rPr>
                  <w:rFonts w:ascii="Times New Roman" w:cs="Times New Roman" w:eastAsia="Times New Roman" w:hAnsi="Times New Roman"/>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31">
              <w:r>
                <w:rPr>
                  <w:rFonts w:ascii="Times New Roman" w:cs="Times New Roman" w:eastAsia="Times New Roman" w:hAnsi="Times New Roman"/>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2">
              <w:r>
                <w:rPr>
                  <w:rFonts w:ascii="Times New Roman" w:cs="Times New Roman" w:eastAsia="Times New Roman" w:hAnsi="Times New Roman"/>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2">
              <w:r>
                <w:rPr>
                  <w:rFonts w:ascii="Times New Roman" w:cs="Times New Roman" w:eastAsia="Times New Roman" w:hAnsi="Times New Roman"/>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459"/>
        </w:trPr>
        <w:tc>
          <w:tcPr>
            <w:tcW w:w="9200" w:type="dxa"/>
            <w:vAlign w:val="bottom"/>
          </w:tcPr>
          <w:p>
            <w:pPr>
              <w:ind w:left="4240"/>
              <w:spacing w:after="0"/>
              <w:rPr>
                <w:rFonts w:ascii="Times New Roman" w:cs="Times New Roman" w:eastAsia="Times New Roman" w:hAnsi="Times New Roman"/>
                <w:sz w:val="14"/>
                <w:szCs w:val="14"/>
                <w:b w:val="1"/>
                <w:bCs w:val="1"/>
                <w:u w:val="single" w:color="auto"/>
                <w:color w:val="0000EE"/>
              </w:rPr>
            </w:pPr>
            <w:hyperlink w:anchor="page44">
              <w:r>
                <w:rPr>
                  <w:rFonts w:ascii="Times New Roman" w:cs="Times New Roman" w:eastAsia="Times New Roman" w:hAnsi="Times New Roman"/>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4">
              <w:r>
                <w:rPr>
                  <w:rFonts w:ascii="Times New Roman" w:cs="Times New Roman" w:eastAsia="Times New Roman" w:hAnsi="Times New Roman"/>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4">
              <w:r>
                <w:rPr>
                  <w:rFonts w:ascii="Times New Roman" w:cs="Times New Roman" w:eastAsia="Times New Roman" w:hAnsi="Times New Roman"/>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419"/>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4">
              <w:r>
                <w:rPr>
                  <w:rFonts w:ascii="Times New Roman" w:cs="Times New Roman" w:eastAsia="Times New Roman" w:hAnsi="Times New Roman"/>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5">
              <w:r>
                <w:rPr>
                  <w:rFonts w:ascii="Times New Roman" w:cs="Times New Roman" w:eastAsia="Times New Roman" w:hAnsi="Times New Roman"/>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5">
              <w:r>
                <w:rPr>
                  <w:rFonts w:ascii="Times New Roman" w:cs="Times New Roman" w:eastAsia="Times New Roman" w:hAnsi="Times New Roman"/>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419"/>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5">
              <w:r>
                <w:rPr>
                  <w:rFonts w:ascii="Times New Roman" w:cs="Times New Roman" w:eastAsia="Times New Roman" w:hAnsi="Times New Roman"/>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6">
              <w:r>
                <w:rPr>
                  <w:rFonts w:ascii="Times New Roman" w:cs="Times New Roman" w:eastAsia="Times New Roman" w:hAnsi="Times New Roman"/>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418"/>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7">
              <w:r>
                <w:rPr>
                  <w:rFonts w:ascii="Times New Roman" w:cs="Times New Roman" w:eastAsia="Times New Roman" w:hAnsi="Times New Roman"/>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743"/>
        </w:trPr>
        <w:tc>
          <w:tcPr>
            <w:tcW w:w="920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2</w:t>
            </w:r>
          </w:p>
        </w:tc>
        <w:tc>
          <w:tcPr>
            <w:tcW w:w="2060" w:type="dxa"/>
            <w:vAlign w:val="bottom"/>
          </w:tcPr>
          <w:p>
            <w:pPr>
              <w:spacing w:after="0"/>
              <w:rPr>
                <w:sz w:val="24"/>
                <w:szCs w:val="24"/>
                <w:color w:val="auto"/>
              </w:rPr>
            </w:pPr>
          </w:p>
        </w:tc>
      </w:tr>
      <w:tr>
        <w:trPr>
          <w:trHeight w:val="98"/>
        </w:trPr>
        <w:tc>
          <w:tcPr>
            <w:tcW w:w="92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200" w:lineRule="exact"/>
        <w:rPr>
          <w:sz w:val="20"/>
          <w:szCs w:val="20"/>
          <w:color w:val="auto"/>
        </w:rPr>
      </w:pPr>
    </w:p>
    <w:p>
      <w:pPr>
        <w:spacing w:after="0" w:line="249" w:lineRule="exact"/>
        <w:rPr>
          <w:sz w:val="20"/>
          <w:szCs w:val="20"/>
          <w:color w:val="auto"/>
        </w:rPr>
      </w:pPr>
    </w:p>
    <w:p>
      <w:pPr>
        <w:ind w:firstLine="438"/>
        <w:spacing w:after="0" w:line="225" w:lineRule="auto"/>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Subsidiaries” refers to PNNT Cascade Environmental Holdings, LLC, PNNT CI (Galls) Prime Investment Holdings, LLC, PNNT ecoserve, LLC, PNNT Investment Holdings, LLC and PNNT New Gulf Resources,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“Credit Facilities” refers to the BNP Credit Facility and Truist Credit Facility collectively; “2024 Notes” refers to our 5.50% Notes due 2024;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3" w:name="page4"/>
    <w:bookmarkEnd w:id="3"/>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6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6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 (cost—$634,147,235 and $713,683,209, respectively)</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749,948,744</w:t>
            </w:r>
          </w:p>
        </w:tc>
        <w:tc>
          <w:tcPr>
            <w:tcW w:w="160" w:type="dxa"/>
            <w:vAlign w:val="bottom"/>
            <w:shd w:val="clear" w:color="auto" w:fill="CCECFF"/>
          </w:tcPr>
          <w:p>
            <w:pPr>
              <w:spacing w:after="0"/>
              <w:rPr>
                <w:sz w:val="14"/>
                <w:szCs w:val="14"/>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735,674,666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affiliated investments (cost—$104,375,033 and $77,628,920, respectively)</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62,002,633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27,753,893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Controlled, affiliated investments (cost—$378,901,433 and $374,260,162, respectively)</w:t>
            </w:r>
          </w:p>
        </w:tc>
        <w:tc>
          <w:tcPr>
            <w:tcW w:w="640" w:type="dxa"/>
            <w:vAlign w:val="bottom"/>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315,139,688</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spacing w:after="0"/>
              <w:rPr>
                <w:sz w:val="14"/>
                <w:szCs w:val="14"/>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318,342,859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of investments (cost—$1,117,423,701 and $1,165,572,291, respectively)</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1,127,091,065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1,081,771,418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Cash and cash equivalents (cost—$20,114,225 and $25,801,087, respectively)</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20,157,299</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25,806,002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5,121,432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Distribution receivable</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1,089,000</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1,393,716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6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376,573</w:t>
            </w:r>
          </w:p>
        </w:tc>
        <w:tc>
          <w:tcPr>
            <w:tcW w:w="16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376,030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shd w:val="clear" w:color="auto" w:fill="CCECFF"/>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6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3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1,153,835,369</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1,114,352,881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Distributions payable</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8,045,413</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8,045,413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5,461,508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Truist Credit Facility payable, at fair value (cost—$355,544,900 and $388,252,000, respectively) (See Notes 5 and 10)</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349,104,144</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368,701,972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2024 Notes payable, net (par—$86,250,000 and $86,250,000, respectively) (See Notes 5 and 10)</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84,003,935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83,837,560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SBA debentures payable, net (par—$118,500,000 and $118,500,000, respectively) (See Notes 5 and 10)</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115,862,617</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115,772,677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Base management fee payable, net (See Note 3)</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4,114,428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4,369,637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debt</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2,971,453</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2,022,614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6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796,969</w:t>
            </w:r>
          </w:p>
        </w:tc>
        <w:tc>
          <w:tcPr>
            <w:tcW w:w="16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432,648</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60" w:type="dxa"/>
            <w:vAlign w:val="bottom"/>
            <w:shd w:val="clear" w:color="auto" w:fill="CCECFF"/>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6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3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565,038,179</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588,644,029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Commitments and contingencies (See Note 11)</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4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 67,045,105 and 67,045,105 shares issued and outstanding, respectively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6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787,625,031</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787,625,031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distributable net loss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(198,894,886)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(261,983,224)</w:t>
            </w:r>
          </w:p>
        </w:tc>
        <w:tc>
          <w:tcPr>
            <w:tcW w:w="0" w:type="dxa"/>
            <w:vAlign w:val="bottom"/>
          </w:tcPr>
          <w:p>
            <w:pPr>
              <w:spacing w:after="0"/>
              <w:rPr>
                <w:sz w:val="1"/>
                <w:szCs w:val="1"/>
                <w:color w:val="auto"/>
              </w:rPr>
            </w:pPr>
          </w:p>
        </w:tc>
      </w:tr>
      <w:tr>
        <w:trPr>
          <w:trHeight w:val="155"/>
        </w:trPr>
        <w:tc>
          <w:tcPr>
            <w:tcW w:w="7460" w:type="dxa"/>
            <w:vAlign w:val="bottom"/>
            <w:tcBorders>
              <w:top w:val="single" w:sz="8" w:color="CCECFF"/>
            </w:tcBorders>
            <w:shd w:val="clear" w:color="auto" w:fill="CCECFF"/>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6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588,797,190</w:t>
            </w: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525,708,852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60" w:type="dxa"/>
            <w:vAlign w:val="bottom"/>
            <w:tcBorders>
              <w:bottom w:val="single" w:sz="8" w:color="CCECFF"/>
            </w:tcBorders>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6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1,153,835,369</w:t>
            </w:r>
          </w:p>
        </w:tc>
        <w:tc>
          <w:tcPr>
            <w:tcW w:w="1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1,114,352,881</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460" w:type="dxa"/>
            <w:vAlign w:val="bottom"/>
            <w:tcBorders>
              <w:bottom w:val="single" w:sz="8" w:color="CCECFF"/>
            </w:tcBorders>
            <w:shd w:val="clear" w:color="auto" w:fill="CCEC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6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8.78</w:t>
            </w:r>
          </w:p>
        </w:tc>
        <w:tc>
          <w:tcPr>
            <w:tcW w:w="1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7.84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CFF"/>
            </w:tcBorders>
          </w:tcPr>
          <w:p>
            <w:pPr>
              <w:spacing w:after="0"/>
              <w:rPr>
                <w:sz w:val="13"/>
                <w:szCs w:val="13"/>
                <w:color w:val="auto"/>
              </w:rPr>
            </w:pPr>
          </w:p>
        </w:tc>
        <w:tc>
          <w:tcPr>
            <w:tcW w:w="120" w:type="dxa"/>
            <w:vAlign w:val="bottom"/>
            <w:tcBorders>
              <w:top w:val="single" w:sz="8" w:color="auto"/>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11,432,511</w:t>
            </w:r>
          </w:p>
        </w:tc>
        <w:tc>
          <w:tcPr>
            <w:tcW w:w="16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20,384,914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Payment-in-kind</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1,458,798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1,884,506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481,125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189,918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Payment-in-kind</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76,727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2,276,776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635,615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Payment-in-kind</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2,908,812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Dividend income</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1,521,000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18,732,460</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26,003,765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4,114,428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4,742,430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2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744,626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and expenses on debt (See Note 10)</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5,004,131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505,020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521,520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643,483</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643,480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Expenses before performance-based incentive fee waiver and provision for taxes</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10,267,062</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15,518,605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Performance-based incentive fee waiver (See Note 3)</w:t>
            </w:r>
          </w:p>
        </w:tc>
        <w:tc>
          <w:tcPr>
            <w:tcW w:w="2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Provision for taxes</w:t>
            </w:r>
          </w:p>
        </w:tc>
        <w:tc>
          <w:tcPr>
            <w:tcW w:w="2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10,417,062</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15,818,605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8,315,398</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10,185,160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Realized and unrealized gain on investments and debt:</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loss on investments on:</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2,130,958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(12,034,153)</w:t>
            </w: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2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(19,708,359)</w:t>
            </w: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loss on investments</w:t>
            </w: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(17,577,401)</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(12,034,153)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Net change in unrealized appreciation on:</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76,405,417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17,052,596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17,099,609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6,570,228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Debt appreciation (See Notes 5 and 10)</w:t>
            </w:r>
          </w:p>
        </w:tc>
        <w:tc>
          <w:tcPr>
            <w:tcW w:w="2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(13,109,272)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(2,571,321)</w:t>
            </w:r>
          </w:p>
        </w:tc>
        <w:tc>
          <w:tcPr>
            <w:tcW w:w="0" w:type="dxa"/>
            <w:vAlign w:val="bottom"/>
          </w:tcPr>
          <w:p>
            <w:pPr>
              <w:spacing w:after="0"/>
              <w:rPr>
                <w:sz w:val="1"/>
                <w:szCs w:val="1"/>
                <w:color w:val="auto"/>
              </w:rPr>
            </w:pPr>
          </w:p>
        </w:tc>
      </w:tr>
      <w:tr>
        <w:trPr>
          <w:trHeight w:val="155"/>
        </w:trPr>
        <w:tc>
          <w:tcPr>
            <w:tcW w:w="8180" w:type="dxa"/>
            <w:vAlign w:val="bottom"/>
            <w:tcBorders>
              <w:top w:val="single" w:sz="8" w:color="CCECFF"/>
            </w:tcBorders>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on investments and debt</w:t>
            </w: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80,395,754</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21,051,503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and unrealized gain from investments and debt</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62,818,353</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9,017,350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71,133,751</w:t>
            </w:r>
          </w:p>
        </w:tc>
        <w:tc>
          <w:tcPr>
            <w:tcW w:w="1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19,202,510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in net assets resulting from operations per common share (See Note 7)</w:t>
            </w: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CFF"/>
            </w:tcBorders>
            <w:vMerge w:val="continue"/>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1.06</w:t>
            </w:r>
          </w:p>
        </w:tc>
        <w:tc>
          <w:tcPr>
            <w:tcW w:w="1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180" w:type="dxa"/>
            <w:vAlign w:val="bottom"/>
            <w:tcBorders>
              <w:bottom w:val="single" w:sz="8" w:color="CCECFF"/>
            </w:tcBorders>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0.12</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56"/>
        </w:trPr>
        <w:tc>
          <w:tcPr>
            <w:tcW w:w="5540" w:type="dxa"/>
            <w:vAlign w:val="bottom"/>
            <w:tcBorders>
              <w:bottom w:val="single" w:sz="8" w:color="CCECFF"/>
            </w:tcBorders>
          </w:tcPr>
          <w:p>
            <w:pPr>
              <w:spacing w:after="0"/>
              <w:rPr>
                <w:sz w:val="13"/>
                <w:szCs w:val="13"/>
                <w:color w:val="auto"/>
              </w:rPr>
            </w:pPr>
          </w:p>
        </w:tc>
        <w:tc>
          <w:tcPr>
            <w:tcW w:w="218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CFF"/>
            </w:tcBorders>
          </w:tcPr>
          <w:p>
            <w:pPr>
              <w:spacing w:after="0"/>
              <w:rPr>
                <w:sz w:val="13"/>
                <w:szCs w:val="13"/>
                <w:color w:val="auto"/>
              </w:rPr>
            </w:pPr>
          </w:p>
        </w:tc>
        <w:tc>
          <w:tcPr>
            <w:tcW w:w="12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5"/>
        </w:trPr>
        <w:tc>
          <w:tcPr>
            <w:tcW w:w="55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218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investment income</w:t>
            </w:r>
          </w:p>
        </w:tc>
        <w:tc>
          <w:tcPr>
            <w:tcW w:w="252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8,315,398</w:t>
            </w:r>
          </w:p>
        </w:tc>
        <w:tc>
          <w:tcPr>
            <w:tcW w:w="180" w:type="dxa"/>
            <w:vAlign w:val="bottom"/>
          </w:tcPr>
          <w:p>
            <w:pPr>
              <w:spacing w:after="0"/>
              <w:rPr>
                <w:sz w:val="14"/>
                <w:szCs w:val="14"/>
                <w:color w:val="auto"/>
              </w:rPr>
            </w:pPr>
          </w:p>
        </w:tc>
        <w:tc>
          <w:tcPr>
            <w:tcW w:w="46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10,185,160</w:t>
            </w:r>
          </w:p>
        </w:tc>
        <w:tc>
          <w:tcPr>
            <w:tcW w:w="120" w:type="dxa"/>
            <w:vAlign w:val="bottom"/>
          </w:tcPr>
          <w:p>
            <w:pPr>
              <w:spacing w:after="0"/>
              <w:rPr>
                <w:sz w:val="14"/>
                <w:szCs w:val="14"/>
                <w:color w:val="auto"/>
              </w:rPr>
            </w:pPr>
          </w:p>
        </w:tc>
      </w:tr>
      <w:tr>
        <w:trPr>
          <w:trHeight w:val="162"/>
        </w:trPr>
        <w:tc>
          <w:tcPr>
            <w:tcW w:w="55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21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(17,577,401)</w:t>
            </w:r>
          </w:p>
        </w:tc>
        <w:tc>
          <w:tcPr>
            <w:tcW w:w="1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(12,034,153)</w:t>
            </w:r>
          </w:p>
        </w:tc>
      </w:tr>
      <w:tr>
        <w:trPr>
          <w:trHeight w:val="162"/>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change in unrealized appreciation on investments</w:t>
            </w: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93,505,026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23,622,824</w:t>
            </w:r>
          </w:p>
        </w:tc>
        <w:tc>
          <w:tcPr>
            <w:tcW w:w="120" w:type="dxa"/>
            <w:vAlign w:val="bottom"/>
          </w:tcPr>
          <w:p>
            <w:pPr>
              <w:spacing w:after="0"/>
              <w:rPr>
                <w:sz w:val="14"/>
                <w:szCs w:val="14"/>
                <w:color w:val="auto"/>
              </w:rPr>
            </w:pPr>
          </w:p>
        </w:tc>
      </w:tr>
      <w:tr>
        <w:trPr>
          <w:trHeight w:val="162"/>
        </w:trPr>
        <w:tc>
          <w:tcPr>
            <w:tcW w:w="55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Net change in unrealized appreciation on debt</w:t>
            </w:r>
          </w:p>
        </w:tc>
        <w:tc>
          <w:tcPr>
            <w:tcW w:w="21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(13,109,272)</w:t>
            </w:r>
          </w:p>
        </w:tc>
        <w:tc>
          <w:tcPr>
            <w:tcW w:w="1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(2,571,321)</w:t>
            </w:r>
          </w:p>
        </w:tc>
      </w:tr>
      <w:tr>
        <w:trPr>
          <w:trHeight w:val="155"/>
        </w:trPr>
        <w:tc>
          <w:tcPr>
            <w:tcW w:w="554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218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71,133,751</w:t>
            </w:r>
          </w:p>
        </w:tc>
        <w:tc>
          <w:tcPr>
            <w:tcW w:w="18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19,202,510</w:t>
            </w:r>
          </w:p>
        </w:tc>
        <w:tc>
          <w:tcPr>
            <w:tcW w:w="120" w:type="dxa"/>
            <w:vAlign w:val="bottom"/>
            <w:tcBorders>
              <w:bottom w:val="single" w:sz="8" w:color="CCECFF"/>
            </w:tcBorders>
          </w:tcPr>
          <w:p>
            <w:pPr>
              <w:spacing w:after="0"/>
              <w:rPr>
                <w:sz w:val="13"/>
                <w:szCs w:val="13"/>
                <w:color w:val="auto"/>
              </w:rPr>
            </w:pPr>
          </w:p>
        </w:tc>
      </w:tr>
      <w:tr>
        <w:trPr>
          <w:trHeight w:val="156"/>
        </w:trPr>
        <w:tc>
          <w:tcPr>
            <w:tcW w:w="55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218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(8,045,413)</w:t>
            </w:r>
          </w:p>
        </w:tc>
        <w:tc>
          <w:tcPr>
            <w:tcW w:w="1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(12,068,119)</w:t>
            </w:r>
          </w:p>
        </w:tc>
        <w:tc>
          <w:tcPr>
            <w:tcW w:w="120" w:type="dxa"/>
            <w:vAlign w:val="bottom"/>
            <w:shd w:val="clear" w:color="auto" w:fill="CCECFF"/>
          </w:tcPr>
          <w:p>
            <w:pPr>
              <w:spacing w:after="0"/>
              <w:rPr>
                <w:sz w:val="13"/>
                <w:szCs w:val="13"/>
                <w:color w:val="auto"/>
              </w:rPr>
            </w:pPr>
          </w:p>
        </w:tc>
      </w:tr>
      <w:tr>
        <w:trPr>
          <w:trHeight w:val="156"/>
        </w:trPr>
        <w:tc>
          <w:tcPr>
            <w:tcW w:w="554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w:t>
            </w:r>
          </w:p>
        </w:tc>
        <w:tc>
          <w:tcPr>
            <w:tcW w:w="21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63,088,338</w:t>
            </w:r>
          </w:p>
        </w:tc>
        <w:tc>
          <w:tcPr>
            <w:tcW w:w="18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7,134,391</w:t>
            </w:r>
          </w:p>
        </w:tc>
        <w:tc>
          <w:tcPr>
            <w:tcW w:w="120" w:type="dxa"/>
            <w:vAlign w:val="bottom"/>
            <w:tcBorders>
              <w:bottom w:val="single" w:sz="8" w:color="CCECFF"/>
            </w:tcBorders>
          </w:tcPr>
          <w:p>
            <w:pPr>
              <w:spacing w:after="0"/>
              <w:rPr>
                <w:sz w:val="13"/>
                <w:szCs w:val="13"/>
                <w:color w:val="auto"/>
              </w:rPr>
            </w:pPr>
          </w:p>
        </w:tc>
      </w:tr>
      <w:tr>
        <w:trPr>
          <w:trHeight w:val="155"/>
        </w:trPr>
        <w:tc>
          <w:tcPr>
            <w:tcW w:w="55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218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54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4"/>
                <w:szCs w:val="14"/>
                <w:color w:val="auto"/>
              </w:rPr>
              <w:t>Beginning of period</w:t>
            </w:r>
          </w:p>
        </w:tc>
        <w:tc>
          <w:tcPr>
            <w:tcW w:w="218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525,708,852</w:t>
            </w:r>
          </w:p>
        </w:tc>
        <w:tc>
          <w:tcPr>
            <w:tcW w:w="1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581,905,668</w:t>
            </w:r>
          </w:p>
        </w:tc>
        <w:tc>
          <w:tcPr>
            <w:tcW w:w="120" w:type="dxa"/>
            <w:vAlign w:val="bottom"/>
            <w:tcBorders>
              <w:bottom w:val="single" w:sz="8" w:color="CCECFF"/>
            </w:tcBorders>
          </w:tcPr>
          <w:p>
            <w:pPr>
              <w:spacing w:after="0"/>
              <w:rPr>
                <w:sz w:val="14"/>
                <w:szCs w:val="14"/>
                <w:color w:val="auto"/>
              </w:rPr>
            </w:pPr>
          </w:p>
        </w:tc>
      </w:tr>
      <w:tr>
        <w:trPr>
          <w:trHeight w:val="155"/>
        </w:trPr>
        <w:tc>
          <w:tcPr>
            <w:tcW w:w="5540" w:type="dxa"/>
            <w:vAlign w:val="bottom"/>
            <w:tcBorders>
              <w:bottom w:val="single" w:sz="8" w:color="CCECFF"/>
            </w:tcBorders>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color w:val="auto"/>
              </w:rPr>
              <w:t>End of period</w:t>
            </w:r>
          </w:p>
        </w:tc>
        <w:tc>
          <w:tcPr>
            <w:tcW w:w="218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588,797,190</w:t>
            </w:r>
          </w:p>
        </w:tc>
        <w:tc>
          <w:tcPr>
            <w:tcW w:w="1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589,040,059</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used for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71,133,751</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19,202,510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CECFF"/>
          </w:tcPr>
          <w:p>
            <w:pPr>
              <w:jc w:val="right"/>
              <w:ind w:right="3408"/>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in net assets resulting from</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4"/>
                <w:szCs w:val="14"/>
                <w:color w:val="auto"/>
              </w:rPr>
              <w:t>operations to net cash provided (used) by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change in net unrealized appreciation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(93,505,026)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(23,622,824)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Net change in unrealized appreciation on debt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13,109,272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2,571,321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17,577,401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12,034,153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(391,947)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(568,692)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(68,209,636)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(173,691,052)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Payment-in-kind income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(3,446,716)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(4,792,602)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102,590,824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31,151,013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256,315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746,080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(Increase) decrease in interest receivable</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(115,717)</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Decrease in distribution receivable</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304,716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Increase in prepaid expenses and other assets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(371,909)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(Decrease) increase in payable for investments purchased</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(5,322,288)</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62,528,206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Increase in interest payable on debt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948,839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2,392,195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(Decrease) increase in base management fee payable, net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(255,209)</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100,950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Increase in performance-based incentive fee payable, net</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744,626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Increase in accrued other expenses</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364,321</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81,881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jc w:val="right"/>
              <w:ind w:right="3408"/>
              <w:spacing w:after="0" w:line="155" w:lineRule="exact"/>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35,038,357</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(71,322,809)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(8,045,413)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(12,068,119)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Proceeds from 2024 Notes issuance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10,912,500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Repayments of SBA debentures</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(16,500,000)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Borrowings under BNP Credit Facility</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Repayments under BNP Credit Facility</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Borrowings under Truist Credit Facility</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16,292,900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Repayments under Truist Credit Facility</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(34,000,000)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jc w:val="right"/>
              <w:ind w:right="3408"/>
              <w:spacing w:after="0" w:line="155" w:lineRule="exact"/>
              <w:rPr>
                <w:sz w:val="20"/>
                <w:szCs w:val="20"/>
                <w:color w:val="auto"/>
              </w:rPr>
            </w:pPr>
            <w:r>
              <w:rPr>
                <w:rFonts w:ascii="Times New Roman" w:cs="Times New Roman" w:eastAsia="Times New Roman" w:hAnsi="Times New Roman"/>
                <w:sz w:val="14"/>
                <w:szCs w:val="14"/>
                <w:color w:val="auto"/>
              </w:rPr>
              <w:t>Net cash (used) provided by financing activities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(40,752,513)</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43,844,381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(5,714,156)</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(27,478,428)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65,453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69,841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25,806,002</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59,516,236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20,157,299</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32,107,649</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paid</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3,798,977</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5,727,794</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Taxes paid</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bottom w:val="single" w:sz="8" w:color="auto"/>
            </w:tcBorders>
          </w:tcPr>
          <w:p>
            <w:pPr>
              <w:jc w:val="right"/>
              <w:ind w:right="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3,528</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180,700</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16,515,842</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47,919,106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020" w:type="dxa"/>
            <w:vAlign w:val="bottom"/>
          </w:tcPr>
          <w:p>
            <w:pPr>
              <w:spacing w:after="0"/>
              <w:rPr>
                <w:sz w:val="10"/>
                <w:szCs w:val="10"/>
                <w:color w:val="auto"/>
              </w:rPr>
            </w:pPr>
          </w:p>
        </w:tc>
        <w:tc>
          <w:tcPr>
            <w:tcW w:w="88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3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(3)</w:t>
            </w:r>
          </w:p>
        </w:tc>
      </w:tr>
      <w:tr>
        <w:trPr>
          <w:trHeight w:val="128"/>
        </w:trPr>
        <w:tc>
          <w:tcPr>
            <w:tcW w:w="390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Companies—127.4 </w:t>
            </w:r>
            <w:r>
              <w:rPr>
                <w:rFonts w:ascii="Times New Roman" w:cs="Times New Roman" w:eastAsia="Times New Roman" w:hAnsi="Times New Roman"/>
                <w:sz w:val="9"/>
                <w:szCs w:val="9"/>
                <w:b w:val="1"/>
                <w:bCs w:val="1"/>
                <w:color w:val="auto"/>
              </w:rPr>
              <w:t>(1), (2)</w:t>
            </w: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Debt—65.4%</w:t>
            </w:r>
          </w:p>
        </w:tc>
        <w:tc>
          <w:tcPr>
            <w:tcW w:w="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08/11/2025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8,302,303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7,516,678</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8,219,280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07/24/2025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47,750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07/24/2025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137,500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(6,188)</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12/21/2023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15,916,651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15,712,234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15,677,901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07/31/2025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1,339,750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12/29/2026</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7,331,762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7,331,250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06/29/2022</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12/29/2026</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02/13/2023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6,705,463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6,662,572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6,635,727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Broder Bros., Co.</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12/02/2022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9.75%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25,763,753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25,763,753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23,702,653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Compex Legal Services, Inc.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02/09/2026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3,596,834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3,533,256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3,487,490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02/07/2025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458,962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445,010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02/07/2025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(5,980)</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Datalot Inc.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01/24/2025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1,788,165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DermaRite Industries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03/03/2022</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8,975,884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8,933,952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8,975,884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11/03/2025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1,528,102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12/23/2025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517,594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517,594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517,594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11/14/2022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1,103,616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1,083,361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1,103,616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12/31/2026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5,850,295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5,850,000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12/31/2022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12/31/2026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12/10/2024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2,560,645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2,541,912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2,496,629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12/10/2024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3,387,097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(84,677)</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IMIA Holdings, Inc.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10/26/2025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5,559,035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5,453,403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5,531,240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06/27/2023</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8.37%</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L+737</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19,835,121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19,765,568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20,033,472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08/27/2025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16,625,229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16,507,692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16,043,346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12/22/2021</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13,145,966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13,078,763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13,145,966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11,890,667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11,776,037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11,682,580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K2 Pure Solutions NoCal, L.P.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872,143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872,143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856,880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1,065,952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(18,654)</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Kentucky Downs, LLC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03/07/2025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827,586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(10,345)</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10/31/2024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761,082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755,016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705,219</w:t>
            </w: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5.00%)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1,560,293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1,545,716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1,529,087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Lightspeed Buyer Inc.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08/03/2021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882,075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(8,821)</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388,593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388,593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380,822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777,187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(15,544)</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04/13/2023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1,773,894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1,773,894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1,694,069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1.00%)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04/13/2023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05/23/2024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2,868,309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2,837,507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2,753,576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05/23/2024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(100,734)</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Ox Two,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21,243,821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21,027,529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21,243,821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Ox Two, LLC (Revolver)</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2,012,000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PRA Events, Inc.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08/07/2025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L+1,050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21,724,506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18,471,025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18,791,698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PRA Events, Inc.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08/07/2025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L+1,050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2,258,461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1,920,232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1,953,568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Questex,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21,993,750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21,696,449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20,014,313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Questex, LLC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2,632,979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2,632,979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2,396,011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957,447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(86,170)</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03/31/2025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296,952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296,952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288,578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03/31/2025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1,930,190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(54,431)</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3,592,994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3,592,313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12/18/2022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Research Horizons,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06/28/2022</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28,953,547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28,774,350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28,084,940</w:t>
            </w:r>
          </w:p>
        </w:tc>
        <w:tc>
          <w:tcPr>
            <w:tcW w:w="100" w:type="dxa"/>
            <w:vAlign w:val="bottom"/>
          </w:tcPr>
          <w:p>
            <w:pPr>
              <w:spacing w:after="0"/>
              <w:rPr>
                <w:sz w:val="11"/>
                <w:szCs w:val="11"/>
                <w:color w:val="auto"/>
              </w:rPr>
            </w:pPr>
          </w:p>
        </w:tc>
      </w:tr>
      <w:tr>
        <w:trPr>
          <w:trHeight w:val="121"/>
        </w:trPr>
        <w:tc>
          <w:tcPr>
            <w:tcW w:w="30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88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35"/>
        </w:trPr>
        <w:tc>
          <w:tcPr>
            <w:tcW w:w="30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12/20/2024</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2,906,240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2,906,240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2,853,201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06/20/2025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363,636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(5,782)</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03/10/2025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L+725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16,000,704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15,733,819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15,120,665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07/07/2021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1,829,268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(32,012)</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01/03/2025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(12,805)</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12/20/2024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597,943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(7,474)</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514,971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509,323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464,761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14,223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22,281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(2,172)</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Sigma Defense Systems, LLC</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9.75%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8,294,518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8,292,375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9"/>
                <w:szCs w:val="9"/>
                <w:color w:val="auto"/>
              </w:rPr>
              <w:t>(7)</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05/03/2024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2,016,129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2,016,129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1,970,766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 (Revolver)</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01/17/2024</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1,240,009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01/17/2024</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Communications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(2,914)</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Spear Education, LLC</w:t>
            </w: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02/26/2025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15,011,563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14,874,217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14,636,274</w:t>
            </w:r>
          </w:p>
        </w:tc>
        <w:tc>
          <w:tcPr>
            <w:tcW w:w="100" w:type="dxa"/>
            <w:vAlign w:val="bottom"/>
            <w:shd w:val="clear" w:color="auto" w:fill="CCECFF"/>
          </w:tcPr>
          <w:p>
            <w:pPr>
              <w:spacing w:after="0"/>
              <w:rPr>
                <w:sz w:val="11"/>
                <w:szCs w:val="1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9"/>
                <w:szCs w:val="9"/>
                <w:color w:val="auto"/>
              </w:rPr>
              <w:t>(7)</w:t>
            </w:r>
          </w:p>
        </w:tc>
        <w:tc>
          <w:tcPr>
            <w:tcW w:w="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02/26/2022</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(171,875)</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90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(3)</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9"/>
              </w:rPr>
              <w:t>12/23/2025</w:t>
            </w: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11.01%</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20,951,480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21,600,000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9"/>
                <w:szCs w:val="9"/>
                <w:color w:val="auto"/>
              </w:rPr>
              <w:t>(8),(11)</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11/24/2025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1,784,638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1,784,638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1,731,099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17,615,084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17,382,676</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17,747,197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9"/>
                <w:szCs w:val="9"/>
                <w:color w:val="auto"/>
              </w:rPr>
              <w:t>(7)</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2,702,151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20,266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4,307,692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4,307,692</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4,307,692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TWS Acquisition Corporation (Revolver)</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505,714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Tyto Athene,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08/27/2024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6,012,024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5,985,060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6,012,024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US Med Acquisition,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02/13/2023</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8,279,688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8,279,688</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8,279,688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09/26/2024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21,082,636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21,375,000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1,641,087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1,622,408</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1,624,676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9"/>
                <w:szCs w:val="9"/>
                <w:color w:val="auto"/>
              </w:rPr>
              <w:t>(7)</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02/27/2022</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2,573,529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551,471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(10,037)</w:t>
            </w:r>
          </w:p>
        </w:tc>
      </w:tr>
      <w:tr>
        <w:trPr>
          <w:trHeight w:val="128"/>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389,083,813</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384,835,914</w:t>
            </w:r>
          </w:p>
        </w:tc>
        <w:tc>
          <w:tcPr>
            <w:tcW w:w="100" w:type="dxa"/>
            <w:vAlign w:val="bottom"/>
            <w:tcBorders>
              <w:bottom w:val="single" w:sz="8" w:color="CCECFF"/>
            </w:tcBorders>
          </w:tcPr>
          <w:p>
            <w:pPr>
              <w:spacing w:after="0"/>
              <w:rPr>
                <w:sz w:val="11"/>
                <w:szCs w:val="11"/>
                <w:color w:val="auto"/>
              </w:rPr>
            </w:pPr>
          </w:p>
        </w:tc>
      </w:tr>
      <w:tr>
        <w:trPr>
          <w:trHeight w:val="129"/>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Debt—22.3%</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Confie Seguros Holding Co.</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10/31/2025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8.66%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14,290,525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14,210,000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 Axle,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rPr>
              <w:t>Other Media</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L+925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20,172,871</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20,349,000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DecoPac,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03/31/2025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19,394,860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Halo Buyer,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07/06/2026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32,074,502</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31,606,250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MBS Holdings,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19,623,649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19,379,369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19,427,413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VT Topco,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08/24/2026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7.15%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9,957,230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9,800,000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04/06/2026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L+900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16,571,800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16,074,821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16,240,363</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131,344,178</w:t>
            </w: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131,260,169</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Subordinated Debt/Corporate Notes—8.9%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03/17/2025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14,122,679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13,923,379</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13,910,839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2.00%)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Cascade Environmental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12/30/2023</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38,592,330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38,190,220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38,688,811</w:t>
            </w:r>
          </w:p>
        </w:tc>
        <w:tc>
          <w:tcPr>
            <w:tcW w:w="100" w:type="dxa"/>
            <w:vAlign w:val="bottom"/>
          </w:tcPr>
          <w:p>
            <w:pPr>
              <w:spacing w:after="0"/>
              <w:rPr>
                <w:sz w:val="11"/>
                <w:szCs w:val="11"/>
                <w:color w:val="auto"/>
              </w:rPr>
            </w:pPr>
          </w:p>
        </w:tc>
      </w:tr>
      <w:tr>
        <w:trPr>
          <w:trHeight w:val="135"/>
        </w:trPr>
        <w:tc>
          <w:tcPr>
            <w:tcW w:w="30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13.00%)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52,113,599</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52,599,650</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Interests—3.6% </w:t>
            </w:r>
            <w:r>
              <w:rPr>
                <w:rFonts w:ascii="Times New Roman" w:cs="Times New Roman" w:eastAsia="Times New Roman" w:hAnsi="Times New Roman"/>
                <w:sz w:val="9"/>
                <w:szCs w:val="9"/>
                <w:b w:val="1"/>
                <w:bCs w:val="1"/>
                <w:color w:val="auto"/>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AH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39,574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Cascade Environmental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178,304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17,607,478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18,661,355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504,493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132,956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1,346,530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1,544,351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(8),(11)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243,352</w:t>
            </w:r>
          </w:p>
        </w:tc>
        <w:tc>
          <w:tcPr>
            <w:tcW w:w="100" w:type="dxa"/>
            <w:vAlign w:val="bottom"/>
          </w:tcPr>
          <w:p>
            <w:pPr>
              <w:spacing w:after="0"/>
              <w:rPr>
                <w:sz w:val="11"/>
                <w:szCs w:val="11"/>
                <w:color w:val="auto"/>
              </w:rPr>
            </w:pPr>
          </w:p>
        </w:tc>
      </w:tr>
      <w:tr>
        <w:trPr>
          <w:trHeight w:val="129"/>
        </w:trPr>
        <w:tc>
          <w:tcPr>
            <w:tcW w:w="302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20,319,841</w:t>
            </w: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21,126,081</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Interests/Warrants—27.2% </w:t>
            </w:r>
            <w:r>
              <w:rPr>
                <w:rFonts w:ascii="Times New Roman" w:cs="Times New Roman" w:eastAsia="Times New Roman" w:hAnsi="Times New Roman"/>
                <w:sz w:val="9"/>
                <w:szCs w:val="9"/>
                <w:b w:val="1"/>
                <w:bCs w:val="1"/>
                <w:color w:val="auto"/>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04/10/2024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2,126,399</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1,090,798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AH Holdings, Inc. (Warrants)</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03/23/2021</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56,992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ASP LCG Holdings, Inc. (Warrants)</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05/05/2026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586,975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2,041,614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Cascade Environmental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2,852,080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953,130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1,243,217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266,395</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(Summit)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134,180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1,409,866</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2,007,660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(SFP Holdings,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1,240,386</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DecoPac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3,448,658</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4,753,541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729,000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433,628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9"/>
                <w:szCs w:val="9"/>
                <w:color w:val="auto"/>
              </w:rPr>
              <w:t>(11)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1,004,625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931,879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Faraday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217,635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1,397,123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1,053,800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1,565,301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1,584,192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111,574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749,610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3,496,632</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Infogroup Parent Holdings, Inc. (Data Axle,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Other 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3,129,597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2,455,540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72,877,813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15,301,281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Kadmon Holdings, Inc. </w:t>
            </w:r>
            <w:r>
              <w:rPr>
                <w:rFonts w:ascii="Times New Roman" w:cs="Times New Roman" w:eastAsia="Times New Roman" w:hAnsi="Times New Roman"/>
                <w:sz w:val="9"/>
                <w:szCs w:val="9"/>
                <w:color w:val="auto"/>
              </w:rPr>
              <w:t>(5)</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252,014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2,265,639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1,045,858</w:t>
            </w:r>
          </w:p>
        </w:tc>
        <w:tc>
          <w:tcPr>
            <w:tcW w:w="100" w:type="dxa"/>
            <w:vAlign w:val="bottom"/>
          </w:tcPr>
          <w:p>
            <w:pPr>
              <w:spacing w:after="0"/>
              <w:rPr>
                <w:sz w:val="12"/>
                <w:szCs w:val="12"/>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(3)</w:t>
            </w:r>
          </w:p>
        </w:tc>
      </w:tr>
      <w:tr>
        <w:trPr>
          <w:trHeight w:val="128"/>
        </w:trPr>
        <w:tc>
          <w:tcPr>
            <w:tcW w:w="29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120" w:type="dxa"/>
            <w:vAlign w:val="bottom"/>
            <w:tcBorders>
              <w:top w:val="single" w:sz="8" w:color="CCECFF"/>
            </w:tcBorders>
            <w:shd w:val="clear" w:color="auto" w:fill="CCECFF"/>
          </w:tcPr>
          <w:p>
            <w:pPr>
              <w:spacing w:after="0"/>
              <w:rPr>
                <w:sz w:val="11"/>
                <w:szCs w:val="11"/>
                <w:color w:val="auto"/>
              </w:rPr>
            </w:pPr>
          </w:p>
        </w:tc>
        <w:tc>
          <w:tcPr>
            <w:tcW w:w="500" w:type="dxa"/>
            <w:vAlign w:val="bottom"/>
            <w:tcBorders>
              <w:top w:val="single" w:sz="8" w:color="auto"/>
            </w:tcBorders>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CECFF"/>
            </w:tcBorders>
            <w:shd w:val="clear" w:color="auto" w:fill="CCECFF"/>
          </w:tcPr>
          <w:p>
            <w:pPr>
              <w:spacing w:after="0"/>
              <w:rPr>
                <w:sz w:val="11"/>
                <w:szCs w:val="11"/>
                <w:color w:val="auto"/>
              </w:rPr>
            </w:pPr>
          </w:p>
        </w:tc>
        <w:tc>
          <w:tcPr>
            <w:tcW w:w="25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583,227</w:t>
            </w: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627,585</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348,558</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33,027</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982,857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870,197</w:t>
            </w:r>
          </w:p>
        </w:tc>
        <w:tc>
          <w:tcPr>
            <w:tcW w:w="100" w:type="dxa"/>
            <w:vAlign w:val="bottom"/>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148,507</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RFMG Parent,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SBI Holdings Investments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365,854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267,014</w:t>
            </w:r>
          </w:p>
        </w:tc>
        <w:tc>
          <w:tcPr>
            <w:tcW w:w="100" w:type="dxa"/>
            <w:vAlign w:val="bottom"/>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70,870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51,394</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1,749,600</w:t>
            </w:r>
          </w:p>
        </w:tc>
        <w:tc>
          <w:tcPr>
            <w:tcW w:w="100" w:type="dxa"/>
            <w:vAlign w:val="bottom"/>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5,640,782</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60,977</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3,021,880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522,516</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WBB Equity,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3,318,857</w:t>
            </w:r>
          </w:p>
        </w:tc>
        <w:tc>
          <w:tcPr>
            <w:tcW w:w="100" w:type="dxa"/>
            <w:vAlign w:val="bottom"/>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(Whitney, Bradley &amp; Brown, Inc.)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Wheel Pros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3,778,704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1,129,183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24,663,430</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Wildcat Parent, LP (Wildcat Buyerco,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325,128</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1,056,249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3,362,443</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41,285,804</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160,126,930</w:t>
            </w:r>
          </w:p>
        </w:tc>
        <w:tc>
          <w:tcPr>
            <w:tcW w:w="100" w:type="dxa"/>
            <w:vAlign w:val="bottom"/>
            <w:tcBorders>
              <w:bottom w:val="single" w:sz="8" w:color="CCECFF"/>
            </w:tcBorders>
          </w:tcPr>
          <w:p>
            <w:pPr>
              <w:spacing w:after="0"/>
              <w:rPr>
                <w:sz w:val="11"/>
                <w:szCs w:val="11"/>
                <w:color w:val="auto"/>
              </w:rPr>
            </w:pPr>
          </w:p>
        </w:tc>
      </w:tr>
      <w:tr>
        <w:trPr>
          <w:trHeight w:val="128"/>
        </w:trPr>
        <w:tc>
          <w:tcPr>
            <w:tcW w:w="3820" w:type="dxa"/>
            <w:vAlign w:val="bottom"/>
            <w:gridSpan w:val="5"/>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634,147,235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749,948,744</w:t>
            </w:r>
          </w:p>
        </w:tc>
        <w:tc>
          <w:tcPr>
            <w:tcW w:w="100" w:type="dxa"/>
            <w:vAlign w:val="bottom"/>
            <w:shd w:val="clear" w:color="auto" w:fill="CCECFF"/>
          </w:tcPr>
          <w:p>
            <w:pPr>
              <w:spacing w:after="0"/>
              <w:rPr>
                <w:sz w:val="11"/>
                <w:szCs w:val="11"/>
                <w:color w:val="auto"/>
              </w:rPr>
            </w:pPr>
          </w:p>
        </w:tc>
      </w:tr>
      <w:tr>
        <w:trPr>
          <w:trHeight w:val="128"/>
        </w:trPr>
        <w:tc>
          <w:tcPr>
            <w:tcW w:w="38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Companies—10.5% </w:t>
            </w:r>
            <w:r>
              <w:rPr>
                <w:rFonts w:ascii="Times New Roman" w:cs="Times New Roman" w:eastAsia="Times New Roman" w:hAnsi="Times New Roman"/>
                <w:sz w:val="9"/>
                <w:szCs w:val="9"/>
                <w:b w:val="1"/>
                <w:bCs w:val="1"/>
                <w:color w:val="auto"/>
              </w:rPr>
              <w:t>(1), (2)</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Mailsouth Inc.</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5"/>
              </w:rPr>
              <w:t>04/23/2025</w:t>
            </w:r>
          </w:p>
        </w:tc>
        <w:tc>
          <w:tcPr>
            <w:tcW w:w="240" w:type="dxa"/>
            <w:vAlign w:val="bottom"/>
          </w:tcPr>
          <w:p>
            <w:pPr>
              <w:spacing w:after="0"/>
              <w:rPr>
                <w:sz w:val="11"/>
                <w:szCs w:val="11"/>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15.00%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10,230,271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10,230,271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10,230,271</w:t>
            </w:r>
          </w:p>
        </w:tc>
        <w:tc>
          <w:tcPr>
            <w:tcW w:w="100" w:type="dxa"/>
            <w:vAlign w:val="bottom"/>
          </w:tcPr>
          <w:p>
            <w:pPr>
              <w:spacing w:after="0"/>
              <w:rPr>
                <w:sz w:val="11"/>
                <w:szCs w:val="11"/>
                <w:color w:val="auto"/>
              </w:rPr>
            </w:pPr>
          </w:p>
        </w:tc>
      </w:tr>
      <w:tr>
        <w:trPr>
          <w:trHeight w:val="135"/>
        </w:trPr>
        <w:tc>
          <w:tcPr>
            <w:tcW w:w="2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15.00%)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10,230,271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10,230,271</w:t>
            </w:r>
          </w:p>
        </w:tc>
        <w:tc>
          <w:tcPr>
            <w:tcW w:w="100" w:type="dxa"/>
            <w:vAlign w:val="bottom"/>
            <w:shd w:val="clear" w:color="auto" w:fill="CCECFF"/>
          </w:tcPr>
          <w:p>
            <w:pPr>
              <w:spacing w:after="0"/>
              <w:rPr>
                <w:sz w:val="11"/>
                <w:szCs w:val="11"/>
                <w:color w:val="auto"/>
              </w:rPr>
            </w:pPr>
          </w:p>
        </w:tc>
      </w:tr>
      <w:tr>
        <w:trPr>
          <w:trHeight w:val="129"/>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Interests—5.2% </w:t>
            </w:r>
            <w:r>
              <w:rPr>
                <w:rFonts w:ascii="Times New Roman" w:cs="Times New Roman" w:eastAsia="Times New Roman" w:hAnsi="Times New Roman"/>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6,173,200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15,392,189</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30,587,519</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21,565,389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30,587,519</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Interests/Warrants—3.6% </w:t>
            </w:r>
            <w:r>
              <w:rPr>
                <w:rFonts w:ascii="Times New Roman" w:cs="Times New Roman" w:eastAsia="Times New Roman" w:hAnsi="Times New Roman"/>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29,711,576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1,562,020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24,789,935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4,669,001</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MSpark,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16,515,842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16,515,842</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72,579,373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21,184,843</w:t>
            </w:r>
          </w:p>
        </w:tc>
        <w:tc>
          <w:tcPr>
            <w:tcW w:w="100" w:type="dxa"/>
            <w:vAlign w:val="bottom"/>
            <w:shd w:val="clear" w:color="auto" w:fill="CCECFF"/>
          </w:tcPr>
          <w:p>
            <w:pPr>
              <w:spacing w:after="0"/>
              <w:rPr>
                <w:sz w:val="11"/>
                <w:szCs w:val="11"/>
                <w:color w:val="auto"/>
              </w:rPr>
            </w:pPr>
          </w:p>
        </w:tc>
      </w:tr>
      <w:tr>
        <w:trPr>
          <w:trHeight w:val="129"/>
        </w:trPr>
        <w:tc>
          <w:tcPr>
            <w:tcW w:w="3820" w:type="dxa"/>
            <w:vAlign w:val="bottom"/>
            <w:tcBorders>
              <w:bottom w:val="single" w:sz="8" w:color="CCECFF"/>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104,375,033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62,002,633</w:t>
            </w:r>
          </w:p>
        </w:tc>
        <w:tc>
          <w:tcPr>
            <w:tcW w:w="100" w:type="dxa"/>
            <w:vAlign w:val="bottom"/>
            <w:tcBorders>
              <w:bottom w:val="single" w:sz="8" w:color="CCECFF"/>
            </w:tcBorders>
          </w:tcPr>
          <w:p>
            <w:pPr>
              <w:spacing w:after="0"/>
              <w:rPr>
                <w:sz w:val="11"/>
                <w:szCs w:val="11"/>
                <w:color w:val="auto"/>
              </w:rPr>
            </w:pPr>
          </w:p>
        </w:tc>
      </w:tr>
      <w:tr>
        <w:trPr>
          <w:trHeight w:val="128"/>
        </w:trPr>
        <w:tc>
          <w:tcPr>
            <w:tcW w:w="3820" w:type="dxa"/>
            <w:vAlign w:val="bottom"/>
            <w:gridSpan w:val="5"/>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Companies—53.5% </w:t>
            </w:r>
            <w:r>
              <w:rPr>
                <w:rFonts w:ascii="Times New Roman" w:cs="Times New Roman" w:eastAsia="Times New Roman" w:hAnsi="Times New Roman"/>
                <w:sz w:val="9"/>
                <w:szCs w:val="9"/>
                <w:b w:val="1"/>
                <w:bCs w:val="1"/>
                <w:color w:val="auto"/>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Debt—6.8%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62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5"/>
              </w:rPr>
              <w:t>03/13/2024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40,998,100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40,325,025</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40,998,100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40,325,025</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Debt—9.2%</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5"/>
              </w:rPr>
              <w:t>11/30/2024</w:t>
            </w:r>
          </w:p>
        </w:tc>
        <w:tc>
          <w:tcPr>
            <w:tcW w:w="240" w:type="dxa"/>
            <w:vAlign w:val="bottom"/>
          </w:tcPr>
          <w:p>
            <w:pPr>
              <w:spacing w:after="0"/>
              <w:rPr>
                <w:sz w:val="11"/>
                <w:szCs w:val="11"/>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53,954,516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53,593,620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53,954,516</w:t>
            </w:r>
          </w:p>
        </w:tc>
        <w:tc>
          <w:tcPr>
            <w:tcW w:w="100" w:type="dxa"/>
            <w:vAlign w:val="bottom"/>
          </w:tcPr>
          <w:p>
            <w:pPr>
              <w:spacing w:after="0"/>
              <w:rPr>
                <w:sz w:val="11"/>
                <w:szCs w:val="11"/>
                <w:color w:val="auto"/>
              </w:rPr>
            </w:pPr>
          </w:p>
        </w:tc>
      </w:tr>
      <w:tr>
        <w:trPr>
          <w:trHeight w:val="135"/>
        </w:trPr>
        <w:tc>
          <w:tcPr>
            <w:tcW w:w="2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11.00%)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53,593,620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53,954,516</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Subordinated Debt—10.9%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9"/>
                <w:szCs w:val="9"/>
                <w:color w:val="auto"/>
              </w:rPr>
              <w:t>(11)</w:t>
            </w:r>
          </w:p>
        </w:tc>
        <w:tc>
          <w:tcPr>
            <w:tcW w:w="62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5"/>
              </w:rPr>
              <w:t>07/31/2027</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64,154,570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64,154,570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64,154,570</w:t>
            </w:r>
          </w:p>
        </w:tc>
        <w:tc>
          <w:tcPr>
            <w:tcW w:w="100" w:type="dxa"/>
            <w:vAlign w:val="bottom"/>
            <w:shd w:val="clear" w:color="auto" w:fill="CCECFF"/>
          </w:tcPr>
          <w:p>
            <w:pPr>
              <w:spacing w:after="0"/>
              <w:rPr>
                <w:sz w:val="11"/>
                <w:szCs w:val="1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64,154,570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64,154,570</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Equity—2.1%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546,750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10,725,000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12,517,380</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11,271,750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12,517,380</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Equity—24.5%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132,497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2,757,800</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33,830,005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33,892,823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39,001,305</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29,293,501</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162,708,073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73,135,591</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208,883,393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144,188,197</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378,901,433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315,139,688</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Investments—191.4%</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1,117,423,701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1,127,091,065</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Equivalents—3.4%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4,440,224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4,440,224</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15,674,001</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15,717,075</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20,114,225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20,157,299</w:t>
            </w:r>
          </w:p>
        </w:tc>
        <w:tc>
          <w:tcPr>
            <w:tcW w:w="100" w:type="dxa"/>
            <w:vAlign w:val="bottom"/>
            <w:shd w:val="clear" w:color="auto" w:fill="CCECFF"/>
          </w:tcPr>
          <w:p>
            <w:pPr>
              <w:spacing w:after="0"/>
              <w:rPr>
                <w:sz w:val="11"/>
                <w:szCs w:val="11"/>
                <w:color w:val="auto"/>
              </w:rPr>
            </w:pPr>
          </w:p>
        </w:tc>
      </w:tr>
      <w:tr>
        <w:trPr>
          <w:trHeight w:val="16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Equivalents—194.8%</w:t>
            </w:r>
          </w:p>
        </w:tc>
        <w:tc>
          <w:tcPr>
            <w:tcW w:w="120" w:type="dxa"/>
            <w:vAlign w:val="bottom"/>
            <w:tcBorders>
              <w:bottom w:val="single" w:sz="8" w:color="CCECFF"/>
            </w:tcBorders>
          </w:tcPr>
          <w:p>
            <w:pPr>
              <w:spacing w:after="0"/>
              <w:rPr>
                <w:sz w:val="14"/>
                <w:szCs w:val="14"/>
                <w:color w:val="auto"/>
              </w:rPr>
            </w:pPr>
          </w:p>
        </w:tc>
        <w:tc>
          <w:tcPr>
            <w:tcW w:w="50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5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6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1,137,537,926</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1,147,248,364</w:t>
            </w:r>
          </w:p>
        </w:tc>
        <w:tc>
          <w:tcPr>
            <w:tcW w:w="100" w:type="dxa"/>
            <w:vAlign w:val="bottom"/>
            <w:tcBorders>
              <w:bottom w:val="single" w:sz="8" w:color="CCECFF"/>
            </w:tcBorders>
          </w:tcPr>
          <w:p>
            <w:pPr>
              <w:spacing w:after="0"/>
              <w:rPr>
                <w:sz w:val="14"/>
                <w:szCs w:val="14"/>
                <w:color w:val="auto"/>
              </w:rPr>
            </w:pPr>
          </w:p>
        </w:tc>
      </w:tr>
      <w:tr>
        <w:trPr>
          <w:trHeight w:val="116"/>
        </w:trPr>
        <w:tc>
          <w:tcPr>
            <w:tcW w:w="2960" w:type="dxa"/>
            <w:vAlign w:val="bottom"/>
            <w:gridSpan w:val="2"/>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Assets—(94.8%)</w:t>
            </w: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(558,451,174)</w:t>
            </w:r>
          </w:p>
        </w:tc>
        <w:tc>
          <w:tcPr>
            <w:tcW w:w="100" w:type="dxa"/>
            <w:vAlign w:val="bottom"/>
            <w:shd w:val="clear" w:color="auto" w:fill="CCECFF"/>
          </w:tcPr>
          <w:p>
            <w:pPr>
              <w:spacing w:after="0"/>
              <w:rPr>
                <w:sz w:val="10"/>
                <w:szCs w:val="10"/>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588,797,190</w:t>
            </w:r>
          </w:p>
        </w:tc>
        <w:tc>
          <w:tcPr>
            <w:tcW w:w="10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
        </w:trPr>
        <w:tc>
          <w:tcPr>
            <w:tcW w:w="212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32" w:lineRule="exact"/>
        <w:rPr>
          <w:sz w:val="20"/>
          <w:szCs w:val="20"/>
          <w:color w:val="auto"/>
        </w:rPr>
      </w:pPr>
    </w:p>
    <w:p>
      <w:pPr>
        <w:ind w:left="38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 w:name="page11"/>
    <w:bookmarkEnd w:id="10"/>
    <w:p>
      <w:pPr>
        <w:ind w:left="372" w:right="100" w:hanging="372"/>
        <w:spacing w:after="0" w:line="241" w:lineRule="auto"/>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Subsidiaries (See Note 1).</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37" w:lineRule="exact"/>
        <w:rPr>
          <w:rFonts w:ascii="Times New Roman" w:cs="Times New Roman" w:eastAsia="Times New Roman" w:hAnsi="Times New Roman"/>
          <w:sz w:val="12"/>
          <w:szCs w:val="12"/>
          <w:color w:val="auto"/>
        </w:rPr>
      </w:pPr>
    </w:p>
    <w:p>
      <w:pPr>
        <w:ind w:left="372" w:hanging="372"/>
        <w:spacing w:after="0" w:line="255" w:lineRule="auto"/>
        <w:tabs>
          <w:tab w:leader="none" w:pos="37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2020, qualifying assets represent 87% of the Company’s total assets and non-qualifying assets represent 13% of the Company’s total assets.</w:t>
      </w:r>
    </w:p>
    <w:p>
      <w:pPr>
        <w:spacing w:after="0" w:line="18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428"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2740" w:type="dxa"/>
            <w:vAlign w:val="bottom"/>
          </w:tcPr>
          <w:p>
            <w:pPr>
              <w:spacing w:after="0"/>
              <w:rPr>
                <w:sz w:val="10"/>
                <w:szCs w:val="10"/>
                <w:color w:val="auto"/>
              </w:rPr>
            </w:pPr>
          </w:p>
        </w:tc>
        <w:tc>
          <w:tcPr>
            <w:tcW w:w="116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2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(3)</w:t>
            </w:r>
          </w:p>
        </w:tc>
      </w:tr>
      <w:tr>
        <w:trPr>
          <w:trHeight w:val="128"/>
        </w:trPr>
        <w:tc>
          <w:tcPr>
            <w:tcW w:w="390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Companies—139.9 </w:t>
            </w:r>
            <w:r>
              <w:rPr>
                <w:rFonts w:ascii="Times New Roman" w:cs="Times New Roman" w:eastAsia="Times New Roman" w:hAnsi="Times New Roman"/>
                <w:sz w:val="9"/>
                <w:szCs w:val="9"/>
                <w:b w:val="1"/>
                <w:bCs w:val="1"/>
                <w:color w:val="auto"/>
              </w:rPr>
              <w:t>(1), (2)</w:t>
            </w: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Debt—76.5%</w:t>
            </w: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08/11/2025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8,302,303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7,543,090</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7,887,188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07/24/2025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120,625</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07/24/2025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(2,188)</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12/21/2023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15,957,113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15,736,757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15,637,971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07/31/2025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178,844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173,479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Apex Service Partners,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07/31/2021</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(34,963)</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02/13/2023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6,722,525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6,674,529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6,580,680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Broder Bros., Co.</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12/02/2022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25,907,420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25,907,420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23,510,984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Compex Legal Services,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02/09/2026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3,605,894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3,539,582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3,539,906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02/08/2021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1,549,743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(12,863)</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02/07/2025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458,962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458,962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450,563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02/07/2025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(3,600)</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01/24/2025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1,788,165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1,788,165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1,790,310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DermaRite Industries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03/03/2022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8,975,884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8,924,948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8,975,884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11/03/2025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1,528,102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(27,964)</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12/23/2025</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517,594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517,594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510,761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12/10/2024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5.50%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2,567,177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2,547,350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2,490,162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12/10/2024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(101,613)</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IMIA Holdings,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10/26/2025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5,572,968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5,461,508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5,517,238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06/27/2023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8.37%</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L+737</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19,888,478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19,811,644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19,987,920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08/27/2025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23,574,241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23,403,071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23,338,498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07/15/2021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592,800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(1,482)</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12/22/2021</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13,516,275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13,430,024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13,516,275</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11,921,000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11,797,407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11,658,738</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K2 Pure Solutions NoCal, L.P.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8.00%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1,453,571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1,453,571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1,421,593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484,524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(10,660)</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Kentucky Downs, LLC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03/07/2025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827,586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(12,414)</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10/31/2024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751,480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744,986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692,188</w:t>
            </w:r>
          </w:p>
        </w:tc>
        <w:tc>
          <w:tcPr>
            <w:tcW w:w="10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(PIK 5.00%)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1,564,213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1,548,989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1,544,661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Lightspeed Buyer Inc.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08/03/2021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882,075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(2,205)</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1,165,780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1,165,780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1,151,208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04/13/2023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1,769,912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1,769,912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1,661,947</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05/23/2024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2,901,820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2,868,498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2,763,983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05/23/2024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(119,621)</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Ox Two,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21,352,147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21,112,545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21,245,386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Ox Two, LLC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485,560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2,012,000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(10,060)</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Peninsula Pacific Entertainment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11/13/2024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11,437,714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11,219,222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10,637,074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PRA Events,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08/08/2022</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94"/>
              </w:rPr>
              <w:t>(6)</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19,180,820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18,839,885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16,150,251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PRA Events, Inc.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08/08/2022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Provation Medical,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03/11/2024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7.15%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26,527,500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26,094,813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26,179,990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Questex,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21,733,659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20,286,000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Questex, LLC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1,795,213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1,795,213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1,651,596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1,795,213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(143,617)</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03/31/2025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1,336,285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1,336,285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1,298,602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03/31/2025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(25,122)</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Research Horizons,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06/28/2022</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29,546,453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29,334,375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28,364,595</w:t>
            </w:r>
          </w:p>
        </w:tc>
        <w:tc>
          <w:tcPr>
            <w:tcW w:w="100" w:type="dxa"/>
            <w:vAlign w:val="bottom"/>
            <w:shd w:val="clear" w:color="auto" w:fill="CCECFF"/>
          </w:tcPr>
          <w:p>
            <w:pPr>
              <w:spacing w:after="0"/>
              <w:rPr>
                <w:sz w:val="11"/>
                <w:szCs w:val="11"/>
                <w:color w:val="auto"/>
              </w:rPr>
            </w:pPr>
          </w:p>
        </w:tc>
      </w:tr>
      <w:tr>
        <w:trPr>
          <w:trHeight w:val="121"/>
        </w:trPr>
        <w:tc>
          <w:tcPr>
            <w:tcW w:w="2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1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12/20/2024</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2,913,731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2,913,731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2,752,019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06/20/2025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(12,764)</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03/10/2025</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15,671,250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15,389,332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14,848,509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12/20/2024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597,943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(10,763)</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07/07/2021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1,829,268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(43,902)</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01/03/2025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(17,561)</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516,273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510,389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478,844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14,617</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(1,615)</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05/03/2024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1,129,032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1,129,032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1,092,339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05/03/2024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(28,831)</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01/17/2024</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1,235,014</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01/17/2024</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(4,579)</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Spear Education,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02/26/2025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8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15,049,375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14,906,170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14,673,140</w:t>
            </w:r>
          </w:p>
        </w:tc>
        <w:tc>
          <w:tcPr>
            <w:tcW w:w="100" w:type="dxa"/>
            <w:vAlign w:val="bottom"/>
            <w:shd w:val="clear" w:color="auto" w:fill="CCECFF"/>
          </w:tcPr>
          <w:p>
            <w:pPr>
              <w:spacing w:after="0"/>
              <w:rPr>
                <w:sz w:val="11"/>
                <w:szCs w:val="11"/>
                <w:color w:val="auto"/>
              </w:rPr>
            </w:pPr>
          </w:p>
        </w:tc>
      </w:tr>
      <w:tr>
        <w:trPr>
          <w:trHeight w:val="140"/>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02/26/2022</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(171,875)</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90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(3)</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9"/>
              </w:rPr>
              <w:t>12/23/2025</w:t>
            </w: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20,478,378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19,804,843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19,864,027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Spectacle Gary Holdings, LLC </w:t>
            </w:r>
            <w:r>
              <w:rPr>
                <w:rFonts w:ascii="Times New Roman" w:cs="Times New Roman" w:eastAsia="Times New Roman" w:hAnsi="Times New Roman"/>
                <w:sz w:val="9"/>
                <w:szCs w:val="9"/>
                <w:color w:val="auto"/>
              </w:rPr>
              <w:t>(7)</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12/23/2025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1,121,622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(33,649)</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9"/>
                <w:szCs w:val="9"/>
                <w:color w:val="auto"/>
              </w:rPr>
              <w:t>(8),(11)</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11/24/2025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1,789,156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1,789,156</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1,735,482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17,660,607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17,410,805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17,528,153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2,702,151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(20,267)</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TWS Acquisition Corporation (Revolver)</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1,115,100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505,714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(10,114)</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Tyto Athene,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08/27/2024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6,027,680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5,998,741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6,008,392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US Med Acquisition,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08/13/2021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8,301,563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8,301,563</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8,218,547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09/26/2024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21,515,625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21,203,376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21,515,625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9,145,221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8,970,259</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9,053,770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9"/>
                <w:szCs w:val="9"/>
                <w:color w:val="auto"/>
              </w:rPr>
              <w:t>(7)</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02/27/2022</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2,573,529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551,471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(10,037)</w:t>
            </w:r>
          </w:p>
        </w:tc>
      </w:tr>
      <w:tr>
        <w:trPr>
          <w:trHeight w:val="128"/>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412,081,391</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402,168,282</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Debt—32.0%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Confie Seguros Holding Co.</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10/31/2025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8.66%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14,281,633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13,920,000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DecoPac,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03/31/2025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19,382,758</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Halo Buyer,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07/06/2026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32,062,567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31,460,000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Infogroup,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rPr>
              <w:t>Other Media</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L+925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20,157,649</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20,145,000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MailSouth,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10/23/2024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9"/>
                <w:szCs w:val="9"/>
                <w:color w:val="auto"/>
              </w:rPr>
              <w:t>(6)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36,828,975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36,224,201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18,782,777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MBS Holdings,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9.59%</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19,623,649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19,359,314</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19,329,294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VT Topco,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08/24/2026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7.15%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9,956,408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04/06/2026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8.65%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34,816,687</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35,300,000</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186,241,217</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168,364,214</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Subordinated Debt/Corporate Notes—9.6%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03/17/2025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14,051,843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13,842,572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13,665,417</w:t>
            </w: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2.00%)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Cascade Environmental LLC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12/30/2023</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13.00%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37,371,131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36,938,019</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36,903,992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13.00%)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50,780,591</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50,569,409</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Interests—4.1%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167,083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Cascade Environmental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16.00%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178,304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17,607,478</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17,652,053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Condor Holdings Limited </w:t>
            </w:r>
            <w:r>
              <w:rPr>
                <w:rFonts w:ascii="Times New Roman" w:cs="Times New Roman" w:eastAsia="Times New Roman" w:hAnsi="Times New Roman"/>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71,233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Condor Top Holdco Limited </w:t>
            </w:r>
            <w:r>
              <w:rPr>
                <w:rFonts w:ascii="Times New Roman" w:cs="Times New Roman" w:eastAsia="Times New Roman" w:hAnsi="Times New Roman"/>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491,723</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1,308,363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357,199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106,823</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129,098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1,346,530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1,409,711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(8),(11)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219,010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237,288</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20,875,841</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21,332,028</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Interests/Warrants—17.7%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04/10/2024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2,126,399</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1,002,599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AH Holdings, Inc. (Warrants)</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03/23/2021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81,148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ASP LCG Holdings, Inc. (Warrants)</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05/05/2026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586,975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2,236,540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Cascade Environmental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2,852,080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696,346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1,243,217</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CI (Summit) Investment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122,870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1,270,646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1,647,095</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(SFP Holdings,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2,250,000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1,165,785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DecoPac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3,448,658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5,072,041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254,307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1,029,685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Faraday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217,635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1,408,259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1,565,301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8,896</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8,662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999,520</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111,574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2,886,104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Other 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2,522,594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4,317,307</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18,761,506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12,010,531</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Kadmon Holdings, Inc. </w:t>
            </w:r>
            <w:r>
              <w:rPr>
                <w:rFonts w:ascii="Times New Roman" w:cs="Times New Roman" w:eastAsia="Times New Roman" w:hAnsi="Times New Roman"/>
                <w:sz w:val="9"/>
                <w:szCs w:val="9"/>
                <w:color w:val="auto"/>
              </w:rPr>
              <w:t>(5)</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252,014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2,265,639</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987,895</w:t>
            </w:r>
          </w:p>
        </w:tc>
        <w:tc>
          <w:tcPr>
            <w:tcW w:w="100" w:type="dxa"/>
            <w:vAlign w:val="bottom"/>
            <w:shd w:val="clear" w:color="auto" w:fill="CCECFF"/>
          </w:tcPr>
          <w:p>
            <w:pPr>
              <w:spacing w:after="0"/>
              <w:rPr>
                <w:sz w:val="11"/>
                <w:szCs w:val="1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2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(3)</w:t>
            </w:r>
          </w:p>
        </w:tc>
      </w:tr>
      <w:tr>
        <w:trPr>
          <w:trHeight w:val="128"/>
        </w:trPr>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120" w:type="dxa"/>
            <w:vAlign w:val="bottom"/>
          </w:tcPr>
          <w:p>
            <w:pPr>
              <w:spacing w:after="0"/>
              <w:rPr>
                <w:sz w:val="11"/>
                <w:szCs w:val="11"/>
                <w:color w:val="auto"/>
              </w:rPr>
            </w:pPr>
          </w:p>
        </w:tc>
        <w:tc>
          <w:tcPr>
            <w:tcW w:w="5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417,910</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593,924</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313,596</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5,432</w:t>
            </w:r>
          </w:p>
        </w:tc>
        <w:tc>
          <w:tcPr>
            <w:tcW w:w="100" w:type="dxa"/>
            <w:vAlign w:val="bottom"/>
          </w:tcPr>
          <w:p>
            <w:pPr>
              <w:spacing w:after="0"/>
              <w:rPr>
                <w:sz w:val="11"/>
                <w:szCs w:val="11"/>
                <w:color w:val="auto"/>
              </w:rPr>
            </w:pPr>
          </w:p>
        </w:tc>
      </w:tr>
      <w:tr>
        <w:trPr>
          <w:trHeight w:val="135"/>
        </w:trPr>
        <w:tc>
          <w:tcPr>
            <w:tcW w:w="29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982,857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987,611</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103,995</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SBI Holdings Investments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365,854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259,298</w:t>
            </w:r>
          </w:p>
        </w:tc>
        <w:tc>
          <w:tcPr>
            <w:tcW w:w="100" w:type="dxa"/>
            <w:vAlign w:val="bottom"/>
          </w:tcPr>
          <w:p>
            <w:pPr>
              <w:spacing w:after="0"/>
              <w:rPr>
                <w:sz w:val="11"/>
                <w:szCs w:val="11"/>
                <w:color w:val="auto"/>
              </w:rPr>
            </w:pPr>
          </w:p>
        </w:tc>
      </w:tr>
      <w:tr>
        <w:trPr>
          <w:trHeight w:val="135"/>
        </w:trPr>
        <w:tc>
          <w:tcPr>
            <w:tcW w:w="29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70,870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1,749,600</w:t>
            </w:r>
          </w:p>
        </w:tc>
        <w:tc>
          <w:tcPr>
            <w:tcW w:w="100" w:type="dxa"/>
            <w:vAlign w:val="bottom"/>
          </w:tcPr>
          <w:p>
            <w:pPr>
              <w:spacing w:after="0"/>
              <w:rPr>
                <w:sz w:val="11"/>
                <w:szCs w:val="11"/>
                <w:color w:val="auto"/>
              </w:rPr>
            </w:pPr>
          </w:p>
        </w:tc>
      </w:tr>
      <w:tr>
        <w:trPr>
          <w:trHeight w:val="135"/>
        </w:trPr>
        <w:tc>
          <w:tcPr>
            <w:tcW w:w="29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4,756,165</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56,482</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3,021,880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341,029</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WBB Equity,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2,753,143</w:t>
            </w:r>
          </w:p>
        </w:tc>
        <w:tc>
          <w:tcPr>
            <w:tcW w:w="100" w:type="dxa"/>
            <w:vAlign w:val="bottom"/>
          </w:tcPr>
          <w:p>
            <w:pPr>
              <w:spacing w:after="0"/>
              <w:rPr>
                <w:sz w:val="11"/>
                <w:szCs w:val="11"/>
                <w:color w:val="auto"/>
              </w:rPr>
            </w:pPr>
          </w:p>
        </w:tc>
      </w:tr>
      <w:tr>
        <w:trPr>
          <w:trHeight w:val="135"/>
        </w:trPr>
        <w:tc>
          <w:tcPr>
            <w:tcW w:w="29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(Whitney, Bradley &amp; Brown, Inc.)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Wheel Pros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3,778,704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4,450,000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23,022,380</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Wildcat Parent, LP (Wildcat Buyerco,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254,847</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1,056,250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2,614,078</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9"/>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43,704,169</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93,240,733</w:t>
            </w:r>
          </w:p>
        </w:tc>
        <w:tc>
          <w:tcPr>
            <w:tcW w:w="100" w:type="dxa"/>
            <w:vAlign w:val="bottom"/>
            <w:tcBorders>
              <w:bottom w:val="single" w:sz="8" w:color="CCECFF"/>
            </w:tcBorders>
          </w:tcPr>
          <w:p>
            <w:pPr>
              <w:spacing w:after="0"/>
              <w:rPr>
                <w:sz w:val="11"/>
                <w:szCs w:val="11"/>
                <w:color w:val="auto"/>
              </w:rPr>
            </w:pPr>
          </w:p>
        </w:tc>
      </w:tr>
      <w:tr>
        <w:trPr>
          <w:trHeight w:val="128"/>
        </w:trPr>
        <w:tc>
          <w:tcPr>
            <w:tcW w:w="382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713,683,209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735,674,666</w:t>
            </w:r>
          </w:p>
        </w:tc>
        <w:tc>
          <w:tcPr>
            <w:tcW w:w="100" w:type="dxa"/>
            <w:vAlign w:val="bottom"/>
            <w:shd w:val="clear" w:color="auto" w:fill="CCECFF"/>
          </w:tcPr>
          <w:p>
            <w:pPr>
              <w:spacing w:after="0"/>
              <w:rPr>
                <w:sz w:val="11"/>
                <w:szCs w:val="11"/>
                <w:color w:val="auto"/>
              </w:rPr>
            </w:pPr>
          </w:p>
        </w:tc>
      </w:tr>
      <w:tr>
        <w:trPr>
          <w:trHeight w:val="128"/>
        </w:trPr>
        <w:tc>
          <w:tcPr>
            <w:tcW w:w="38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Companies—5.3% </w:t>
            </w:r>
            <w:r>
              <w:rPr>
                <w:rFonts w:ascii="Times New Roman" w:cs="Times New Roman" w:eastAsia="Times New Roman" w:hAnsi="Times New Roman"/>
                <w:sz w:val="9"/>
                <w:szCs w:val="9"/>
                <w:b w:val="1"/>
                <w:bCs w:val="1"/>
                <w:color w:val="auto"/>
              </w:rPr>
              <w:t>(1), (2)</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Interests—5.1%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5,055,851</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15,392,189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21,795,244</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21,565,389</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26,851,095</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Interests/Warrants—0.2%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29,711,576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1,562,020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24,789,935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902,798</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56,063,531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902,798</w:t>
            </w:r>
          </w:p>
        </w:tc>
        <w:tc>
          <w:tcPr>
            <w:tcW w:w="100" w:type="dxa"/>
            <w:vAlign w:val="bottom"/>
            <w:shd w:val="clear" w:color="auto" w:fill="CCECFF"/>
          </w:tcPr>
          <w:p>
            <w:pPr>
              <w:spacing w:after="0"/>
              <w:rPr>
                <w:sz w:val="11"/>
                <w:szCs w:val="11"/>
                <w:color w:val="auto"/>
              </w:rPr>
            </w:pPr>
          </w:p>
        </w:tc>
      </w:tr>
      <w:tr>
        <w:trPr>
          <w:trHeight w:val="128"/>
        </w:trPr>
        <w:tc>
          <w:tcPr>
            <w:tcW w:w="3820" w:type="dxa"/>
            <w:vAlign w:val="bottom"/>
            <w:tcBorders>
              <w:bottom w:val="single" w:sz="8" w:color="CCECFF"/>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77,628,920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27,753,893</w:t>
            </w:r>
          </w:p>
        </w:tc>
        <w:tc>
          <w:tcPr>
            <w:tcW w:w="100" w:type="dxa"/>
            <w:vAlign w:val="bottom"/>
            <w:tcBorders>
              <w:bottom w:val="single" w:sz="8" w:color="CCECFF"/>
            </w:tcBorders>
          </w:tcPr>
          <w:p>
            <w:pPr>
              <w:spacing w:after="0"/>
              <w:rPr>
                <w:sz w:val="11"/>
                <w:szCs w:val="11"/>
                <w:color w:val="auto"/>
              </w:rPr>
            </w:pPr>
          </w:p>
        </w:tc>
      </w:tr>
      <w:tr>
        <w:trPr>
          <w:trHeight w:val="129"/>
        </w:trPr>
        <w:tc>
          <w:tcPr>
            <w:tcW w:w="382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Companies—60.6% </w:t>
            </w:r>
            <w:r>
              <w:rPr>
                <w:rFonts w:ascii="Times New Roman" w:cs="Times New Roman" w:eastAsia="Times New Roman" w:hAnsi="Times New Roman"/>
                <w:sz w:val="9"/>
                <w:szCs w:val="9"/>
                <w:b w:val="1"/>
                <w:bCs w:val="1"/>
                <w:color w:val="auto"/>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62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5"/>
              </w:rPr>
              <w:t>03/13/2024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39,682,375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36,844,800</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39,682,375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36,844,800</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Debt—10.0%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5"/>
              </w:rPr>
              <w:t>11/30/2024</w:t>
            </w:r>
          </w:p>
        </w:tc>
        <w:tc>
          <w:tcPr>
            <w:tcW w:w="240" w:type="dxa"/>
            <w:vAlign w:val="bottom"/>
          </w:tcPr>
          <w:p>
            <w:pPr>
              <w:spacing w:after="0"/>
              <w:rPr>
                <w:sz w:val="11"/>
                <w:szCs w:val="11"/>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52,479,266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52,094,291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52,479,266</w:t>
            </w:r>
          </w:p>
        </w:tc>
        <w:tc>
          <w:tcPr>
            <w:tcW w:w="100" w:type="dxa"/>
            <w:vAlign w:val="bottom"/>
          </w:tcPr>
          <w:p>
            <w:pPr>
              <w:spacing w:after="0"/>
              <w:rPr>
                <w:sz w:val="11"/>
                <w:szCs w:val="11"/>
                <w:color w:val="auto"/>
              </w:rPr>
            </w:pPr>
          </w:p>
        </w:tc>
      </w:tr>
      <w:tr>
        <w:trPr>
          <w:trHeight w:val="135"/>
        </w:trPr>
        <w:tc>
          <w:tcPr>
            <w:tcW w:w="29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11.00%)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52,094,291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52,479,266</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Subordinated Debt—12.0%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9"/>
                <w:szCs w:val="9"/>
                <w:color w:val="auto"/>
              </w:rPr>
              <w:t>(11)</w:t>
            </w:r>
          </w:p>
        </w:tc>
        <w:tc>
          <w:tcPr>
            <w:tcW w:w="62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5"/>
              </w:rPr>
              <w:t>07/31/2027</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Equity—2.3%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546,750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10,725,000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12,215,888</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11,271,750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12,215,888</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Equity—29.3%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132,497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927,315</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33,221,176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33,221,176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36,262,577</w:t>
            </w: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26,689,495</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162,708,073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89,923,518</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208,211,746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153,802,905</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374,260,162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318,342,859</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Investments—205.8%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1,165,572,291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1,081,771,418</w:t>
            </w:r>
          </w:p>
        </w:tc>
        <w:tc>
          <w:tcPr>
            <w:tcW w:w="100" w:type="dxa"/>
            <w:vAlign w:val="bottom"/>
            <w:shd w:val="clear" w:color="auto" w:fill="CCECFF"/>
          </w:tcPr>
          <w:p>
            <w:pPr>
              <w:spacing w:after="0"/>
              <w:rPr>
                <w:sz w:val="11"/>
                <w:szCs w:val="11"/>
                <w:color w:val="auto"/>
              </w:rPr>
            </w:pPr>
          </w:p>
        </w:tc>
      </w:tr>
      <w:tr>
        <w:trPr>
          <w:trHeight w:val="129"/>
        </w:trPr>
        <w:tc>
          <w:tcPr>
            <w:tcW w:w="2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Equivalents—4.9%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2,277,244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2,277,244</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23,523,843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23,528,758</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25,801,087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25,806,002</w:t>
            </w:r>
          </w:p>
        </w:tc>
        <w:tc>
          <w:tcPr>
            <w:tcW w:w="100" w:type="dxa"/>
            <w:vAlign w:val="bottom"/>
            <w:shd w:val="clear" w:color="auto" w:fill="CCECFF"/>
          </w:tcPr>
          <w:p>
            <w:pPr>
              <w:spacing w:after="0"/>
              <w:rPr>
                <w:sz w:val="11"/>
                <w:szCs w:val="11"/>
                <w:color w:val="auto"/>
              </w:rPr>
            </w:pPr>
          </w:p>
        </w:tc>
      </w:tr>
      <w:tr>
        <w:trPr>
          <w:trHeight w:val="168"/>
        </w:trPr>
        <w:tc>
          <w:tcPr>
            <w:tcW w:w="2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Equivalents—210.7%</w:t>
            </w:r>
          </w:p>
        </w:tc>
        <w:tc>
          <w:tcPr>
            <w:tcW w:w="120" w:type="dxa"/>
            <w:vAlign w:val="bottom"/>
            <w:tcBorders>
              <w:bottom w:val="single" w:sz="8" w:color="CCECFF"/>
            </w:tcBorders>
          </w:tcPr>
          <w:p>
            <w:pPr>
              <w:spacing w:after="0"/>
              <w:rPr>
                <w:sz w:val="14"/>
                <w:szCs w:val="14"/>
                <w:color w:val="auto"/>
              </w:rPr>
            </w:pPr>
          </w:p>
        </w:tc>
        <w:tc>
          <w:tcPr>
            <w:tcW w:w="50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5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6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1,191,373,378</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1,107,577,420</w:t>
            </w:r>
          </w:p>
        </w:tc>
        <w:tc>
          <w:tcPr>
            <w:tcW w:w="100" w:type="dxa"/>
            <w:vAlign w:val="bottom"/>
            <w:tcBorders>
              <w:bottom w:val="single" w:sz="8" w:color="CCECFF"/>
            </w:tcBorders>
          </w:tcPr>
          <w:p>
            <w:pPr>
              <w:spacing w:after="0"/>
              <w:rPr>
                <w:sz w:val="14"/>
                <w:szCs w:val="14"/>
                <w:color w:val="auto"/>
              </w:rPr>
            </w:pPr>
          </w:p>
        </w:tc>
      </w:tr>
      <w:tr>
        <w:trPr>
          <w:trHeight w:val="116"/>
        </w:trPr>
        <w:tc>
          <w:tcPr>
            <w:tcW w:w="2960" w:type="dxa"/>
            <w:vAlign w:val="bottom"/>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Assets—(110.7%)</w:t>
            </w: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(581,868,568)</w:t>
            </w:r>
          </w:p>
        </w:tc>
        <w:tc>
          <w:tcPr>
            <w:tcW w:w="100" w:type="dxa"/>
            <w:vAlign w:val="bottom"/>
            <w:shd w:val="clear" w:color="auto" w:fill="CCECFF"/>
          </w:tcPr>
          <w:p>
            <w:pPr>
              <w:spacing w:after="0"/>
              <w:rPr>
                <w:sz w:val="10"/>
                <w:szCs w:val="10"/>
                <w:color w:val="auto"/>
              </w:rPr>
            </w:pPr>
          </w:p>
        </w:tc>
      </w:tr>
      <w:tr>
        <w:trPr>
          <w:trHeight w:val="135"/>
        </w:trPr>
        <w:tc>
          <w:tcPr>
            <w:tcW w:w="2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525,708,852</w:t>
            </w:r>
          </w:p>
        </w:tc>
        <w:tc>
          <w:tcPr>
            <w:tcW w:w="100" w:type="dxa"/>
            <w:vAlign w:val="bottom"/>
          </w:tcPr>
          <w:p>
            <w:pPr>
              <w:spacing w:after="0"/>
              <w:rPr>
                <w:sz w:val="11"/>
                <w:szCs w:val="1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32" w:lineRule="exact"/>
        <w:rPr>
          <w:sz w:val="20"/>
          <w:szCs w:val="20"/>
          <w:color w:val="auto"/>
        </w:rPr>
      </w:pPr>
    </w:p>
    <w:p>
      <w:pPr>
        <w:ind w:left="380" w:hanging="372"/>
        <w:spacing w:after="0" w:line="255"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120" w:hanging="372"/>
        <w:spacing w:after="0" w:line="241"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4" w:name="page15"/>
    <w:bookmarkEnd w:id="14"/>
    <w:p>
      <w:pPr>
        <w:ind w:left="372" w:hanging="372"/>
        <w:spacing w:after="0"/>
        <w:tabs>
          <w:tab w:leader="none" w:pos="37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Subsidiaries (See Note 1).</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37" w:lineRule="exact"/>
        <w:rPr>
          <w:rFonts w:ascii="Times New Roman" w:cs="Times New Roman" w:eastAsia="Times New Roman" w:hAnsi="Times New Roman"/>
          <w:sz w:val="12"/>
          <w:szCs w:val="12"/>
          <w:color w:val="auto"/>
        </w:rPr>
      </w:pPr>
    </w:p>
    <w:p>
      <w:pPr>
        <w:ind w:left="372" w:hanging="372"/>
        <w:spacing w:after="0" w:line="255" w:lineRule="auto"/>
        <w:tabs>
          <w:tab w:leader="none" w:pos="37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87% of the Company’s total assets and non-qualifying assets represent 13%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428" w:right="359" w:bottom="1440" w:gutter="0" w:footer="0" w:header="0"/>
        </w:sectPr>
      </w:pPr>
    </w:p>
    <w:bookmarkStart w:id="15" w:name="page16"/>
    <w:bookmarkEnd w:id="1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219"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90"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09"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0"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prior to deconsolidation, had irrevocably directed that the management fee owed to it with respect to such services be paid to us so long as the Investment Adviser remains the servicer. This arrangement did not increase our consolidated management fee. The BNP Credit Facility allows Funding I to borrow up to $275 million at LIBOR (or an alternative risk-free floating interest rate index) plus 260 basis points during the reinvestment period. The BNP Credit Facility is secured by all of the assets held by Funding I. Funding I is no longer a subsidiary of PennantPark Investment as result of the joint venture described below.</w:t>
      </w:r>
    </w:p>
    <w:p>
      <w:pPr>
        <w:spacing w:after="0" w:line="191" w:lineRule="exact"/>
        <w:rPr>
          <w:sz w:val="20"/>
          <w:szCs w:val="20"/>
          <w:color w:val="auto"/>
        </w:rPr>
      </w:pPr>
    </w:p>
    <w:p>
      <w:pPr>
        <w:ind w:right="240" w:firstLine="438"/>
        <w:spacing w:after="0" w:line="236"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90" w:lineRule="exact"/>
        <w:rPr>
          <w:sz w:val="20"/>
          <w:szCs w:val="20"/>
          <w:color w:val="auto"/>
        </w:rPr>
      </w:pPr>
    </w:p>
    <w:p>
      <w:pPr>
        <w:ind w:right="220" w:firstLine="438"/>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76"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219" w:lineRule="exact"/>
        <w:rPr>
          <w:sz w:val="20"/>
          <w:szCs w:val="20"/>
          <w:color w:val="auto"/>
        </w:rPr>
      </w:pPr>
    </w:p>
    <w:p>
      <w:pPr>
        <w:ind w:firstLine="438"/>
        <w:spacing w:after="0" w:line="248"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8" w:lineRule="exact"/>
        <w:rPr>
          <w:sz w:val="20"/>
          <w:szCs w:val="20"/>
          <w:color w:val="auto"/>
        </w:rPr>
      </w:pPr>
    </w:p>
    <w:p>
      <w:pPr>
        <w:jc w:val="both"/>
        <w:ind w:right="100" w:firstLine="438"/>
        <w:spacing w:after="0" w:line="24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213" w:lineRule="exact"/>
        <w:rPr>
          <w:sz w:val="20"/>
          <w:szCs w:val="20"/>
          <w:color w:val="auto"/>
        </w:rPr>
      </w:pPr>
    </w:p>
    <w:p>
      <w:pPr>
        <w:ind w:left="1080" w:hanging="824"/>
        <w:spacing w:after="0"/>
        <w:tabs>
          <w:tab w:leader="none" w:pos="1080"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Valuations</w:t>
      </w:r>
    </w:p>
    <w:p>
      <w:pPr>
        <w:spacing w:after="0" w:line="221" w:lineRule="exact"/>
        <w:rPr>
          <w:sz w:val="20"/>
          <w:szCs w:val="20"/>
          <w:color w:val="auto"/>
        </w:rPr>
      </w:pPr>
    </w:p>
    <w:p>
      <w:pPr>
        <w:ind w:right="120" w:firstLine="438"/>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94"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6" w:lineRule="exact"/>
        <w:rPr>
          <w:sz w:val="20"/>
          <w:szCs w:val="20"/>
          <w:color w:val="auto"/>
        </w:rPr>
      </w:pPr>
    </w:p>
    <w:p>
      <w:pPr>
        <w:ind w:left="800" w:right="420" w:hanging="360"/>
        <w:spacing w:after="0" w:line="261" w:lineRule="auto"/>
        <w:tabs>
          <w:tab w:leader="none" w:pos="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76"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6" w:name="page17"/>
    <w:bookmarkEnd w:id="16"/>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jc w:val="both"/>
        <w:ind w:left="800" w:right="140" w:hanging="360"/>
        <w:spacing w:after="0" w:line="241" w:lineRule="auto"/>
        <w:tabs>
          <w:tab w:leader="none" w:pos="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90" w:lineRule="exact"/>
        <w:rPr>
          <w:rFonts w:ascii="Times New Roman" w:cs="Times New Roman" w:eastAsia="Times New Roman" w:hAnsi="Times New Roman"/>
          <w:sz w:val="14"/>
          <w:szCs w:val="14"/>
          <w:color w:val="auto"/>
        </w:rPr>
      </w:pPr>
    </w:p>
    <w:p>
      <w:pPr>
        <w:ind w:left="800" w:right="20" w:hanging="360"/>
        <w:spacing w:after="0" w:line="241" w:lineRule="auto"/>
        <w:tabs>
          <w:tab w:leader="none" w:pos="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90" w:lineRule="exact"/>
        <w:rPr>
          <w:rFonts w:ascii="Times New Roman" w:cs="Times New Roman" w:eastAsia="Times New Roman" w:hAnsi="Times New Roman"/>
          <w:sz w:val="14"/>
          <w:szCs w:val="14"/>
          <w:color w:val="auto"/>
        </w:rPr>
      </w:pPr>
    </w:p>
    <w:p>
      <w:pPr>
        <w:ind w:left="800" w:right="160" w:hanging="360"/>
        <w:spacing w:after="0" w:line="261" w:lineRule="auto"/>
        <w:tabs>
          <w:tab w:leader="none" w:pos="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6" w:lineRule="exact"/>
        <w:rPr>
          <w:sz w:val="20"/>
          <w:szCs w:val="20"/>
          <w:color w:val="auto"/>
        </w:rPr>
      </w:pPr>
    </w:p>
    <w:p>
      <w:pPr>
        <w:ind w:right="360" w:firstLine="438"/>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6" w:lineRule="exact"/>
        <w:rPr>
          <w:sz w:val="20"/>
          <w:szCs w:val="20"/>
          <w:color w:val="auto"/>
        </w:rPr>
      </w:pPr>
    </w:p>
    <w:p>
      <w:pPr>
        <w:ind w:left="1080" w:hanging="824"/>
        <w:spacing w:after="0"/>
        <w:tabs>
          <w:tab w:leader="none" w:pos="108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Security Transactions, Revenue Recognition, and Realized/Unrealized Gains or Losses</w:t>
      </w:r>
    </w:p>
    <w:p>
      <w:pPr>
        <w:spacing w:after="0" w:line="221"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Facilities during the reporting period, including the reversal of previously recorded unrealized appreciation or depreciation, when gains or losses are realized.</w:t>
      </w:r>
    </w:p>
    <w:p>
      <w:pPr>
        <w:spacing w:after="0" w:line="190" w:lineRule="exact"/>
        <w:rPr>
          <w:sz w:val="20"/>
          <w:szCs w:val="20"/>
          <w:color w:val="auto"/>
        </w:rPr>
      </w:pPr>
    </w:p>
    <w:p>
      <w:pPr>
        <w:ind w:right="40" w:firstLine="438"/>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4" w:lineRule="exact"/>
        <w:rPr>
          <w:sz w:val="20"/>
          <w:szCs w:val="20"/>
          <w:color w:val="auto"/>
        </w:rPr>
      </w:pPr>
    </w:p>
    <w:p>
      <w:pPr>
        <w:ind w:right="100" w:firstLine="438"/>
        <w:spacing w:after="0" w:line="233"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2020, we did not have any portfolio companies on non-accrual. As of September 30, 2020, we had two portfolio companies on non-accrual, representing 4.9% and 3.4% of our overall portfolio on a cost and fair value basis, respectively.</w:t>
      </w:r>
    </w:p>
    <w:p>
      <w:pPr>
        <w:spacing w:after="0" w:line="187" w:lineRule="exact"/>
        <w:rPr>
          <w:sz w:val="20"/>
          <w:szCs w:val="20"/>
          <w:color w:val="auto"/>
        </w:rPr>
      </w:pPr>
    </w:p>
    <w:p>
      <w:pPr>
        <w:ind w:left="1060" w:hanging="804"/>
        <w:spacing w:after="0"/>
        <w:tabs>
          <w:tab w:leader="none" w:pos="1060"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221"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U.S. federal excise tax. Additionally, certain of the Company’s consolidated subsidiaries are subject to U.S. federal and state income taxes. For the three months ended December 31, 2020 and 2019, we recorded a provision for taxes of $0.2 million and $0.3 million (approximately one-half of which was for U.S. federal excise tax and the remainder for U.S. federal and state income taxes and franchise taxes related to the Taxable Subsidiaries), respectively.</w:t>
      </w:r>
    </w:p>
    <w:p>
      <w:pPr>
        <w:spacing w:after="0" w:line="194" w:lineRule="exact"/>
        <w:rPr>
          <w:sz w:val="20"/>
          <w:szCs w:val="20"/>
          <w:color w:val="auto"/>
        </w:rPr>
      </w:pPr>
    </w:p>
    <w:p>
      <w:pPr>
        <w:jc w:val="both"/>
        <w:ind w:right="180" w:firstLine="438"/>
        <w:spacing w:after="0" w:line="231"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0" w:lineRule="exact"/>
        <w:rPr>
          <w:sz w:val="20"/>
          <w:szCs w:val="20"/>
          <w:color w:val="auto"/>
        </w:rPr>
      </w:pPr>
    </w:p>
    <w:p>
      <w:pPr>
        <w:ind w:right="280" w:firstLine="438"/>
        <w:spacing w:after="0" w:line="241" w:lineRule="auto"/>
        <w:rPr>
          <w:sz w:val="20"/>
          <w:szCs w:val="20"/>
          <w:color w:val="auto"/>
        </w:rPr>
      </w:pPr>
      <w:r>
        <w:rPr>
          <w:rFonts w:ascii="Times New Roman" w:cs="Times New Roman" w:eastAsia="Times New Roman" w:hAnsi="Times New Roman"/>
          <w:sz w:val="14"/>
          <w:szCs w:val="14"/>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86" w:lineRule="exact"/>
        <w:rPr>
          <w:sz w:val="20"/>
          <w:szCs w:val="20"/>
          <w:color w:val="auto"/>
        </w:rPr>
      </w:pPr>
    </w:p>
    <w:p>
      <w:pPr>
        <w:ind w:left="1080" w:hanging="824"/>
        <w:spacing w:after="0"/>
        <w:tabs>
          <w:tab w:leader="none" w:pos="108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Distributions and Capital Transactions</w:t>
      </w:r>
    </w:p>
    <w:p>
      <w:pPr>
        <w:spacing w:after="0" w:line="221"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90" w:lineRule="exact"/>
        <w:rPr>
          <w:sz w:val="20"/>
          <w:szCs w:val="20"/>
          <w:color w:val="auto"/>
        </w:rPr>
      </w:pPr>
    </w:p>
    <w:p>
      <w:pPr>
        <w:ind w:right="240" w:firstLine="438"/>
        <w:spacing w:after="0" w:line="261" w:lineRule="auto"/>
        <w:rPr>
          <w:sz w:val="20"/>
          <w:szCs w:val="20"/>
          <w:color w:val="auto"/>
        </w:rPr>
      </w:pPr>
      <w:r>
        <w:rPr>
          <w:rFonts w:ascii="Times New Roman" w:cs="Times New Roman" w:eastAsia="Times New Roman" w:hAnsi="Times New Roman"/>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7" w:name="page18"/>
    <w:bookmarkEnd w:id="17"/>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4" w:lineRule="exact"/>
        <w:rPr>
          <w:sz w:val="20"/>
          <w:szCs w:val="20"/>
          <w:color w:val="auto"/>
        </w:rPr>
      </w:pPr>
    </w:p>
    <w:p>
      <w:pPr>
        <w:ind w:left="1060" w:hanging="804"/>
        <w:spacing w:after="0"/>
        <w:tabs>
          <w:tab w:leader="none" w:pos="106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800" w:hanging="360"/>
        <w:spacing w:after="0"/>
        <w:tabs>
          <w:tab w:leader="none" w:pos="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85" w:lineRule="exact"/>
        <w:rPr>
          <w:sz w:val="20"/>
          <w:szCs w:val="20"/>
          <w:color w:val="auto"/>
        </w:rPr>
      </w:pPr>
    </w:p>
    <w:p>
      <w:pPr>
        <w:jc w:val="both"/>
        <w:ind w:right="260" w:firstLine="438"/>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0"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86" w:lineRule="exact"/>
        <w:rPr>
          <w:sz w:val="20"/>
          <w:szCs w:val="20"/>
          <w:color w:val="auto"/>
        </w:rPr>
      </w:pPr>
    </w:p>
    <w:p>
      <w:pPr>
        <w:ind w:left="1040" w:hanging="784"/>
        <w:spacing w:after="0"/>
        <w:tabs>
          <w:tab w:leader="none" w:pos="1040"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Consolidation</w:t>
      </w:r>
    </w:p>
    <w:p>
      <w:pPr>
        <w:spacing w:after="0" w:line="140" w:lineRule="exact"/>
        <w:rPr>
          <w:sz w:val="20"/>
          <w:szCs w:val="20"/>
          <w:color w:val="auto"/>
        </w:rPr>
      </w:pPr>
    </w:p>
    <w:p>
      <w:pPr>
        <w:jc w:val="both"/>
        <w:ind w:right="80" w:firstLine="438"/>
        <w:spacing w:after="0" w:line="241"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SBIC II and our Taxable Subsidiaries in our Consolidated Financial Statements. We do not consolidate our investment in PSLF. See further description of our investment in PSLF in Note 4.</w:t>
      </w:r>
    </w:p>
    <w:p>
      <w:pPr>
        <w:spacing w:after="0" w:line="186" w:lineRule="exact"/>
        <w:rPr>
          <w:sz w:val="20"/>
          <w:szCs w:val="20"/>
          <w:color w:val="auto"/>
        </w:rPr>
      </w:pPr>
    </w:p>
    <w:p>
      <w:pPr>
        <w:ind w:left="1080" w:hanging="824"/>
        <w:spacing w:after="0"/>
        <w:tabs>
          <w:tab w:leader="none" w:pos="1080"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Asset Transfers and Servicing</w:t>
      </w:r>
    </w:p>
    <w:p>
      <w:pPr>
        <w:spacing w:after="0" w:line="221"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219" w:lineRule="exact"/>
        <w:rPr>
          <w:sz w:val="20"/>
          <w:szCs w:val="20"/>
          <w:color w:val="auto"/>
        </w:rPr>
      </w:pPr>
    </w:p>
    <w:p>
      <w:pPr>
        <w:ind w:right="40" w:firstLine="438"/>
        <w:spacing w:after="0" w:line="231"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servicer to Funding I and, prior to deconsolidation, had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 a base management fee and an incentive fee or, collectively, Management Fees.</w:t>
      </w:r>
    </w:p>
    <w:p>
      <w:pPr>
        <w:spacing w:after="0" w:line="191" w:lineRule="exact"/>
        <w:rPr>
          <w:sz w:val="20"/>
          <w:szCs w:val="20"/>
          <w:color w:val="auto"/>
        </w:rPr>
      </w:pPr>
    </w:p>
    <w:p>
      <w:pPr>
        <w:ind w:firstLine="438"/>
        <w:spacing w:after="0" w:line="227"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2020 and 2019, the Investment Adviser earned a base management fee of $4.1 million and $4.7 million, respectively, from us.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23" w:lineRule="exact"/>
        <w:rPr>
          <w:sz w:val="20"/>
          <w:szCs w:val="20"/>
          <w:color w:val="auto"/>
        </w:rPr>
      </w:pPr>
    </w:p>
    <w:p>
      <w:pPr>
        <w:ind w:right="40" w:firstLine="438"/>
        <w:spacing w:after="0" w:line="226"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11"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Beginning April 1, 2020 and through March 31, 2021, the Investment Adviser has voluntarily agreed, in consultation with our board of directors, to irrevocably waive the performance-based incentive fees. For the three months ended December 31, 2020 and 2019, the Investment Adviser earned no incentive fee and $0.7 million in incentive fees on net investment income from us, respectively.</w:t>
      </w:r>
    </w:p>
    <w:p>
      <w:pPr>
        <w:spacing w:after="0" w:line="109"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months ended December 31, 2020 and 2019, the Investment Adviser did not accrue an incentive fee on capital gains, as calculated under the Investment Management Agreement (as described above).</w:t>
      </w:r>
    </w:p>
    <w:p>
      <w:pPr>
        <w:spacing w:after="0" w:line="123"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both the three months ended December 31, 2020 and 2019, the Investment Adviser did not accrue an incentive fee on capital gains, as calculated under GAAP.</w:t>
      </w:r>
    </w:p>
    <w:p>
      <w:pPr>
        <w:spacing w:after="0" w:line="194" w:lineRule="exact"/>
        <w:rPr>
          <w:sz w:val="20"/>
          <w:szCs w:val="20"/>
          <w:color w:val="auto"/>
        </w:rPr>
      </w:pPr>
    </w:p>
    <w:p>
      <w:pPr>
        <w:ind w:right="200" w:firstLine="438"/>
        <w:spacing w:after="0" w:line="242"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our directors who are not interested persons of us, in February 2021.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w:t>
      </w:r>
    </w:p>
    <w:p>
      <w:pPr>
        <w:spacing w:after="0" w:line="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2020 and 2019, we reimbursed the Investment Adviser approximately $0.2 million and $0.3 million, respectively, including expenses the Investment Adviser incurred on behalf of the Administrator, for services described above.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both the three months ended December 31, 2020 and 2019.</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For the three months ended December 31, 2020, we sold $22.3 million in investments to PSLF at fair value and recognized $0.1 million of net realized gains.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219" w:lineRule="exact"/>
        <w:rPr>
          <w:sz w:val="20"/>
          <w:szCs w:val="20"/>
          <w:color w:val="auto"/>
        </w:rPr>
      </w:pPr>
    </w:p>
    <w:p>
      <w:pPr>
        <w:ind w:right="560" w:firstLine="438"/>
        <w:spacing w:after="0" w:line="261"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months ended December 31, 2020 and 2019 totaled $71.7 million and $178.5 million, respectively. Sales and repayments of investments for the three months ended December 31, 2020 and 2019 totaled $102.6 million and $31.2 million, respectively.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Classification</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430,081,913</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425,160,939</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451,763,766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439,013,082</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195,168,069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195,444,956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238,335,508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220,843,480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52,113,599</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52,599,650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50,780,591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50,569,409</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 in PSLF</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64,154,570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64,154,570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342,012,727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350,729,645</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328,471,250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272,082,870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Equity in PSLF</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33,892,823</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39,001,305</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33,221,176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36,262,577</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1,117,423,701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1,127,091,065</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1,165,572,291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1,081,771,418</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20,114,225</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20,157,299</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25,801,087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25,806,002</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1,137,537,926</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1,147,248,364</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1,191,373,378</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1,107,577,420</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9" w:name="page20"/>
    <w:bookmarkEnd w:id="19"/>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ind w:right="540" w:firstLine="438"/>
        <w:spacing w:after="0" w:line="261"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60" w:type="dxa"/>
            <w:vAlign w:val="bottom"/>
            <w:tcBorders>
              <w:bottom w:val="single" w:sz="8" w:color="CCECFF"/>
            </w:tcBorders>
          </w:tcPr>
          <w:p>
            <w:pPr>
              <w:spacing w:after="0"/>
              <w:rPr>
                <w:sz w:val="15"/>
                <w:szCs w:val="15"/>
                <w:color w:val="auto"/>
              </w:rPr>
            </w:pPr>
          </w:p>
        </w:tc>
        <w:tc>
          <w:tcPr>
            <w:tcW w:w="1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December 31, 2020 </w:t>
            </w:r>
            <w:r>
              <w:rPr>
                <w:rFonts w:ascii="Times New Roman" w:cs="Times New Roman" w:eastAsia="Times New Roman" w:hAnsi="Times New Roman"/>
                <w:sz w:val="12"/>
                <w:szCs w:val="12"/>
                <w:b w:val="1"/>
                <w:bCs w:val="1"/>
                <w:color w:val="auto"/>
              </w:rPr>
              <w:t>(1)</w:t>
            </w:r>
          </w:p>
        </w:tc>
        <w:tc>
          <w:tcPr>
            <w:tcW w:w="520" w:type="dxa"/>
            <w:vAlign w:val="bottom"/>
            <w:tcBorders>
              <w:bottom w:val="single" w:sz="8" w:color="CCECFF"/>
            </w:tcBorders>
          </w:tcPr>
          <w:p>
            <w:pPr>
              <w:spacing w:after="0"/>
              <w:rPr>
                <w:sz w:val="15"/>
                <w:szCs w:val="15"/>
                <w:color w:val="auto"/>
              </w:rPr>
            </w:pPr>
          </w:p>
        </w:tc>
        <w:tc>
          <w:tcPr>
            <w:tcW w:w="1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xml:space="preserve">September 30, 2020 </w:t>
            </w:r>
            <w:r>
              <w:rPr>
                <w:rFonts w:ascii="Times New Roman" w:cs="Times New Roman" w:eastAsia="Times New Roman" w:hAnsi="Times New Roman"/>
                <w:sz w:val="12"/>
                <w:szCs w:val="12"/>
                <w:b w:val="1"/>
                <w:bCs w:val="1"/>
                <w:color w:val="auto"/>
              </w:rPr>
              <w:t>(1)</w:t>
            </w:r>
          </w:p>
        </w:tc>
        <w:tc>
          <w:tcPr>
            <w:tcW w:w="280" w:type="dxa"/>
            <w:vAlign w:val="bottom"/>
            <w:tcBorders>
              <w:bottom w:val="single" w:sz="8" w:color="CCECFF"/>
            </w:tcBorders>
          </w:tcPr>
          <w:p>
            <w:pPr>
              <w:spacing w:after="0"/>
              <w:rPr>
                <w:sz w:val="15"/>
                <w:szCs w:val="15"/>
                <w:color w:val="auto"/>
              </w:rPr>
            </w:pPr>
          </w:p>
        </w:tc>
      </w:tr>
      <w:tr>
        <w:trPr>
          <w:trHeight w:val="155"/>
        </w:trPr>
        <w:tc>
          <w:tcPr>
            <w:tcW w:w="66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Healthcare, Education and Childcare</w:t>
            </w:r>
          </w:p>
        </w:tc>
        <w:tc>
          <w:tcPr>
            <w:tcW w:w="260" w:type="dxa"/>
            <w:vAlign w:val="bottom"/>
            <w:shd w:val="clear" w:color="auto" w:fill="CCECFF"/>
          </w:tcPr>
          <w:p>
            <w:pPr>
              <w:spacing w:after="0"/>
              <w:rPr>
                <w:sz w:val="13"/>
                <w:szCs w:val="13"/>
                <w:color w:val="auto"/>
              </w:rPr>
            </w:pPr>
          </w:p>
        </w:tc>
        <w:tc>
          <w:tcPr>
            <w:tcW w:w="2240" w:type="dxa"/>
            <w:vAlign w:val="bottom"/>
            <w:gridSpan w:val="2"/>
            <w:shd w:val="clear" w:color="auto" w:fill="CCECFF"/>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2100" w:type="dxa"/>
            <w:vAlign w:val="bottom"/>
            <w:gridSpan w:val="2"/>
            <w:shd w:val="clear" w:color="auto" w:fill="CCECFF"/>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17%</w:t>
            </w: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Energy and Utilities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Environmental Services</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 Products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Distribution</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Media</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Auto Sector</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Building Materials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Education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Insurance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Personal, Food and Miscellaneous Services</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Hotels, Motels, Inns and Gaming</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Printing and Publishing</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Beverage, Food and Tobacco</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Media</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4"/>
                <w:szCs w:val="14"/>
                <w:color w:val="auto"/>
              </w:rPr>
            </w:pPr>
          </w:p>
        </w:tc>
      </w:tr>
      <w:tr>
        <w:trPr>
          <w:trHeight w:val="162"/>
        </w:trPr>
        <w:tc>
          <w:tcPr>
            <w:tcW w:w="69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Transportation</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CFF"/>
          </w:tcPr>
          <w:p>
            <w:pPr>
              <w:spacing w:after="0"/>
              <w:rPr>
                <w:sz w:val="14"/>
                <w:szCs w:val="14"/>
                <w:color w:val="auto"/>
              </w:rPr>
            </w:pPr>
          </w:p>
        </w:tc>
      </w:tr>
      <w:tr>
        <w:trPr>
          <w:trHeight w:val="162"/>
        </w:trPr>
        <w:tc>
          <w:tcPr>
            <w:tcW w:w="690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CFF"/>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CCECFF"/>
            </w:tcBorders>
          </w:tcPr>
          <w:p>
            <w:pPr>
              <w:spacing w:after="0"/>
              <w:rPr>
                <w:sz w:val="14"/>
                <w:szCs w:val="14"/>
                <w:color w:val="auto"/>
              </w:rPr>
            </w:pPr>
          </w:p>
        </w:tc>
      </w:tr>
      <w:tr>
        <w:trPr>
          <w:trHeight w:val="156"/>
        </w:trPr>
        <w:tc>
          <w:tcPr>
            <w:tcW w:w="690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40" w:type="dxa"/>
            <w:vAlign w:val="bottom"/>
            <w:gridSpan w:val="2"/>
            <w:shd w:val="clear" w:color="auto" w:fill="CCECFF"/>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100" w:type="dxa"/>
            <w:vAlign w:val="bottom"/>
            <w:gridSpan w:val="2"/>
            <w:shd w:val="clear" w:color="auto" w:fill="CCECFF"/>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45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C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80" w:type="dxa"/>
            <w:vAlign w:val="bottom"/>
          </w:tcPr>
          <w:p>
            <w:pPr>
              <w:spacing w:after="0"/>
              <w:rPr>
                <w:sz w:val="6"/>
                <w:szCs w:val="6"/>
                <w:color w:val="auto"/>
              </w:rPr>
            </w:pPr>
          </w:p>
        </w:tc>
      </w:tr>
    </w:tbl>
    <w:p>
      <w:pPr>
        <w:spacing w:after="0" w:line="2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Excludes investments in PSLF.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219" w:lineRule="exact"/>
        <w:rPr>
          <w:sz w:val="20"/>
          <w:szCs w:val="20"/>
          <w:color w:val="auto"/>
        </w:rPr>
      </w:pPr>
    </w:p>
    <w:p>
      <w:pPr>
        <w:ind w:right="80" w:firstLine="438"/>
        <w:spacing w:after="0" w:line="231" w:lineRule="auto"/>
        <w:rPr>
          <w:sz w:val="20"/>
          <w:szCs w:val="20"/>
          <w:color w:val="auto"/>
        </w:rPr>
      </w:pPr>
      <w:r>
        <w:rPr>
          <w:rFonts w:ascii="Times New Roman" w:cs="Times New Roman" w:eastAsia="Times New Roman" w:hAnsi="Times New Roman"/>
          <w:sz w:val="14"/>
          <w:szCs w:val="14"/>
          <w:color w:val="auto"/>
        </w:rPr>
        <w:t>On July 31, 2020, we and Pantheon formed PSLF, an unconsolidated joint venture. PSLF invests primarily in middle-market and other corporate debt securities consistent with our strategy. PSLF was formed as a Delaware limited liability company. PSLF invests in portfolio companies in the same industries in which we may directly invest. We provide capital to PSLF in the form of subordinated notes and equity interests. Effective October 31, 2020, Pantheon contributed an additional $27.5 million to PSLF and we invested an additional $1.8 million in PSLF. As of December 31, 2020 and September 30, 2020, we and Pantheon owned 60.5% and 39.5%, respectively, and 72.0% and 28.0%, respectively, of each of the outstanding subordinated notes and equity interests in PSLF. As of the same dates, our investment in PSLF consisted of subordinated notes of $64.2 million and $63.0 million, respectively, and equity interests of $39.0 million and $36.3 million, respectively.</w:t>
      </w:r>
    </w:p>
    <w:p>
      <w:pPr>
        <w:spacing w:after="0" w:line="191"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As of December 31, 2020 and September 30, 2020, PSLF had total assets of $368.5 million and $361.8 million, respectively. As of December 31, 2020, PSLF had $89.5 million of unused borrowing capacity under the Credit Facility, subject to leverage and borrowing base restrictions, and cash and cash equivalents of $15.8 million. As of September 30, 2020, PSLF had $36.5 million of unused borrowing capacity under the Credit Facility, subject to leverage and borrowing base restrictions, and cash and cash equivalents of $7.5 million.</w:t>
      </w:r>
    </w:p>
    <w:p>
      <w:pPr>
        <w:spacing w:after="0" w:line="190"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or (iii) the presence of four members of the Member Designees’ Committee, provided that two individuals are present that were elected, designated or appointed by each of us and Pantheon.</w:t>
      </w:r>
    </w:p>
    <w:p>
      <w:pPr>
        <w:spacing w:after="0" w:line="191"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Additionally, PSLF has entered into a $275.0 million (increased from $250.0 million on November 6, 2020) senior secured revolving credit facility which bears interest at LIBOR (or an alternative risk-free interest rate index) plus 260 basis points, or the PSLF Credit Facility, with BNP Paribas through its wholly-owned subsidiary, or PSLF Subsidiary, subject to leverage and borrowing base restrictions.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5"/>
                <w:szCs w:val="15"/>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r>
      <w:tr>
        <w:trPr>
          <w:trHeight w:val="155"/>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29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351,896,988</w:t>
            </w:r>
          </w:p>
        </w:tc>
        <w:tc>
          <w:tcPr>
            <w:tcW w:w="3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yield on debt investments</w:t>
            </w: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29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16,146,764</w:t>
            </w:r>
          </w:p>
        </w:tc>
        <w:tc>
          <w:tcPr>
            <w:tcW w:w="34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18,411,916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74,627,783</w:t>
            </w:r>
          </w:p>
        </w:tc>
        <w:tc>
          <w:tcPr>
            <w:tcW w:w="34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77,896,431</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908"/>
        </w:trPr>
        <w:tc>
          <w:tcPr>
            <w:tcW w:w="4260" w:type="dxa"/>
            <w:vAlign w:val="bottom"/>
          </w:tcPr>
          <w:p>
            <w:pPr>
              <w:spacing w:after="0"/>
              <w:rPr>
                <w:sz w:val="24"/>
                <w:szCs w:val="24"/>
                <w:color w:val="auto"/>
              </w:rPr>
            </w:pPr>
          </w:p>
        </w:tc>
        <w:tc>
          <w:tcPr>
            <w:tcW w:w="290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26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0" w:name="page21"/>
    <w:bookmarkEnd w:id="20"/>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December 31,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9"/>
        </w:trPr>
        <w:tc>
          <w:tcPr>
            <w:tcW w:w="30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Debt—545.9%</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958,731</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947,168</w:t>
            </w:r>
          </w:p>
        </w:tc>
        <w:tc>
          <w:tcPr>
            <w:tcW w:w="220" w:type="dxa"/>
            <w:vAlign w:val="bottom"/>
          </w:tcPr>
          <w:p>
            <w:pPr>
              <w:spacing w:after="0"/>
              <w:rPr>
                <w:sz w:val="11"/>
                <w:szCs w:val="11"/>
                <w:color w:val="auto"/>
              </w:rPr>
            </w:pPr>
          </w:p>
        </w:tc>
        <w:tc>
          <w:tcPr>
            <w:tcW w:w="1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915,588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14,737,640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14,548,387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14,516,575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8,441,913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8,351,071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8,441,913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Apex Service Partners, LLC </w:t>
            </w:r>
            <w:r>
              <w:rPr>
                <w:rFonts w:ascii="Times New Roman" w:cs="Times New Roman" w:eastAsia="Times New Roman" w:hAnsi="Times New Roman"/>
                <w:sz w:val="9"/>
                <w:szCs w:val="9"/>
                <w:color w:val="auto"/>
              </w:rPr>
              <w:t>(3)</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07/31/2021</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1,542,556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Bazaarvoice,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14,591,146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14,479,701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14,372,279</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14,961,929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14,868,747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14,806,325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Datalot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7,099,014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6,980,774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7,099,014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11/03/2025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13,530,557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13,421,192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13,544,088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2,865,962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2,840,215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2,865,962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12/19/2025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12,162,857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12,004,848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11,919,600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14,591,222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14,332,501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08/27/2025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7,927,894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7,850,822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7,650,418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14,557,560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14,442,750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03/07/2025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L+900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10,205,877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10,037,924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10,078,304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2,041,180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2,025,149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1,891,358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12,566,555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12,342,012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12,315,224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16,907,607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16,777,822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16,146,764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MAG DS Corp.</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5,694,110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5,685,750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13,914,003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13,764,584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13,357,443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5.74%</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4,015,020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3,981,658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3,829,326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Radius Aerospace,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03/31/2025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13,744,524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13,581,728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13,469,634</w:t>
            </w:r>
          </w:p>
        </w:tc>
        <w:tc>
          <w:tcPr>
            <w:tcW w:w="120" w:type="dxa"/>
            <w:vAlign w:val="bottom"/>
          </w:tcPr>
          <w:p>
            <w:pPr>
              <w:spacing w:after="0"/>
              <w:rPr>
                <w:sz w:val="11"/>
                <w:szCs w:val="11"/>
                <w:color w:val="auto"/>
              </w:rPr>
            </w:pPr>
          </w:p>
        </w:tc>
      </w:tr>
      <w:tr>
        <w:trPr>
          <w:trHeight w:val="121"/>
        </w:trPr>
        <w:tc>
          <w:tcPr>
            <w:tcW w:w="3180" w:type="dxa"/>
            <w:vAlign w:val="bottom"/>
            <w:gridSpan w:val="3"/>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35"/>
        </w:trPr>
        <w:tc>
          <w:tcPr>
            <w:tcW w:w="3180" w:type="dxa"/>
            <w:vAlign w:val="bottom"/>
            <w:gridSpan w:val="3"/>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14,809,160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14,696,977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14,538,893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1,954,287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1,938,677</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7,867,378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7,736,084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7,729,699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5,420,826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5,355,677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5,353,065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14,062,500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13,922,678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13,746,094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12,497,823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12,330,599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12,410,338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5.40%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12,320,154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12,211,130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12,320,154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5,006,244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4,962,527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4,956,181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7,461,111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7,188,146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7,370,981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5,635,844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5,579,485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5,466,768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14,510,397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14,319,883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14,619,226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10,046,691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9,880,493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10,046,691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UBEO,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4,738,102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4,701,846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4,702,566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06/10/2025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14,321,880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14,088,756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13,605,786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10/18/2022</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14,004,711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13,861,591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14,004,711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1"/>
                <w:szCs w:val="11"/>
                <w:color w:val="auto"/>
                <w:w w:val="95"/>
              </w:rPr>
              <w:t>02/27/2026</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tcBorders>
              <w:bottom w:val="single" w:sz="8" w:color="CCECFF"/>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7,481,156</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7,406,933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7,406,342</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353,843,786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351,896,988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Equivalents—24.5%</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14,192,122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14,192,122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1,582,100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1,582,100</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15,774,222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15,774,222</w:t>
            </w:r>
          </w:p>
        </w:tc>
        <w:tc>
          <w:tcPr>
            <w:tcW w:w="120" w:type="dxa"/>
            <w:vAlign w:val="bottom"/>
            <w:shd w:val="clear" w:color="auto" w:fill="CCECFF"/>
          </w:tcPr>
          <w:p>
            <w:pPr>
              <w:spacing w:after="0"/>
              <w:rPr>
                <w:sz w:val="11"/>
                <w:szCs w:val="11"/>
                <w:color w:val="auto"/>
              </w:rPr>
            </w:pPr>
          </w:p>
        </w:tc>
      </w:tr>
      <w:tr>
        <w:trPr>
          <w:trHeight w:val="169"/>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Equivalents—570.3%</w:t>
            </w:r>
          </w:p>
        </w:tc>
        <w:tc>
          <w:tcPr>
            <w:tcW w:w="6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26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7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369,618,008</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367,671,210</w:t>
            </w:r>
          </w:p>
        </w:tc>
        <w:tc>
          <w:tcPr>
            <w:tcW w:w="120" w:type="dxa"/>
            <w:vAlign w:val="bottom"/>
            <w:tcBorders>
              <w:bottom w:val="single" w:sz="8" w:color="CCECFF"/>
            </w:tcBorders>
          </w:tcPr>
          <w:p>
            <w:pPr>
              <w:spacing w:after="0"/>
              <w:rPr>
                <w:sz w:val="14"/>
                <w:szCs w:val="14"/>
                <w:color w:val="auto"/>
              </w:rPr>
            </w:pPr>
          </w:p>
        </w:tc>
      </w:tr>
      <w:tr>
        <w:trPr>
          <w:trHeight w:val="115"/>
        </w:trPr>
        <w:tc>
          <w:tcPr>
            <w:tcW w:w="3180" w:type="dxa"/>
            <w:vAlign w:val="bottom"/>
            <w:gridSpan w:val="3"/>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Assets—(470.3)%</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(303,206,242)</w:t>
            </w:r>
          </w:p>
        </w:tc>
        <w:tc>
          <w:tcPr>
            <w:tcW w:w="120" w:type="dxa"/>
            <w:vAlign w:val="bottom"/>
            <w:shd w:val="clear" w:color="auto" w:fill="CCECFF"/>
          </w:tcPr>
          <w:p>
            <w:pPr>
              <w:spacing w:after="0"/>
              <w:rPr>
                <w:sz w:val="10"/>
                <w:szCs w:val="10"/>
                <w:color w:val="auto"/>
              </w:rPr>
            </w:pPr>
          </w:p>
        </w:tc>
      </w:tr>
      <w:tr>
        <w:trPr>
          <w:trHeight w:val="128"/>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64,464,968</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right="40" w:hanging="372"/>
        <w:spacing w:after="0" w:line="243" w:lineRule="auto"/>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0"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Valued based on PSLF’s accounting policy.</w:t>
      </w:r>
    </w:p>
    <w:p>
      <w:pPr>
        <w:spacing w:after="0" w:line="35"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Advantage Sales &amp; Marketing</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4"/>
              </w:rPr>
              <w:t>Grocery</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L+325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8,627,315</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8,418,699</w:t>
            </w:r>
          </w:p>
        </w:tc>
        <w:tc>
          <w:tcPr>
            <w:tcW w:w="220" w:type="dxa"/>
            <w:vAlign w:val="bottom"/>
          </w:tcPr>
          <w:p>
            <w:pPr>
              <w:spacing w:after="0"/>
              <w:rPr>
                <w:sz w:val="11"/>
                <w:szCs w:val="11"/>
                <w:color w:val="auto"/>
              </w:rPr>
            </w:pPr>
          </w:p>
        </w:tc>
        <w:tc>
          <w:tcPr>
            <w:tcW w:w="1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8,456,926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958,950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937,238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14,571,097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14,479,603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6,546,594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6,409,225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Bazaarvoice,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14,509,210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14,408,664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14,895,515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14,683,499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Cano Health,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18,174,687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18,411,916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6,991,975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7,125,435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13,448,313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13,316,490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2,846,226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2,858,818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12,028,384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11,888,732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14,619,623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14,295,375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444,755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443,354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L+700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14,583,983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14,413,275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L+850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9,978,792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10,001,050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1,998,623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1,856,411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12,365,207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12,440,731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16,770,520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15,882,625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MAG DS Corp.</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5,707,500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13,914,921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13,407,926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5.72%</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3,990,631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3,824,244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13,608,176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13,503,840</w:t>
            </w:r>
          </w:p>
        </w:tc>
        <w:tc>
          <w:tcPr>
            <w:tcW w:w="120" w:type="dxa"/>
            <w:vAlign w:val="bottom"/>
            <w:shd w:val="clear" w:color="auto" w:fill="CCECFF"/>
          </w:tcPr>
          <w:p>
            <w:pPr>
              <w:spacing w:after="0"/>
              <w:rPr>
                <w:sz w:val="11"/>
                <w:szCs w:val="11"/>
                <w:color w:val="auto"/>
              </w:rPr>
            </w:pPr>
          </w:p>
        </w:tc>
      </w:tr>
      <w:tr>
        <w:trPr>
          <w:trHeight w:val="121"/>
        </w:trPr>
        <w:tc>
          <w:tcPr>
            <w:tcW w:w="31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1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14,728,854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14,023,302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1,958,417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1,905,678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7,748,712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7,697,903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5,378,893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5,350,411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14,096,623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13,786,875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12,351,398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12,393,282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5.40%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12,238,771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12,228,460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5,034,725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4,928,407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1,874,970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1,905,750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5,593,575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5,480,573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14,343,185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14,438,788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8,469,082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8,471,302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UBEO,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4,700,032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4,453,816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14,112,113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1"/>
                <w:szCs w:val="11"/>
                <w:color w:val="auto"/>
                <w:w w:val="95"/>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14,052,223</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358,023,408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353,366,358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Equivalents—15.0%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120" w:type="dxa"/>
            <w:vAlign w:val="bottom"/>
            <w:shd w:val="clear" w:color="auto" w:fill="CCECFF"/>
          </w:tcPr>
          <w:p>
            <w:pPr>
              <w:spacing w:after="0"/>
              <w:rPr>
                <w:sz w:val="11"/>
                <w:szCs w:val="11"/>
                <w:color w:val="auto"/>
              </w:rPr>
            </w:pPr>
          </w:p>
        </w:tc>
      </w:tr>
      <w:tr>
        <w:trPr>
          <w:trHeight w:val="169"/>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Equivalents—716.6%</w:t>
            </w:r>
          </w:p>
        </w:tc>
        <w:tc>
          <w:tcPr>
            <w:tcW w:w="6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26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365,560,127</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360,903,077</w:t>
            </w:r>
          </w:p>
        </w:tc>
        <w:tc>
          <w:tcPr>
            <w:tcW w:w="120" w:type="dxa"/>
            <w:vAlign w:val="bottom"/>
            <w:tcBorders>
              <w:bottom w:val="single" w:sz="8" w:color="CCECFF"/>
            </w:tcBorders>
          </w:tcPr>
          <w:p>
            <w:pPr>
              <w:spacing w:after="0"/>
              <w:rPr>
                <w:sz w:val="14"/>
                <w:szCs w:val="14"/>
                <w:color w:val="auto"/>
              </w:rPr>
            </w:pPr>
          </w:p>
        </w:tc>
      </w:tr>
      <w:tr>
        <w:trPr>
          <w:trHeight w:val="115"/>
        </w:trPr>
        <w:tc>
          <w:tcPr>
            <w:tcW w:w="3180" w:type="dxa"/>
            <w:vAlign w:val="bottom"/>
            <w:gridSpan w:val="3"/>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Assets—(616.6)%</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(310,538,386)</w:t>
            </w:r>
          </w:p>
        </w:tc>
        <w:tc>
          <w:tcPr>
            <w:tcW w:w="120" w:type="dxa"/>
            <w:vAlign w:val="bottom"/>
            <w:shd w:val="clear" w:color="auto" w:fill="CCECFF"/>
          </w:tcPr>
          <w:p>
            <w:pPr>
              <w:spacing w:after="0"/>
              <w:rPr>
                <w:sz w:val="10"/>
                <w:szCs w:val="10"/>
                <w:color w:val="auto"/>
              </w:rPr>
            </w:pPr>
          </w:p>
        </w:tc>
      </w:tr>
      <w:tr>
        <w:trPr>
          <w:trHeight w:val="128"/>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50,364,691</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right="40" w:hanging="372"/>
        <w:spacing w:after="0" w:line="243" w:lineRule="auto"/>
        <w:tabs>
          <w:tab w:leader="none" w:pos="380" w:val="left"/>
        </w:tabs>
        <w:numPr>
          <w:ilvl w:val="0"/>
          <w:numId w:val="1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0"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1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Valued based on PSLF’s accounting policy.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448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6"/>
        </w:trPr>
        <w:tc>
          <w:tcPr>
            <w:tcW w:w="74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Below is the financial information for PSLF:</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44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Statements of Assets and Liabilities</w:t>
            </w:r>
          </w:p>
        </w:tc>
        <w:tc>
          <w:tcPr>
            <w:tcW w:w="160" w:type="dxa"/>
            <w:vAlign w:val="bottom"/>
          </w:tcPr>
          <w:p>
            <w:pPr>
              <w:spacing w:after="0"/>
              <w:rPr>
                <w:sz w:val="17"/>
                <w:szCs w:val="17"/>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7"/>
                <w:szCs w:val="17"/>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Investments at fair value (cost—$353,843,786 and $358,023,408, respectively)</w:t>
            </w:r>
          </w:p>
        </w:tc>
        <w:tc>
          <w:tcPr>
            <w:tcW w:w="16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351,896,988</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(cost—$15,774,222 and $7,536,719, respectively)</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15,774,222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6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813,092</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Borders>
              <w:bottom w:val="single" w:sz="8" w:color="CCECFF"/>
            </w:tcBorders>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368,484,302</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CFF"/>
          </w:tcPr>
          <w:p>
            <w:pPr>
              <w:spacing w:after="0"/>
              <w:rPr>
                <w:sz w:val="13"/>
                <w:szCs w:val="13"/>
                <w:color w:val="auto"/>
              </w:rPr>
            </w:pPr>
          </w:p>
        </w:tc>
        <w:tc>
          <w:tcPr>
            <w:tcW w:w="15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 payable</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7,131,972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facility payable</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Notes payable to members</w:t>
            </w: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106,040,612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1,486,100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members notes</w:t>
            </w: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1,643,629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417,021</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shd w:val="clear" w:color="auto" w:fill="CCECFF"/>
          </w:tcPr>
          <w:p>
            <w:pPr>
              <w:spacing w:after="0"/>
              <w:rPr>
                <w:sz w:val="13"/>
                <w:szCs w:val="13"/>
                <w:color w:val="auto"/>
              </w:rPr>
            </w:pP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304,019,334</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40" w:type="dxa"/>
            <w:vAlign w:val="bottom"/>
            <w:tcBorders>
              <w:bottom w:val="single" w:sz="8" w:color="CCECFF"/>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2"/>
                <w:szCs w:val="12"/>
                <w:color w:val="auto"/>
              </w:rPr>
              <w:t>(1)</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160" w:type="dxa"/>
            <w:vAlign w:val="bottom"/>
            <w:tcBorders>
              <w:bottom w:val="single" w:sz="8" w:color="auto"/>
            </w:tcBorders>
            <w:shd w:val="clear" w:color="auto" w:fill="CCECFF"/>
          </w:tcPr>
          <w:p>
            <w:pPr>
              <w:spacing w:after="0"/>
              <w:rPr>
                <w:sz w:val="13"/>
                <w:szCs w:val="13"/>
                <w:color w:val="auto"/>
              </w:rPr>
            </w:pP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64,464,968</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40" w:type="dxa"/>
            <w:vAlign w:val="bottom"/>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368,484,302</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60" w:type="dxa"/>
            <w:vAlign w:val="bottom"/>
            <w:tcBorders>
              <w:bottom w:val="single" w:sz="8" w:color="auto"/>
            </w:tcBorders>
          </w:tcPr>
          <w:p>
            <w:pPr>
              <w:spacing w:after="0"/>
              <w:rPr>
                <w:sz w:val="3"/>
                <w:szCs w:val="3"/>
                <w:color w:val="auto"/>
              </w:rPr>
            </w:pPr>
          </w:p>
        </w:tc>
        <w:tc>
          <w:tcPr>
            <w:tcW w:w="4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1"/>
          <w:szCs w:val="11"/>
          <w:color w:val="auto"/>
        </w:rPr>
        <w:t>As of December 31, 2020 and September 30, 2020, PSLF had unfunded commitments to fund investments of $1.5 million and zero, respectively.</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4320" w:type="dxa"/>
            <w:vAlign w:val="bottom"/>
            <w:gridSpan w:val="2"/>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rPr>
              <w:t xml:space="preserve">Statements of Operations </w:t>
            </w:r>
            <w:r>
              <w:rPr>
                <w:rFonts w:ascii="Times New Roman" w:cs="Times New Roman" w:eastAsia="Times New Roman" w:hAnsi="Times New Roman"/>
                <w:sz w:val="12"/>
                <w:szCs w:val="12"/>
                <w:b w:val="1"/>
                <w:bCs w:val="1"/>
                <w:color w:val="auto"/>
              </w:rPr>
              <w:t>(1)</w:t>
            </w:r>
          </w:p>
        </w:tc>
        <w:tc>
          <w:tcPr>
            <w:tcW w:w="2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45"/>
        </w:trPr>
        <w:tc>
          <w:tcPr>
            <w:tcW w:w="4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spacing w:after="0"/>
              <w:rPr>
                <w:sz w:val="13"/>
                <w:szCs w:val="13"/>
                <w:color w:val="auto"/>
              </w:rPr>
            </w:pPr>
          </w:p>
        </w:tc>
        <w:tc>
          <w:tcPr>
            <w:tcW w:w="41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660" w:type="dxa"/>
            <w:vAlign w:val="bottom"/>
            <w:tcBorders>
              <w:top w:val="single" w:sz="8" w:color="auto"/>
              <w:bottom w:val="single" w:sz="8" w:color="auto"/>
            </w:tcBorders>
          </w:tcPr>
          <w:p>
            <w:pPr>
              <w:jc w:val="right"/>
              <w:ind w:right="12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41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4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6,561,996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4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2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436,957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4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6,998,953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41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and expenses on credit facility</w:t>
            </w: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1,754,377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expense on members notes</w:t>
            </w:r>
          </w:p>
        </w:tc>
        <w:tc>
          <w:tcPr>
            <w:tcW w:w="4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2,299,879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 xml:space="preserve">Other general and administrative expenses </w:t>
            </w:r>
            <w:r>
              <w:rPr>
                <w:rFonts w:ascii="Times New Roman" w:cs="Times New Roman" w:eastAsia="Times New Roman" w:hAnsi="Times New Roman"/>
                <w:sz w:val="12"/>
                <w:szCs w:val="12"/>
                <w:color w:val="auto"/>
              </w:rPr>
              <w:t>(2)</w:t>
            </w:r>
          </w:p>
        </w:tc>
        <w:tc>
          <w:tcPr>
            <w:tcW w:w="4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2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111,648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4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4,458,869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4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2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2,540,084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Realized and unrealized gain on investments:</w:t>
            </w: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4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464,337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Net change in unrealized appreciation on investments</w:t>
            </w:r>
          </w:p>
        </w:tc>
        <w:tc>
          <w:tcPr>
            <w:tcW w:w="41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2,710,252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and unrealized gain from investments</w:t>
            </w:r>
          </w:p>
        </w:tc>
        <w:tc>
          <w:tcPr>
            <w:tcW w:w="4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2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3,174,589</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412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5,714,673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PSLF commenced operations on July 31, 2020.</w:t>
      </w:r>
    </w:p>
    <w:p>
      <w:pPr>
        <w:spacing w:after="0" w:line="7"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21"/>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 management or incentive fees are payable by PSLF. If any fees were to be charged, they would be separately disclosed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219" w:lineRule="exact"/>
        <w:rPr>
          <w:sz w:val="20"/>
          <w:szCs w:val="20"/>
          <w:color w:val="auto"/>
        </w:rPr>
      </w:pPr>
    </w:p>
    <w:p>
      <w:pPr>
        <w:ind w:right="280" w:firstLine="438"/>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61" w:lineRule="auto"/>
        <w:tabs>
          <w:tab w:leader="none" w:pos="144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76" w:lineRule="exact"/>
        <w:rPr>
          <w:sz w:val="20"/>
          <w:szCs w:val="20"/>
          <w:color w:val="auto"/>
        </w:rPr>
      </w:pPr>
    </w:p>
    <w:p>
      <w:pPr>
        <w:ind w:left="640"/>
        <w:spacing w:after="0"/>
        <w:tabs>
          <w:tab w:leader="none" w:pos="144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ind w:right="400" w:firstLine="438"/>
        <w:spacing w:after="0" w:line="261"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2024 Notes are classified as Level 1, as they were valued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76"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91"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1" w:lineRule="exact"/>
        <w:rPr>
          <w:sz w:val="20"/>
          <w:szCs w:val="20"/>
          <w:color w:val="auto"/>
        </w:rPr>
      </w:pPr>
    </w:p>
    <w:p>
      <w:pPr>
        <w:ind w:right="280" w:firstLine="438"/>
        <w:spacing w:after="0" w:line="261"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82" w:lineRule="exact"/>
        <w:rPr>
          <w:sz w:val="20"/>
          <w:szCs w:val="20"/>
          <w:color w:val="auto"/>
        </w:rPr>
      </w:pPr>
    </w:p>
    <w:p>
      <w:pPr>
        <w:ind w:right="200" w:firstLine="438"/>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0"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our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91"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14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80" w:type="dxa"/>
            <w:vAlign w:val="bottom"/>
          </w:tcPr>
          <w:p>
            <w:pPr>
              <w:spacing w:after="0"/>
              <w:rPr>
                <w:sz w:val="13"/>
                <w:szCs w:val="13"/>
                <w:color w:val="auto"/>
              </w:rPr>
            </w:pPr>
          </w:p>
        </w:tc>
        <w:tc>
          <w:tcPr>
            <w:tcW w:w="2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3"/>
        </w:trPr>
        <w:tc>
          <w:tcPr>
            <w:tcW w:w="2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8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6"/>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52,298,929</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372,862,010</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 – 14.9% (8.9%)</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26,040,363</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shd w:val="clear" w:color="auto" w:fill="CCECFF"/>
          </w:tcPr>
          <w:p>
            <w:pPr>
              <w:jc w:val="center"/>
              <w:ind w:right="180"/>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159,174,322</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 –11.0% (10.3%)</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10,230,271</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5.9x</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116,754,220</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 – 15.9% (12.0%)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330,499,916</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4.0x – 30.2x (11.2x)</w:t>
            </w:r>
          </w:p>
        </w:tc>
        <w:tc>
          <w:tcPr>
            <w:tcW w:w="0" w:type="dxa"/>
            <w:vAlign w:val="bottom"/>
          </w:tcPr>
          <w:p>
            <w:pPr>
              <w:spacing w:after="0"/>
              <w:rPr>
                <w:sz w:val="1"/>
                <w:szCs w:val="1"/>
                <w:color w:val="auto"/>
              </w:rPr>
            </w:pPr>
          </w:p>
        </w:tc>
      </w:tr>
      <w:tr>
        <w:trPr>
          <w:trHeight w:val="162"/>
        </w:trPr>
        <w:tc>
          <w:tcPr>
            <w:tcW w:w="27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18,661,355</w:t>
            </w:r>
          </w:p>
        </w:tc>
        <w:tc>
          <w:tcPr>
            <w:tcW w:w="280" w:type="dxa"/>
            <w:vAlign w:val="bottom"/>
            <w:tcBorders>
              <w:bottom w:val="single" w:sz="8" w:color="CCECFF"/>
            </w:tcBorders>
          </w:tcPr>
          <w:p>
            <w:pPr>
              <w:spacing w:after="0"/>
              <w:rPr>
                <w:sz w:val="14"/>
                <w:szCs w:val="14"/>
                <w:color w:val="auto"/>
              </w:rPr>
            </w:pPr>
          </w:p>
        </w:tc>
        <w:tc>
          <w:tcPr>
            <w:tcW w:w="2240" w:type="dxa"/>
            <w:vAlign w:val="bottom"/>
            <w:tcBorders>
              <w:bottom w:val="single" w:sz="8" w:color="CCECFF"/>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tcBorders>
              <w:bottom w:val="single" w:sz="8" w:color="CCEC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08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55"/>
        </w:trPr>
        <w:tc>
          <w:tcPr>
            <w:tcW w:w="276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1,086,521,386</w:t>
            </w:r>
          </w:p>
        </w:tc>
        <w:tc>
          <w:tcPr>
            <w:tcW w:w="28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Truist Credit Facility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line="20" w:lineRule="exact"/>
              <w:rPr>
                <w:sz w:val="1"/>
                <w:szCs w:val="1"/>
                <w:color w:val="auto"/>
              </w:rPr>
            </w:pPr>
          </w:p>
        </w:tc>
      </w:tr>
      <w:tr>
        <w:trPr>
          <w:trHeight w:val="143"/>
        </w:trPr>
        <w:tc>
          <w:tcPr>
            <w:tcW w:w="276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349,104,144</w:t>
            </w:r>
          </w:p>
        </w:tc>
        <w:tc>
          <w:tcPr>
            <w:tcW w:w="2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859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0" w:type="dxa"/>
            <w:vAlign w:val="bottom"/>
          </w:tcPr>
          <w:p>
            <w:pPr>
              <w:spacing w:after="0"/>
              <w:rPr>
                <w:sz w:val="13"/>
                <w:szCs w:val="13"/>
                <w:color w:val="auto"/>
              </w:rPr>
            </w:pPr>
          </w:p>
        </w:tc>
        <w:tc>
          <w:tcPr>
            <w:tcW w:w="2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3"/>
        </w:trPr>
        <w:tc>
          <w:tcPr>
            <w:tcW w:w="2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38,794,224</w:t>
            </w:r>
          </w:p>
        </w:tc>
        <w:tc>
          <w:tcPr>
            <w:tcW w:w="2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400,218,858</w:t>
            </w:r>
          </w:p>
        </w:tc>
        <w:tc>
          <w:tcPr>
            <w:tcW w:w="2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 – 15.0% (9.0%)</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202,060,703</w:t>
            </w:r>
          </w:p>
        </w:tc>
        <w:tc>
          <w:tcPr>
            <w:tcW w:w="2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8.4% – 11.0% (10.0%)</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18,782,777</w:t>
            </w:r>
          </w:p>
        </w:tc>
        <w:tc>
          <w:tcPr>
            <w:tcW w:w="2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8.5x</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113,569,409</w:t>
            </w:r>
          </w:p>
        </w:tc>
        <w:tc>
          <w:tcPr>
            <w:tcW w:w="2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9.4% – 16.1% (12.0%)</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253,101,893</w:t>
            </w:r>
          </w:p>
        </w:tc>
        <w:tc>
          <w:tcPr>
            <w:tcW w:w="2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4.6x – 22.0x (11.4x)</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17,652,053</w:t>
            </w:r>
          </w:p>
        </w:tc>
        <w:tc>
          <w:tcPr>
            <w:tcW w:w="2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2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Truist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368,701,972</w:t>
            </w:r>
          </w:p>
        </w:tc>
        <w:tc>
          <w:tcPr>
            <w:tcW w:w="260" w:type="dxa"/>
            <w:vAlign w:val="bottom"/>
            <w:tcBorders>
              <w:bottom w:val="single" w:sz="8" w:color="CCECFF"/>
            </w:tcBorders>
            <w:shd w:val="clear" w:color="auto" w:fill="CCECFF"/>
          </w:tcPr>
          <w:p>
            <w:pPr>
              <w:spacing w:after="0"/>
              <w:rPr>
                <w:sz w:val="12"/>
                <w:szCs w:val="12"/>
                <w:color w:val="auto"/>
              </w:rPr>
            </w:pP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Times New Roman" w:cs="Times New Roman" w:eastAsia="Times New Roman" w:hAnsi="Times New Roman"/>
                <w:sz w:val="14"/>
                <w:szCs w:val="14"/>
                <w:color w:val="auto"/>
              </w:rPr>
              <w:t>Market Comparable</w:t>
            </w: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Times New Roman" w:cs="Times New Roman" w:eastAsia="Times New Roman" w:hAnsi="Times New Roman"/>
                <w:sz w:val="14"/>
                <w:szCs w:val="14"/>
                <w:color w:val="auto"/>
              </w:rPr>
              <w:t>Market Yield</w:t>
            </w:r>
          </w:p>
        </w:tc>
        <w:tc>
          <w:tcPr>
            <w:tcW w:w="2100" w:type="dxa"/>
            <w:vAlign w:val="bottom"/>
            <w:tcBorders>
              <w:bottom w:val="single" w:sz="8" w:color="CCECFF"/>
            </w:tcBorders>
            <w:shd w:val="clear" w:color="auto" w:fill="CCECFF"/>
          </w:tcPr>
          <w:p>
            <w:pPr>
              <w:jc w:val="center"/>
              <w:spacing w:after="0" w:line="143"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8599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9860" w:type="dxa"/>
            <w:vAlign w:val="bottom"/>
            <w:gridSpan w:val="15"/>
          </w:tcPr>
          <w:p>
            <w:pPr>
              <w:ind w:left="440"/>
              <w:spacing w:after="0"/>
              <w:rPr>
                <w:sz w:val="20"/>
                <w:szCs w:val="20"/>
                <w:color w:val="auto"/>
              </w:rPr>
            </w:pPr>
            <w:r>
              <w:rPr>
                <w:rFonts w:ascii="Times New Roman" w:cs="Times New Roman" w:eastAsia="Times New Roman" w:hAnsi="Times New Roman"/>
                <w:sz w:val="14"/>
                <w:szCs w:val="14"/>
                <w:color w:val="auto"/>
              </w:rPr>
              <w:t>Our investments, cash and cash equivalents, Truist Credit Facility, SBA debentures and 2024 Notes were categorized as follows in the fair value hierarchy:</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gridSpan w:val="6"/>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Fair Value at December 31, 2020</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0" w:type="dxa"/>
            <w:vAlign w:val="bottom"/>
          </w:tcPr>
          <w:p>
            <w:pPr>
              <w:spacing w:after="0"/>
              <w:rPr>
                <w:sz w:val="1"/>
                <w:szCs w:val="1"/>
                <w:color w:val="auto"/>
              </w:rPr>
            </w:pPr>
          </w:p>
        </w:tc>
      </w:tr>
      <w:tr>
        <w:trPr>
          <w:trHeight w:val="1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64"/>
        </w:trPr>
        <w:tc>
          <w:tcPr>
            <w:tcW w:w="2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72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737,360,115</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737,360,115</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389,730,950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1,568,374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349,161,271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39,001,305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1,127,091,065</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1,568,374</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1,086,521,386</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39,001,305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20,157,299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20,157,299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1,147,248,364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21,725,673</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1,086,521,386</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39,001,305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Truist Credit Facility</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349,104,144</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349,104,144</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SBA Debentures</w:t>
            </w:r>
            <w:r>
              <w:rPr>
                <w:rFonts w:ascii="Times New Roman" w:cs="Times New Roman" w:eastAsia="Times New Roman" w:hAnsi="Times New Roman"/>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115,862,617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115,862,617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2024 Notes</w:t>
            </w:r>
            <w:r>
              <w:rPr>
                <w:rFonts w:ascii="Times New Roman" w:cs="Times New Roman" w:eastAsia="Times New Roman" w:hAnsi="Times New Roman"/>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86,836,500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86,836,500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debt</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551,803,261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86,836,500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464,966,761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6"/>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Fair Value at September 30, 2020</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0" w:type="dxa"/>
            <w:vAlign w:val="bottom"/>
          </w:tcPr>
          <w:p>
            <w:pPr>
              <w:spacing w:after="0"/>
              <w:rPr>
                <w:sz w:val="1"/>
                <w:szCs w:val="1"/>
                <w:color w:val="auto"/>
              </w:rPr>
            </w:pPr>
          </w:p>
        </w:tc>
      </w:tr>
      <w:tr>
        <w:trPr>
          <w:trHeight w:val="1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64"/>
        </w:trPr>
        <w:tc>
          <w:tcPr>
            <w:tcW w:w="2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773,425,971</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773,425,971</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308,345,447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1,328,924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270,753,946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36,262,577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1,081,771,418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1,328,924</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36,262,577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25,806,002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25,806,002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1,107,577,420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27,134,926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36,262,577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Truist Credit Facility</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368,701,972</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368,701,972</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SBA Debentures</w:t>
            </w:r>
            <w:r>
              <w:rPr>
                <w:rFonts w:ascii="Times New Roman" w:cs="Times New Roman" w:eastAsia="Times New Roman" w:hAnsi="Times New Roman"/>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115,772,677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115,772,677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2024 Notes</w:t>
            </w:r>
            <w:r>
              <w:rPr>
                <w:rFonts w:ascii="Times New Roman" w:cs="Times New Roman" w:eastAsia="Times New Roman" w:hAnsi="Times New Roman"/>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83,837,560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83,837,560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debt</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568,312,209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83,837,560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484,474,649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1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80" w:right="240" w:hanging="372"/>
        <w:spacing w:after="0" w:line="241" w:lineRule="auto"/>
        <w:tabs>
          <w:tab w:leader="none" w:pos="380" w:val="left"/>
        </w:tabs>
        <w:numPr>
          <w:ilvl w:val="0"/>
          <w:numId w:val="24"/>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In accordance with ASC Subtopic 820-10, Fair Value Measurements and Disclosures, or ASC 820-10, our equity investment in PSLF is measured using the net asset value per share (or its equivalent) as a practical expedient for fair value, have not been classified in the fair value hierarchy.</w:t>
      </w:r>
    </w:p>
    <w:p>
      <w:pPr>
        <w:ind w:left="380" w:right="100" w:hanging="372"/>
        <w:spacing w:after="0" w:line="236" w:lineRule="auto"/>
        <w:tabs>
          <w:tab w:leader="none" w:pos="380" w:val="left"/>
        </w:tabs>
        <w:numPr>
          <w:ilvl w:val="0"/>
          <w:numId w:val="24"/>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We elected not to apply ASC 825-10 to the SBA debentures or the 2024 Notes and thus the balance reported in the Consolidated Statement of Assets and Liabilities represents the carrying value. As of December 31, 2020 and September 30, 2020, the carrying value of the SBA debentures approximates the fair value. As of September 30, 2020, the carrying value of the 2024 Notes approximates the fair value.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investments measured at fair value using significant unobservable inputs (Level 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2020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1"/>
                <w:szCs w:val="11"/>
                <w:color w:val="auto"/>
              </w:rPr>
            </w:pPr>
          </w:p>
        </w:tc>
        <w:tc>
          <w:tcPr>
            <w:tcW w:w="10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5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3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3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w:t>
            </w:r>
          </w:p>
        </w:tc>
        <w:tc>
          <w:tcPr>
            <w:tcW w:w="9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773,425,971</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270,753,946</w:t>
            </w:r>
          </w:p>
        </w:tc>
        <w:tc>
          <w:tcPr>
            <w:tcW w:w="260" w:type="dxa"/>
            <w:vAlign w:val="bottom"/>
            <w:tcBorders>
              <w:top w:val="single" w:sz="8" w:color="CCECFF"/>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(loss) gain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(19,754,439)</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2,148,373</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(17,606,066)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w:t>
            </w:r>
          </w:p>
        </w:tc>
        <w:tc>
          <w:tcPr>
            <w:tcW w:w="9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26,295,858</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64,865,848</w:t>
            </w:r>
          </w:p>
        </w:tc>
        <w:tc>
          <w:tcPr>
            <w:tcW w:w="26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91,161,706</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52,096,591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19,280,062</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71,376,653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9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(94,703,866)</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(7,886,958)</w:t>
            </w:r>
          </w:p>
        </w:tc>
        <w:tc>
          <w:tcPr>
            <w:tcW w:w="50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(102,590,824)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Ending Balance</w:t>
            </w:r>
          </w:p>
        </w:tc>
        <w:tc>
          <w:tcPr>
            <w:tcW w:w="9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737,360,115</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349,161,271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500" w:type="dxa"/>
            <w:vAlign w:val="bottom"/>
            <w:tcBorders>
              <w:top w:val="single" w:sz="8" w:color="auto"/>
              <w:bottom w:val="single" w:sz="8" w:color="auto"/>
            </w:tcBorders>
            <w:shd w:val="clear" w:color="auto" w:fill="CCECFF"/>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1,086,521,386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change in unrealized appreciation reported within the net change in unrealized</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3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appreciation on investments in our Consolidated Statements of Operations attributable to our</w:t>
            </w:r>
          </w:p>
        </w:tc>
        <w:tc>
          <w:tcPr>
            <w:tcW w:w="1260" w:type="dxa"/>
            <w:vAlign w:val="bottom"/>
            <w:gridSpan w:val="3"/>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25,798,887</w:t>
            </w:r>
          </w:p>
        </w:tc>
        <w:tc>
          <w:tcPr>
            <w:tcW w:w="280" w:type="dxa"/>
            <w:vAlign w:val="bottom"/>
          </w:tcPr>
          <w:p>
            <w:pPr>
              <w:spacing w:after="0"/>
              <w:rPr>
                <w:sz w:val="12"/>
                <w:szCs w:val="12"/>
                <w:color w:val="auto"/>
              </w:rPr>
            </w:pPr>
          </w:p>
        </w:tc>
        <w:tc>
          <w:tcPr>
            <w:tcW w:w="2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65,689,444</w:t>
            </w:r>
          </w:p>
        </w:tc>
        <w:tc>
          <w:tcPr>
            <w:tcW w:w="260" w:type="dxa"/>
            <w:vAlign w:val="bottom"/>
          </w:tcPr>
          <w:p>
            <w:pPr>
              <w:spacing w:after="0"/>
              <w:rPr>
                <w:sz w:val="12"/>
                <w:szCs w:val="12"/>
                <w:color w:val="auto"/>
              </w:rPr>
            </w:pPr>
          </w:p>
        </w:tc>
        <w:tc>
          <w:tcPr>
            <w:tcW w:w="5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91,488,331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Level 3 assets still held at the reporting date.</w:t>
            </w:r>
          </w:p>
        </w:tc>
        <w:tc>
          <w:tcPr>
            <w:tcW w:w="1260" w:type="dxa"/>
            <w:vAlign w:val="bottom"/>
            <w:gridSpan w:val="3"/>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2019</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1"/>
                <w:szCs w:val="11"/>
                <w:color w:val="auto"/>
              </w:rPr>
            </w:pPr>
          </w:p>
        </w:tc>
        <w:tc>
          <w:tcPr>
            <w:tcW w:w="10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5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3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3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w:t>
            </w:r>
          </w:p>
        </w:tc>
        <w:tc>
          <w:tcPr>
            <w:tcW w:w="9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192,859,082</w:t>
            </w:r>
          </w:p>
        </w:tc>
        <w:tc>
          <w:tcPr>
            <w:tcW w:w="260" w:type="dxa"/>
            <w:vAlign w:val="bottom"/>
            <w:tcBorders>
              <w:top w:val="single" w:sz="8" w:color="CCECFF"/>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gain (loss)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324,712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(12,367,930)</w:t>
            </w:r>
          </w:p>
        </w:tc>
        <w:tc>
          <w:tcPr>
            <w:tcW w:w="5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(12,043,218)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w:t>
            </w:r>
          </w:p>
        </w:tc>
        <w:tc>
          <w:tcPr>
            <w:tcW w:w="9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2,723,990</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20,400,910</w:t>
            </w:r>
          </w:p>
        </w:tc>
        <w:tc>
          <w:tcPr>
            <w:tcW w:w="26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23,124,900</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127,801,796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48,956,985</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176,758,781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9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(30,928,814)</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(222,199)</w:t>
            </w:r>
          </w:p>
        </w:tc>
        <w:tc>
          <w:tcPr>
            <w:tcW w:w="50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(31,151,013)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Ending Balance</w:t>
            </w:r>
          </w:p>
        </w:tc>
        <w:tc>
          <w:tcPr>
            <w:tcW w:w="106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1,125,700,818</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249,626,848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500" w:type="dxa"/>
            <w:vAlign w:val="bottom"/>
            <w:tcBorders>
              <w:top w:val="single" w:sz="8" w:color="auto"/>
              <w:bottom w:val="single" w:sz="8" w:color="auto"/>
            </w:tcBorders>
            <w:shd w:val="clear" w:color="auto" w:fill="CCECFF"/>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1,375,327,666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change in unrealized appreciation reported within the net change in unrealized</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3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appreciation on investments in our Consolidated Statements of Operations attributable to our</w:t>
            </w:r>
          </w:p>
        </w:tc>
        <w:tc>
          <w:tcPr>
            <w:tcW w:w="1260" w:type="dxa"/>
            <w:vAlign w:val="bottom"/>
            <w:gridSpan w:val="3"/>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2,756,254</w:t>
            </w:r>
          </w:p>
        </w:tc>
        <w:tc>
          <w:tcPr>
            <w:tcW w:w="280" w:type="dxa"/>
            <w:vAlign w:val="bottom"/>
          </w:tcPr>
          <w:p>
            <w:pPr>
              <w:spacing w:after="0"/>
              <w:rPr>
                <w:sz w:val="12"/>
                <w:szCs w:val="12"/>
                <w:color w:val="auto"/>
              </w:rPr>
            </w:pPr>
          </w:p>
        </w:tc>
        <w:tc>
          <w:tcPr>
            <w:tcW w:w="2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8,024,114</w:t>
            </w:r>
          </w:p>
        </w:tc>
        <w:tc>
          <w:tcPr>
            <w:tcW w:w="260" w:type="dxa"/>
            <w:vAlign w:val="bottom"/>
          </w:tcPr>
          <w:p>
            <w:pPr>
              <w:spacing w:after="0"/>
              <w:rPr>
                <w:sz w:val="12"/>
                <w:szCs w:val="12"/>
                <w:color w:val="auto"/>
              </w:rPr>
            </w:pPr>
          </w:p>
        </w:tc>
        <w:tc>
          <w:tcPr>
            <w:tcW w:w="5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10,780,368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Level 3 assets still held at the reporting date.</w:t>
            </w:r>
          </w:p>
        </w:tc>
        <w:tc>
          <w:tcPr>
            <w:tcW w:w="1260" w:type="dxa"/>
            <w:vAlign w:val="bottom"/>
            <w:gridSpan w:val="3"/>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53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3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5" w:name="page26"/>
    <w:bookmarkEnd w:id="2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40" w:type="dxa"/>
            <w:vAlign w:val="bottom"/>
            <w:gridSpan w:val="3"/>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9980" w:type="dxa"/>
            <w:vAlign w:val="bottom"/>
            <w:gridSpan w:val="7"/>
          </w:tcPr>
          <w:p>
            <w:pPr>
              <w:ind w:left="440"/>
              <w:spacing w:after="0"/>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measured at fair value using significant unobservable inputs (Level 3):</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Facilities</w:t>
            </w: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20" w:type="dxa"/>
            <w:vAlign w:val="bottom"/>
            <w:tcBorders>
              <w:bottom w:val="single" w:sz="8" w:color="auto"/>
            </w:tcBorders>
            <w:vMerge w:val="continue"/>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C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Beginning Balance (cost – $380,252,000 and $472,636,000, respectively) </w:t>
            </w:r>
            <w:r>
              <w:rPr>
                <w:rFonts w:ascii="Times New Roman" w:cs="Times New Roman" w:eastAsia="Times New Roman" w:hAnsi="Times New Roman"/>
                <w:sz w:val="12"/>
                <w:szCs w:val="12"/>
                <w:color w:val="auto"/>
              </w:rPr>
              <w:t>(1)</w:t>
            </w:r>
          </w:p>
        </w:tc>
        <w:tc>
          <w:tcPr>
            <w:tcW w:w="27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360,701,972</w:t>
            </w:r>
          </w:p>
        </w:tc>
        <w:tc>
          <w:tcPr>
            <w:tcW w:w="280" w:type="dxa"/>
            <w:vAlign w:val="bottom"/>
            <w:shd w:val="clear" w:color="auto" w:fill="CCECFF"/>
          </w:tcPr>
          <w:p>
            <w:pPr>
              <w:spacing w:after="0"/>
              <w:rPr>
                <w:sz w:val="13"/>
                <w:szCs w:val="13"/>
                <w:color w:val="auto"/>
              </w:rPr>
            </w:pPr>
          </w:p>
        </w:tc>
        <w:tc>
          <w:tcPr>
            <w:tcW w:w="420" w:type="dxa"/>
            <w:vAlign w:val="bottom"/>
            <w:shd w:val="clear" w:color="auto" w:fill="CCECFF"/>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465,390,214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 included in earnings</w:t>
            </w: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13,109,272</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2,571,321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2"/>
                <w:szCs w:val="12"/>
                <w:color w:val="auto"/>
              </w:rPr>
              <w:t>(1)</w:t>
            </w:r>
          </w:p>
        </w:tc>
        <w:tc>
          <w:tcPr>
            <w:tcW w:w="27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15,292,900</w:t>
            </w:r>
          </w:p>
        </w:tc>
        <w:tc>
          <w:tcPr>
            <w:tcW w:w="28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xml:space="preserve">Repayments </w:t>
            </w:r>
            <w:r>
              <w:rPr>
                <w:rFonts w:ascii="Times New Roman" w:cs="Times New Roman" w:eastAsia="Times New Roman" w:hAnsi="Times New Roman"/>
                <w:sz w:val="12"/>
                <w:szCs w:val="12"/>
                <w:color w:val="auto"/>
              </w:rPr>
              <w:t>(1)</w:t>
            </w: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(40,000,000)</w:t>
            </w:r>
          </w:p>
        </w:tc>
        <w:tc>
          <w:tcPr>
            <w:tcW w:w="42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(35,000,000)</w:t>
            </w:r>
          </w:p>
        </w:tc>
        <w:tc>
          <w:tcPr>
            <w:tcW w:w="0" w:type="dxa"/>
            <w:vAlign w:val="bottom"/>
          </w:tcPr>
          <w:p>
            <w:pPr>
              <w:spacing w:after="0"/>
              <w:rPr>
                <w:sz w:val="1"/>
                <w:szCs w:val="1"/>
                <w:color w:val="auto"/>
              </w:rPr>
            </w:pPr>
          </w:p>
        </w:tc>
      </w:tr>
      <w:tr>
        <w:trPr>
          <w:trHeight w:val="162"/>
        </w:trPr>
        <w:tc>
          <w:tcPr>
            <w:tcW w:w="48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27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xml:space="preserve">Ending Balance (cost – $355,544,900 and $519,136,000, respectively) </w:t>
            </w:r>
            <w:r>
              <w:rPr>
                <w:rFonts w:ascii="Times New Roman" w:cs="Times New Roman" w:eastAsia="Times New Roman" w:hAnsi="Times New Roman"/>
                <w:sz w:val="12"/>
                <w:szCs w:val="12"/>
                <w:color w:val="auto"/>
              </w:rPr>
              <w:t>(1)</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349,104,144</w:t>
            </w:r>
          </w:p>
        </w:tc>
        <w:tc>
          <w:tcPr>
            <w:tcW w:w="280" w:type="dxa"/>
            <w:vAlign w:val="bottom"/>
          </w:tcPr>
          <w:p>
            <w:pPr>
              <w:spacing w:after="0"/>
              <w:rPr>
                <w:sz w:val="13"/>
                <w:szCs w:val="13"/>
                <w:color w:val="auto"/>
              </w:rPr>
            </w:pPr>
          </w:p>
        </w:tc>
        <w:tc>
          <w:tcPr>
            <w:tcW w:w="420" w:type="dxa"/>
            <w:vAlign w:val="bottom"/>
            <w:tcBorders>
              <w:top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514,461,535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Temporary draws outstanding, at cost</w:t>
            </w:r>
          </w:p>
        </w:tc>
        <w:tc>
          <w:tcPr>
            <w:tcW w:w="27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Ending Balance (cost – $355,544,900 and $534,136,000, respectively)</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349,104,144</w:t>
            </w:r>
          </w:p>
        </w:tc>
        <w:tc>
          <w:tcPr>
            <w:tcW w:w="2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529,461,535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Excludes temporary draws.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345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47" w:lineRule="exact"/>
        <w:rPr>
          <w:sz w:val="20"/>
          <w:szCs w:val="20"/>
          <w:color w:val="auto"/>
        </w:rPr>
      </w:pPr>
    </w:p>
    <w:p>
      <w:pPr>
        <w:ind w:right="20" w:firstLine="438"/>
        <w:spacing w:after="0" w:line="260" w:lineRule="auto"/>
        <w:rPr>
          <w:sz w:val="20"/>
          <w:szCs w:val="20"/>
          <w:color w:val="auto"/>
        </w:rPr>
      </w:pPr>
      <w:r>
        <w:rPr>
          <w:rFonts w:ascii="Times New Roman" w:cs="Times New Roman" w:eastAsia="Times New Roman" w:hAnsi="Times New Roman"/>
          <w:sz w:val="14"/>
          <w:szCs w:val="14"/>
          <w:color w:val="auto"/>
        </w:rPr>
        <w:t>As of December 31, 2020, we had outstanding non-U.S. dollar borrowings on our Truist Credit Facility. Net change in fair value on foreign currency translation on outstanding borrowings is listed below:</w:t>
      </w: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00" w:type="dxa"/>
            <w:vAlign w:val="bottom"/>
          </w:tcPr>
          <w:p>
            <w:pPr>
              <w:spacing w:after="0"/>
              <w:rPr>
                <w:sz w:val="15"/>
                <w:szCs w:val="15"/>
                <w:color w:val="auto"/>
              </w:rPr>
            </w:pP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0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40,044,900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39,641,550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March 19, 2021</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(403,350)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07" w:lineRule="exact"/>
        <w:rPr>
          <w:sz w:val="20"/>
          <w:szCs w:val="20"/>
          <w:color w:val="auto"/>
        </w:rPr>
      </w:pPr>
    </w:p>
    <w:p>
      <w:pPr>
        <w:jc w:val="both"/>
        <w:ind w:firstLine="438"/>
        <w:spacing w:after="0" w:line="260" w:lineRule="auto"/>
        <w:rPr>
          <w:sz w:val="20"/>
          <w:szCs w:val="20"/>
          <w:color w:val="auto"/>
        </w:rPr>
      </w:pPr>
      <w:r>
        <w:rPr>
          <w:rFonts w:ascii="Times New Roman" w:cs="Times New Roman" w:eastAsia="Times New Roman" w:hAnsi="Times New Roman"/>
          <w:sz w:val="14"/>
          <w:szCs w:val="14"/>
          <w:color w:val="auto"/>
        </w:rPr>
        <w:t>As of September 30, 2020, we had outstanding non-U.S. dollar borrowings on the Truist Credit Facility. Net change in fair value on foreign currency translation on outstanding borrowings is listed below:</w:t>
      </w: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00" w:type="dxa"/>
            <w:vAlign w:val="bottom"/>
          </w:tcPr>
          <w:p>
            <w:pPr>
              <w:spacing w:after="0"/>
              <w:rPr>
                <w:sz w:val="15"/>
                <w:szCs w:val="15"/>
                <w:color w:val="auto"/>
              </w:rPr>
            </w:pP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0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38,752,000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36,198,400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December 18,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(2,553,600)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58"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during the three months ended December 31, 2020 and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did not elect to apply ASC 825-10 to any other financial assets or liabilities, including the 2024 Notes and the SBA debentures.</w:t>
      </w:r>
    </w:p>
    <w:p>
      <w:pPr>
        <w:spacing w:after="0" w:line="46" w:lineRule="exact"/>
        <w:rPr>
          <w:sz w:val="20"/>
          <w:szCs w:val="20"/>
          <w:color w:val="auto"/>
        </w:rPr>
      </w:pPr>
    </w:p>
    <w:p>
      <w:pPr>
        <w:ind w:right="40" w:firstLine="474"/>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2020, our Truist Credit Facility had a net change in unrealized appreciation of $13.1 million. For the three months ended December 31, 2019, our Credit Facilities had a net change in unrealized appreciation of $2.6 million. As of December 31, 2020 and September 30, 2020, the net unrealized depreciation on the Truist Credit Facility totaled $6.4 million and $19.6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219" w:lineRule="exact"/>
        <w:rPr>
          <w:sz w:val="20"/>
          <w:szCs w:val="20"/>
          <w:color w:val="auto"/>
        </w:rPr>
      </w:pPr>
    </w:p>
    <w:p>
      <w:pPr>
        <w:ind w:right="420" w:firstLine="438"/>
        <w:spacing w:after="0" w:line="24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2020 were as follows:</w:t>
      </w: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PIK</w:t>
            </w:r>
          </w:p>
        </w:tc>
        <w:tc>
          <w:tcPr>
            <w:tcW w:w="180" w:type="dxa"/>
            <w:vAlign w:val="bottom"/>
          </w:tcPr>
          <w:p>
            <w:pPr>
              <w:spacing w:after="0"/>
              <w:rPr>
                <w:sz w:val="13"/>
                <w:szCs w:val="13"/>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173"/>
        </w:trPr>
        <w:tc>
          <w:tcPr>
            <w:tcW w:w="1540" w:type="dxa"/>
            <w:vAlign w:val="bottom"/>
            <w:gridSpan w:val="2"/>
            <w:vMerge w:val="continue"/>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5"/>
                <w:szCs w:val="15"/>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Additions</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6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55"/>
        </w:trPr>
        <w:tc>
          <w:tcPr>
            <w:tcW w:w="14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Controlled Affiliates</w:t>
            </w:r>
          </w:p>
        </w:tc>
        <w:tc>
          <w:tcPr>
            <w:tcW w:w="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AKW Holdings Limited</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37,772,115</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1,315,725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3,994,985</w:t>
            </w:r>
          </w:p>
        </w:tc>
        <w:tc>
          <w:tcPr>
            <w:tcW w:w="12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43,082,825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785,802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540" w:type="dxa"/>
            <w:vAlign w:val="bottom"/>
            <w:gridSpan w:val="2"/>
            <w:shd w:val="clear" w:color="auto" w:fill="CCECFF"/>
          </w:tcPr>
          <w:p>
            <w:pPr>
              <w:spacing w:after="0" w:line="139" w:lineRule="exact"/>
              <w:rPr>
                <w:sz w:val="20"/>
                <w:szCs w:val="20"/>
                <w:color w:val="auto"/>
              </w:rPr>
            </w:pPr>
            <w:r>
              <w:rPr>
                <w:rFonts w:ascii="Times New Roman" w:cs="Times New Roman" w:eastAsia="Times New Roman" w:hAnsi="Times New Roman"/>
                <w:sz w:val="14"/>
                <w:szCs w:val="14"/>
                <w:color w:val="auto"/>
              </w:rPr>
              <w:t>PennantPark Senior</w:t>
            </w:r>
          </w:p>
        </w:tc>
        <w:tc>
          <w:tcPr>
            <w:tcW w:w="140" w:type="dxa"/>
            <w:vAlign w:val="bottom"/>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99,262,577</w:t>
            </w: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1,826,217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20" w:type="dxa"/>
            <w:vAlign w:val="bottom"/>
            <w:gridSpan w:val="2"/>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2,067,081</w:t>
            </w:r>
          </w:p>
        </w:tc>
        <w:tc>
          <w:tcPr>
            <w:tcW w:w="120" w:type="dxa"/>
            <w:vAlign w:val="bottom"/>
            <w:shd w:val="clear" w:color="auto" w:fill="CCECFF"/>
          </w:tcPr>
          <w:p>
            <w:pPr>
              <w:spacing w:after="0"/>
              <w:rPr>
                <w:sz w:val="12"/>
                <w:szCs w:val="12"/>
                <w:color w:val="auto"/>
              </w:rPr>
            </w:pPr>
          </w:p>
        </w:tc>
        <w:tc>
          <w:tcPr>
            <w:tcW w:w="200" w:type="dxa"/>
            <w:vAlign w:val="bottom"/>
            <w:gridSpan w:val="2"/>
            <w:vMerge w:val="restart"/>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103,155,875</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1,466,896</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1,521,000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gridSpan w:val="2"/>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Loan Fund, LLC *</w:t>
            </w:r>
          </w:p>
        </w:tc>
        <w:tc>
          <w:tcPr>
            <w:tcW w:w="140" w:type="dxa"/>
            <w:vAlign w:val="bottom"/>
            <w:shd w:val="clear" w:color="auto" w:fill="CCECFF"/>
          </w:tcPr>
          <w:p>
            <w:pPr>
              <w:spacing w:after="0"/>
              <w:rPr>
                <w:sz w:val="14"/>
                <w:szCs w:val="14"/>
                <w:color w:val="auto"/>
              </w:rPr>
            </w:pPr>
          </w:p>
        </w:tc>
        <w:tc>
          <w:tcPr>
            <w:tcW w:w="1060" w:type="dxa"/>
            <w:vAlign w:val="bottom"/>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20" w:type="dxa"/>
            <w:vAlign w:val="bottom"/>
            <w:gridSpan w:val="2"/>
            <w:vMerge w:val="continue"/>
            <w:shd w:val="clear" w:color="auto" w:fill="CCECFF"/>
          </w:tcPr>
          <w:p>
            <w:pPr>
              <w:spacing w:after="0"/>
              <w:rPr>
                <w:sz w:val="14"/>
                <w:szCs w:val="14"/>
                <w:color w:val="auto"/>
              </w:rPr>
            </w:pPr>
          </w:p>
        </w:tc>
        <w:tc>
          <w:tcPr>
            <w:tcW w:w="780" w:type="dxa"/>
            <w:vAlign w:val="bottom"/>
            <w:vMerge w:val="continue"/>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00" w:type="dxa"/>
            <w:vAlign w:val="bottom"/>
            <w:gridSpan w:val="2"/>
            <w:vMerge w:val="continue"/>
            <w:shd w:val="clear" w:color="auto" w:fill="CCECFF"/>
          </w:tcPr>
          <w:p>
            <w:pPr>
              <w:spacing w:after="0"/>
              <w:rPr>
                <w:sz w:val="14"/>
                <w:szCs w:val="14"/>
                <w:color w:val="auto"/>
              </w:rPr>
            </w:pPr>
          </w:p>
        </w:tc>
        <w:tc>
          <w:tcPr>
            <w:tcW w:w="104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6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PT Networks, LLC</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91,384,649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1,499,329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2,881,419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95,765,397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RAM Energy LLC</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89,923,518</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(16,787,927)</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73,135,591</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ind w:left="140"/>
              <w:spacing w:after="0" w:line="153" w:lineRule="exact"/>
              <w:rPr>
                <w:sz w:val="20"/>
                <w:szCs w:val="20"/>
                <w:color w:val="auto"/>
              </w:rPr>
            </w:pPr>
            <w:r>
              <w:rPr>
                <w:rFonts w:ascii="Times New Roman" w:cs="Times New Roman" w:eastAsia="Times New Roman" w:hAnsi="Times New Roman"/>
                <w:sz w:val="14"/>
                <w:szCs w:val="14"/>
                <w:color w:val="auto"/>
              </w:rPr>
              <w:t>Total Controlled</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40" w:type="dxa"/>
            <w:vAlign w:val="bottom"/>
            <w:gridSpan w:val="2"/>
            <w:vMerge w:val="continue"/>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318,342,859</w:t>
            </w:r>
          </w:p>
        </w:tc>
        <w:tc>
          <w:tcPr>
            <w:tcW w:w="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4,641,271</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(7,844,442)</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315,139,688</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2,276,776</w:t>
            </w:r>
          </w:p>
        </w:tc>
        <w:tc>
          <w:tcPr>
            <w:tcW w:w="16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1,485,523</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1,521,000</w:t>
            </w:r>
          </w:p>
        </w:tc>
        <w:tc>
          <w:tcPr>
            <w:tcW w:w="200" w:type="dxa"/>
            <w:vAlign w:val="bottom"/>
          </w:tcPr>
          <w:p>
            <w:pPr>
              <w:spacing w:after="0"/>
              <w:rPr>
                <w:sz w:val="11"/>
                <w:szCs w:val="11"/>
                <w:color w:val="auto"/>
              </w:rPr>
            </w:pPr>
          </w:p>
        </w:tc>
        <w:tc>
          <w:tcPr>
            <w:tcW w:w="120" w:type="dxa"/>
            <w:vAlign w:val="bottom"/>
            <w:vMerge w:val="restart"/>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Affiliates</w:t>
            </w: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40" w:type="dxa"/>
            <w:vAlign w:val="bottom"/>
            <w:tcBorders>
              <w:top w:val="single" w:sz="8" w:color="CCECFF"/>
            </w:tcBorders>
            <w:gridSpan w:val="2"/>
            <w:shd w:val="clear" w:color="auto" w:fill="CCECFF"/>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Non-Controlled</w:t>
            </w:r>
          </w:p>
        </w:tc>
        <w:tc>
          <w:tcPr>
            <w:tcW w:w="14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CCECFF"/>
            </w:tcBorders>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4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4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ETX Energy, LLC</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5,055,851</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(5,055,851)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Mailsouth Inc. </w:t>
            </w:r>
            <w:r>
              <w:rPr>
                <w:rFonts w:ascii="Times New Roman" w:cs="Times New Roman" w:eastAsia="Times New Roman" w:hAnsi="Times New Roman"/>
                <w:sz w:val="12"/>
                <w:szCs w:val="12"/>
                <w:color w:val="auto"/>
              </w:rPr>
              <w:t>(2)</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18,782,777</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10,230,271</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(19,708,359)</w:t>
            </w:r>
          </w:p>
        </w:tc>
        <w:tc>
          <w:tcPr>
            <w:tcW w:w="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17,441,424</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26,746,113</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76,727</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(19,708,359)</w:t>
            </w:r>
          </w:p>
        </w:tc>
        <w:tc>
          <w:tcPr>
            <w:tcW w:w="0" w:type="dxa"/>
            <w:vAlign w:val="bottom"/>
          </w:tcPr>
          <w:p>
            <w:pPr>
              <w:spacing w:after="0"/>
              <w:rPr>
                <w:sz w:val="1"/>
                <w:szCs w:val="1"/>
                <w:color w:val="auto"/>
              </w:rPr>
            </w:pPr>
          </w:p>
        </w:tc>
      </w:tr>
      <w:tr>
        <w:trPr>
          <w:trHeight w:val="139"/>
        </w:trPr>
        <w:tc>
          <w:tcPr>
            <w:tcW w:w="15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MidOcean JF Holdings</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22,698,042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12,558,478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35,256,520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tcBorders>
              <w:bottom w:val="single" w:sz="8" w:color="CCEC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Corp.</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CFF"/>
            </w:tcBorders>
            <w:vMerge w:val="continue"/>
          </w:tcPr>
          <w:p>
            <w:pPr>
              <w:spacing w:after="0"/>
              <w:rPr>
                <w:sz w:val="14"/>
                <w:szCs w:val="14"/>
                <w:color w:val="auto"/>
              </w:rPr>
            </w:pPr>
          </w:p>
        </w:tc>
        <w:tc>
          <w:tcPr>
            <w:tcW w:w="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C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C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C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40" w:type="dxa"/>
            <w:vAlign w:val="bottom"/>
            <w:gridSpan w:val="2"/>
            <w:shd w:val="clear" w:color="auto" w:fill="CCECFF"/>
          </w:tcPr>
          <w:p>
            <w:pPr>
              <w:ind w:left="140"/>
              <w:spacing w:after="0" w:line="133" w:lineRule="exact"/>
              <w:rPr>
                <w:sz w:val="20"/>
                <w:szCs w:val="20"/>
                <w:color w:val="auto"/>
              </w:rPr>
            </w:pPr>
            <w:r>
              <w:rPr>
                <w:rFonts w:ascii="Times New Roman" w:cs="Times New Roman" w:eastAsia="Times New Roman" w:hAnsi="Times New Roman"/>
                <w:sz w:val="14"/>
                <w:szCs w:val="14"/>
                <w:color w:val="auto"/>
              </w:rPr>
              <w:t>Total Non-Controlled</w:t>
            </w:r>
          </w:p>
        </w:tc>
        <w:tc>
          <w:tcPr>
            <w:tcW w:w="1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46,536,670</w:t>
            </w:r>
          </w:p>
        </w:tc>
        <w:tc>
          <w:tcPr>
            <w:tcW w:w="340" w:type="dxa"/>
            <w:vAlign w:val="bottom"/>
            <w:gridSpan w:val="2"/>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10,230,271</w:t>
            </w:r>
          </w:p>
        </w:tc>
        <w:tc>
          <w:tcPr>
            <w:tcW w:w="28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(19,708,359)</w:t>
            </w:r>
          </w:p>
        </w:tc>
        <w:tc>
          <w:tcPr>
            <w:tcW w:w="220" w:type="dxa"/>
            <w:vAlign w:val="bottom"/>
            <w:gridSpan w:val="2"/>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24,944,051</w:t>
            </w:r>
          </w:p>
        </w:tc>
        <w:tc>
          <w:tcPr>
            <w:tcW w:w="120" w:type="dxa"/>
            <w:vAlign w:val="bottom"/>
            <w:shd w:val="clear" w:color="auto" w:fill="CCECFF"/>
          </w:tcPr>
          <w:p>
            <w:pPr>
              <w:spacing w:after="0"/>
              <w:rPr>
                <w:sz w:val="11"/>
                <w:szCs w:val="11"/>
                <w:color w:val="auto"/>
              </w:rPr>
            </w:pPr>
          </w:p>
        </w:tc>
        <w:tc>
          <w:tcPr>
            <w:tcW w:w="200" w:type="dxa"/>
            <w:vAlign w:val="bottom"/>
            <w:gridSpan w:val="2"/>
            <w:vMerge w:val="restart"/>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62,002,633</w:t>
            </w:r>
          </w:p>
        </w:tc>
        <w:tc>
          <w:tcPr>
            <w:tcW w:w="28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76,727</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C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(19,708,359)</w:t>
            </w:r>
          </w:p>
        </w:tc>
        <w:tc>
          <w:tcPr>
            <w:tcW w:w="0" w:type="dxa"/>
            <w:vAlign w:val="bottom"/>
          </w:tcPr>
          <w:p>
            <w:pPr>
              <w:spacing w:after="0"/>
              <w:rPr>
                <w:sz w:val="1"/>
                <w:szCs w:val="1"/>
                <w:color w:val="auto"/>
              </w:rPr>
            </w:pPr>
          </w:p>
        </w:tc>
      </w:tr>
      <w:tr>
        <w:trPr>
          <w:trHeight w:val="171"/>
        </w:trPr>
        <w:tc>
          <w:tcPr>
            <w:tcW w:w="15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4"/>
                <w:szCs w:val="14"/>
                <w:color w:val="auto"/>
              </w:rPr>
              <w:t>Affiliates</w:t>
            </w:r>
          </w:p>
        </w:tc>
        <w:tc>
          <w:tcPr>
            <w:tcW w:w="140" w:type="dxa"/>
            <w:vAlign w:val="bottom"/>
            <w:vMerge w:val="continue"/>
            <w:shd w:val="clear" w:color="auto" w:fill="CCECFF"/>
          </w:tcPr>
          <w:p>
            <w:pPr>
              <w:spacing w:after="0"/>
              <w:rPr>
                <w:sz w:val="14"/>
                <w:szCs w:val="14"/>
                <w:color w:val="auto"/>
              </w:rPr>
            </w:pPr>
          </w:p>
        </w:tc>
        <w:tc>
          <w:tcPr>
            <w:tcW w:w="1060" w:type="dxa"/>
            <w:vAlign w:val="bottom"/>
            <w:vMerge w:val="continue"/>
            <w:shd w:val="clear" w:color="auto" w:fill="CCECFF"/>
          </w:tcPr>
          <w:p>
            <w:pPr>
              <w:spacing w:after="0"/>
              <w:rPr>
                <w:sz w:val="14"/>
                <w:szCs w:val="14"/>
                <w:color w:val="auto"/>
              </w:rPr>
            </w:pPr>
          </w:p>
        </w:tc>
        <w:tc>
          <w:tcPr>
            <w:tcW w:w="340" w:type="dxa"/>
            <w:vAlign w:val="bottom"/>
            <w:gridSpan w:val="2"/>
            <w:vMerge w:val="continue"/>
            <w:shd w:val="clear" w:color="auto" w:fill="CCECFF"/>
          </w:tcPr>
          <w:p>
            <w:pPr>
              <w:spacing w:after="0"/>
              <w:rPr>
                <w:sz w:val="14"/>
                <w:szCs w:val="14"/>
                <w:color w:val="auto"/>
              </w:rPr>
            </w:pPr>
          </w:p>
        </w:tc>
        <w:tc>
          <w:tcPr>
            <w:tcW w:w="740" w:type="dxa"/>
            <w:vAlign w:val="bottom"/>
            <w:vMerge w:val="continue"/>
            <w:shd w:val="clear" w:color="auto" w:fill="CCECFF"/>
          </w:tcPr>
          <w:p>
            <w:pPr>
              <w:spacing w:after="0"/>
              <w:rPr>
                <w:sz w:val="14"/>
                <w:szCs w:val="14"/>
                <w:color w:val="auto"/>
              </w:rPr>
            </w:pPr>
          </w:p>
        </w:tc>
        <w:tc>
          <w:tcPr>
            <w:tcW w:w="280" w:type="dxa"/>
            <w:vAlign w:val="bottom"/>
            <w:gridSpan w:val="2"/>
            <w:vMerge w:val="continue"/>
            <w:shd w:val="clear" w:color="auto" w:fill="CCECFF"/>
          </w:tcPr>
          <w:p>
            <w:pPr>
              <w:spacing w:after="0"/>
              <w:rPr>
                <w:sz w:val="14"/>
                <w:szCs w:val="14"/>
                <w:color w:val="auto"/>
              </w:rPr>
            </w:pPr>
          </w:p>
        </w:tc>
        <w:tc>
          <w:tcPr>
            <w:tcW w:w="960" w:type="dxa"/>
            <w:vAlign w:val="bottom"/>
            <w:gridSpan w:val="2"/>
            <w:vMerge w:val="continue"/>
            <w:shd w:val="clear" w:color="auto" w:fill="CCECFF"/>
          </w:tcPr>
          <w:p>
            <w:pPr>
              <w:spacing w:after="0"/>
              <w:rPr>
                <w:sz w:val="14"/>
                <w:szCs w:val="14"/>
                <w:color w:val="auto"/>
              </w:rPr>
            </w:pPr>
          </w:p>
        </w:tc>
        <w:tc>
          <w:tcPr>
            <w:tcW w:w="220" w:type="dxa"/>
            <w:vAlign w:val="bottom"/>
            <w:gridSpan w:val="2"/>
            <w:vMerge w:val="continue"/>
            <w:shd w:val="clear" w:color="auto" w:fill="CCECFF"/>
          </w:tcPr>
          <w:p>
            <w:pPr>
              <w:spacing w:after="0"/>
              <w:rPr>
                <w:sz w:val="14"/>
                <w:szCs w:val="14"/>
                <w:color w:val="auto"/>
              </w:rPr>
            </w:pPr>
          </w:p>
        </w:tc>
        <w:tc>
          <w:tcPr>
            <w:tcW w:w="780" w:type="dxa"/>
            <w:vAlign w:val="bottom"/>
            <w:vMerge w:val="continue"/>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00" w:type="dxa"/>
            <w:vAlign w:val="bottom"/>
            <w:gridSpan w:val="2"/>
            <w:vMerge w:val="continue"/>
            <w:shd w:val="clear" w:color="auto" w:fill="CCECFF"/>
          </w:tcPr>
          <w:p>
            <w:pPr>
              <w:spacing w:after="0"/>
              <w:rPr>
                <w:sz w:val="14"/>
                <w:szCs w:val="14"/>
                <w:color w:val="auto"/>
              </w:rPr>
            </w:pPr>
          </w:p>
        </w:tc>
        <w:tc>
          <w:tcPr>
            <w:tcW w:w="1040" w:type="dxa"/>
            <w:vAlign w:val="bottom"/>
            <w:vMerge w:val="continue"/>
            <w:shd w:val="clear" w:color="auto" w:fill="CCECFF"/>
          </w:tcPr>
          <w:p>
            <w:pPr>
              <w:spacing w:after="0"/>
              <w:rPr>
                <w:sz w:val="14"/>
                <w:szCs w:val="14"/>
                <w:color w:val="auto"/>
              </w:rPr>
            </w:pPr>
          </w:p>
        </w:tc>
        <w:tc>
          <w:tcPr>
            <w:tcW w:w="280" w:type="dxa"/>
            <w:vAlign w:val="bottom"/>
            <w:gridSpan w:val="2"/>
            <w:vMerge w:val="continue"/>
            <w:shd w:val="clear" w:color="auto" w:fill="CCECFF"/>
          </w:tcPr>
          <w:p>
            <w:pPr>
              <w:spacing w:after="0"/>
              <w:rPr>
                <w:sz w:val="14"/>
                <w:szCs w:val="14"/>
                <w:color w:val="auto"/>
              </w:rPr>
            </w:pPr>
          </w:p>
        </w:tc>
        <w:tc>
          <w:tcPr>
            <w:tcW w:w="780" w:type="dxa"/>
            <w:vAlign w:val="bottom"/>
            <w:gridSpan w:val="2"/>
            <w:vMerge w:val="continue"/>
            <w:shd w:val="clear" w:color="auto" w:fill="CCECFF"/>
          </w:tcPr>
          <w:p>
            <w:pPr>
              <w:spacing w:after="0"/>
              <w:rPr>
                <w:sz w:val="14"/>
                <w:szCs w:val="14"/>
                <w:color w:val="auto"/>
              </w:rPr>
            </w:pPr>
          </w:p>
        </w:tc>
        <w:tc>
          <w:tcPr>
            <w:tcW w:w="100" w:type="dxa"/>
            <w:vAlign w:val="bottom"/>
            <w:vMerge w:val="continue"/>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80" w:type="dxa"/>
            <w:vAlign w:val="bottom"/>
            <w:gridSpan w:val="2"/>
            <w:vMerge w:val="continue"/>
            <w:shd w:val="clear" w:color="auto" w:fill="CCECFF"/>
          </w:tcPr>
          <w:p>
            <w:pPr>
              <w:spacing w:after="0"/>
              <w:rPr>
                <w:sz w:val="14"/>
                <w:szCs w:val="14"/>
                <w:color w:val="auto"/>
              </w:rPr>
            </w:pPr>
          </w:p>
        </w:tc>
        <w:tc>
          <w:tcPr>
            <w:tcW w:w="800" w:type="dxa"/>
            <w:vAlign w:val="bottom"/>
            <w:gridSpan w:val="2"/>
            <w:vMerge w:val="continue"/>
            <w:shd w:val="clear" w:color="auto" w:fill="CCECFF"/>
          </w:tcPr>
          <w:p>
            <w:pPr>
              <w:spacing w:after="0"/>
              <w:rPr>
                <w:sz w:val="14"/>
                <w:szCs w:val="14"/>
                <w:color w:val="auto"/>
              </w:rPr>
            </w:pPr>
          </w:p>
        </w:tc>
        <w:tc>
          <w:tcPr>
            <w:tcW w:w="120" w:type="dxa"/>
            <w:vAlign w:val="bottom"/>
            <w:vMerge w:val="continue"/>
            <w:shd w:val="clear" w:color="auto" w:fill="CCECFF"/>
          </w:tcPr>
          <w:p>
            <w:pPr>
              <w:spacing w:after="0"/>
              <w:rPr>
                <w:sz w:val="14"/>
                <w:szCs w:val="14"/>
                <w:color w:val="auto"/>
              </w:rPr>
            </w:pPr>
          </w:p>
        </w:tc>
        <w:tc>
          <w:tcPr>
            <w:tcW w:w="86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Controlled and</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364,879,529</w:t>
            </w:r>
          </w:p>
        </w:tc>
        <w:tc>
          <w:tcPr>
            <w:tcW w:w="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14,871,542</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(19,708,359)</w:t>
            </w:r>
          </w:p>
        </w:tc>
        <w:tc>
          <w:tcPr>
            <w:tcW w:w="2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17,099,609</w:t>
            </w:r>
          </w:p>
        </w:tc>
        <w:tc>
          <w:tcPr>
            <w:tcW w:w="120" w:type="dxa"/>
            <w:vAlign w:val="bottom"/>
          </w:tcPr>
          <w:p>
            <w:pPr>
              <w:spacing w:after="0"/>
              <w:rPr>
                <w:sz w:val="12"/>
                <w:szCs w:val="12"/>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377,142,321</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2,276,776</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1,562,250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1,521,000</w:t>
            </w:r>
          </w:p>
        </w:tc>
        <w:tc>
          <w:tcPr>
            <w:tcW w:w="200" w:type="dxa"/>
            <w:vAlign w:val="bottom"/>
          </w:tcPr>
          <w:p>
            <w:pPr>
              <w:spacing w:after="0"/>
              <w:rPr>
                <w:sz w:val="12"/>
                <w:szCs w:val="12"/>
                <w:color w:val="auto"/>
              </w:rPr>
            </w:pPr>
          </w:p>
        </w:tc>
        <w:tc>
          <w:tcPr>
            <w:tcW w:w="120" w:type="dxa"/>
            <w:vAlign w:val="bottom"/>
            <w:vMerge w:val="restart"/>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(19,708,359)</w:t>
            </w:r>
          </w:p>
        </w:tc>
        <w:tc>
          <w:tcPr>
            <w:tcW w:w="0" w:type="dxa"/>
            <w:vAlign w:val="bottom"/>
          </w:tcPr>
          <w:p>
            <w:pPr>
              <w:spacing w:after="0"/>
              <w:rPr>
                <w:sz w:val="1"/>
                <w:szCs w:val="1"/>
                <w:color w:val="auto"/>
              </w:rPr>
            </w:pPr>
          </w:p>
        </w:tc>
      </w:tr>
      <w:tr>
        <w:trPr>
          <w:trHeight w:val="173"/>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Includes PIK.</w:t>
      </w:r>
    </w:p>
    <w:p>
      <w:pPr>
        <w:spacing w:after="0" w:line="7" w:lineRule="exact"/>
        <w:rPr>
          <w:rFonts w:ascii="Times New Roman" w:cs="Times New Roman" w:eastAsia="Times New Roman" w:hAnsi="Times New Roman"/>
          <w:sz w:val="9"/>
          <w:szCs w:val="9"/>
          <w:b w:val="1"/>
          <w:bCs w:val="1"/>
          <w:color w:val="auto"/>
        </w:rPr>
      </w:pPr>
    </w:p>
    <w:p>
      <w:pPr>
        <w:ind w:left="380" w:hanging="372"/>
        <w:spacing w:after="0" w:line="230" w:lineRule="auto"/>
        <w:tabs>
          <w:tab w:leader="none" w:pos="380" w:val="left"/>
        </w:tabs>
        <w:numPr>
          <w:ilvl w:val="0"/>
          <w:numId w:val="2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Mailsouth Inc. became a non-controlled affiliate during the quarter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3455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34" w:lineRule="auto"/>
        <w:tabs>
          <w:tab w:leader="none" w:pos="38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decisions regarding PSLF must be submitted to PSLF’s four-person Member Designees’ Committee, which is comprised of two members appointed by each of us and Pantheon. Because management of PSLF is shared equally between us and Pantheon, we do not believe we control PSLF for purposes of the 1940 Act or otherwise.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6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0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Numerator for net increase in net assets resulting from operations</w:t>
            </w:r>
          </w:p>
        </w:tc>
        <w:tc>
          <w:tcPr>
            <w:tcW w:w="15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71,133,751</w:t>
            </w:r>
          </w:p>
        </w:tc>
        <w:tc>
          <w:tcPr>
            <w:tcW w:w="30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19,202,510</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67,045,105</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00" w:type="dxa"/>
            <w:vAlign w:val="bottom"/>
          </w:tcPr>
          <w:p>
            <w:pPr>
              <w:spacing w:after="0"/>
              <w:rPr>
                <w:sz w:val="14"/>
                <w:szCs w:val="14"/>
                <w:color w:val="auto"/>
              </w:rPr>
            </w:pPr>
          </w:p>
        </w:tc>
      </w:tr>
      <w:tr>
        <w:trPr>
          <w:trHeight w:val="162"/>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Basic and diluted net increase in net assets per share resulting from operations</w:t>
            </w:r>
          </w:p>
        </w:tc>
        <w:tc>
          <w:tcPr>
            <w:tcW w:w="2500" w:type="dxa"/>
            <w:vAlign w:val="bottom"/>
            <w:gridSpan w:val="2"/>
            <w:shd w:val="clear" w:color="auto" w:fill="CCEC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60" w:type="dxa"/>
            <w:vAlign w:val="bottom"/>
            <w:gridSpan w:val="2"/>
            <w:shd w:val="clear" w:color="auto" w:fill="CCEC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shd w:val="clear" w:color="auto" w:fill="CCECFF"/>
          </w:tcPr>
          <w:p>
            <w:pPr>
              <w:spacing w:after="0"/>
              <w:rPr>
                <w:sz w:val="14"/>
                <w:szCs w:val="14"/>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219" w:lineRule="exact"/>
        <w:rPr>
          <w:sz w:val="20"/>
          <w:szCs w:val="20"/>
          <w:color w:val="auto"/>
        </w:rPr>
      </w:pPr>
    </w:p>
    <w:p>
      <w:pPr>
        <w:ind w:right="40" w:firstLine="438"/>
        <w:spacing w:after="0" w:line="228"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2020 and September 30, 2020, cash and cash equivalents consisted of money market funds in the amounts of $20.2 million and $25.8 million at fair value,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Below are the financial highlights: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900" w:type="dxa"/>
            <w:vAlign w:val="bottom"/>
          </w:tcPr>
          <w:p>
            <w:pPr>
              <w:spacing w:after="0"/>
              <w:rPr>
                <w:sz w:val="24"/>
                <w:szCs w:val="24"/>
                <w:color w:val="auto"/>
              </w:rPr>
            </w:pPr>
          </w:p>
        </w:tc>
        <w:tc>
          <w:tcPr>
            <w:tcW w:w="3420" w:type="dxa"/>
            <w:vAlign w:val="bottom"/>
            <w:gridSpan w:val="5"/>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0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1140" w:type="dxa"/>
            <w:vAlign w:val="bottom"/>
          </w:tcPr>
          <w:p>
            <w:pPr>
              <w:jc w:val="right"/>
              <w:ind w:right="10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320" w:type="dxa"/>
            <w:vAlign w:val="bottom"/>
          </w:tcPr>
          <w:p>
            <w:pPr>
              <w:spacing w:after="0"/>
              <w:rPr>
                <w:sz w:val="14"/>
                <w:szCs w:val="14"/>
                <w:color w:val="auto"/>
              </w:rPr>
            </w:pPr>
          </w:p>
        </w:tc>
        <w:tc>
          <w:tcPr>
            <w:tcW w:w="1180" w:type="dxa"/>
            <w:vAlign w:val="bottom"/>
            <w:gridSpan w:val="2"/>
          </w:tcPr>
          <w:p>
            <w:pPr>
              <w:jc w:val="right"/>
              <w:ind w:right="102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3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 xml:space="preserve">Net realized and change in unrealized gain </w:t>
            </w:r>
            <w:r>
              <w:rPr>
                <w:rFonts w:ascii="Times New Roman" w:cs="Times New Roman" w:eastAsia="Times New Roman" w:hAnsi="Times New Roman"/>
                <w:sz w:val="12"/>
                <w:szCs w:val="12"/>
                <w:color w:val="auto"/>
              </w:rPr>
              <w:t>(1)</w:t>
            </w: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32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0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Net increase in net assets resulting from operations </w:t>
            </w:r>
            <w:r>
              <w:rPr>
                <w:rFonts w:ascii="Times New Roman" w:cs="Times New Roman" w:eastAsia="Times New Roman" w:hAnsi="Times New Roman"/>
                <w:sz w:val="12"/>
                <w:szCs w:val="12"/>
                <w:color w:val="auto"/>
              </w:rPr>
              <w:t>(1)</w:t>
            </w:r>
          </w:p>
        </w:tc>
        <w:tc>
          <w:tcPr>
            <w:tcW w:w="114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1.06</w:t>
            </w:r>
          </w:p>
        </w:tc>
        <w:tc>
          <w:tcPr>
            <w:tcW w:w="3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0.29</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2"/>
                <w:szCs w:val="12"/>
                <w:color w:val="auto"/>
              </w:rPr>
              <w:t>(1), (2)</w:t>
            </w:r>
          </w:p>
        </w:tc>
        <w:tc>
          <w:tcPr>
            <w:tcW w:w="11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(0.12)</w:t>
            </w: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55"/>
        </w:trPr>
        <w:tc>
          <w:tcPr>
            <w:tcW w:w="69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Net asset value, end of period</w:t>
            </w:r>
          </w:p>
        </w:tc>
        <w:tc>
          <w:tcPr>
            <w:tcW w:w="1140" w:type="dxa"/>
            <w:vAlign w:val="bottom"/>
            <w:tcBorders>
              <w:top w:val="single" w:sz="8" w:color="auto"/>
              <w:bottom w:val="single" w:sz="8" w:color="auto"/>
            </w:tcBorders>
            <w:shd w:val="clear" w:color="auto" w:fill="CCECFF"/>
          </w:tcPr>
          <w:p>
            <w:pPr>
              <w:jc w:val="right"/>
              <w:ind w:right="10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8.78</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8.79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 share market value, end of period</w:t>
            </w: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CFF"/>
            </w:tcBorders>
            <w:vMerge w:val="continue"/>
          </w:tcPr>
          <w:p>
            <w:pPr>
              <w:spacing w:after="0"/>
              <w:rPr>
                <w:sz w:val="15"/>
                <w:szCs w:val="15"/>
                <w:color w:val="auto"/>
              </w:rPr>
            </w:pPr>
          </w:p>
        </w:tc>
        <w:tc>
          <w:tcPr>
            <w:tcW w:w="1140" w:type="dxa"/>
            <w:vAlign w:val="bottom"/>
            <w:tcBorders>
              <w:top w:val="single" w:sz="8" w:color="auto"/>
              <w:bottom w:val="single" w:sz="8" w:color="auto"/>
            </w:tcBorders>
          </w:tcPr>
          <w:p>
            <w:pPr>
              <w:jc w:val="right"/>
              <w:ind w:right="10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4.61</w:t>
            </w:r>
          </w:p>
        </w:tc>
        <w:tc>
          <w:tcPr>
            <w:tcW w:w="320" w:type="dxa"/>
            <w:vAlign w:val="bottom"/>
            <w:tcBorders>
              <w:bottom w:val="single" w:sz="8" w:color="CCECFF"/>
            </w:tcBorders>
          </w:tcPr>
          <w:p>
            <w:pPr>
              <w:spacing w:after="0"/>
              <w:rPr>
                <w:sz w:val="15"/>
                <w:szCs w:val="15"/>
                <w:color w:val="auto"/>
              </w:rPr>
            </w:pPr>
          </w:p>
        </w:tc>
        <w:tc>
          <w:tcPr>
            <w:tcW w:w="40" w:type="dxa"/>
            <w:vAlign w:val="bottom"/>
            <w:tcBorders>
              <w:bottom w:val="single" w:sz="8" w:color="CCEC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6.53</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90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2"/>
                <w:szCs w:val="12"/>
                <w:color w:val="auto"/>
              </w:rPr>
              <w:t>(3)</w:t>
            </w:r>
          </w:p>
        </w:tc>
        <w:tc>
          <w:tcPr>
            <w:tcW w:w="114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48.38%</w:t>
            </w:r>
          </w:p>
        </w:tc>
        <w:tc>
          <w:tcPr>
            <w:tcW w:w="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202"/>
        </w:trPr>
        <w:tc>
          <w:tcPr>
            <w:tcW w:w="69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32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90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Ratios**/ Supplemental Data:</w:t>
            </w:r>
          </w:p>
        </w:tc>
        <w:tc>
          <w:tcPr>
            <w:tcW w:w="1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2"/>
                <w:szCs w:val="12"/>
                <w:color w:val="auto"/>
              </w:rPr>
              <w:t>(4)</w:t>
            </w:r>
          </w:p>
        </w:tc>
        <w:tc>
          <w:tcPr>
            <w:tcW w:w="11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3.97%</w:t>
            </w:r>
            <w:r>
              <w:rPr>
                <w:rFonts w:ascii="Times New Roman" w:cs="Times New Roman" w:eastAsia="Times New Roman" w:hAnsi="Times New Roman"/>
                <w:sz w:val="12"/>
                <w:szCs w:val="12"/>
                <w:color w:val="auto"/>
              </w:rPr>
              <w:t>(8)</w:t>
            </w: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Ratio of interest and expenses on debt to average net assets </w:t>
            </w:r>
            <w:r>
              <w:rPr>
                <w:rFonts w:ascii="Times New Roman" w:cs="Times New Roman" w:eastAsia="Times New Roman" w:hAnsi="Times New Roman"/>
                <w:sz w:val="12"/>
                <w:szCs w:val="12"/>
                <w:color w:val="auto"/>
              </w:rPr>
              <w:t>(5)</w:t>
            </w:r>
          </w:p>
        </w:tc>
        <w:tc>
          <w:tcPr>
            <w:tcW w:w="11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2"/>
                <w:szCs w:val="12"/>
                <w:color w:val="auto"/>
              </w:rPr>
              <w:t>(5)</w:t>
            </w: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0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7.64%</w:t>
            </w:r>
            <w:r>
              <w:rPr>
                <w:rFonts w:ascii="Times New Roman" w:cs="Times New Roman" w:eastAsia="Times New Roman" w:hAnsi="Times New Roman"/>
                <w:sz w:val="12"/>
                <w:szCs w:val="12"/>
                <w:color w:val="auto"/>
              </w:rPr>
              <w:t>(8)</w:t>
            </w: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2"/>
                <w:szCs w:val="12"/>
                <w:color w:val="auto"/>
              </w:rPr>
              <w:t>(5)</w:t>
            </w:r>
          </w:p>
        </w:tc>
        <w:tc>
          <w:tcPr>
            <w:tcW w:w="11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6.10%</w:t>
            </w:r>
          </w:p>
        </w:tc>
        <w:tc>
          <w:tcPr>
            <w:tcW w:w="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140" w:type="dxa"/>
            <w:vAlign w:val="bottom"/>
          </w:tcPr>
          <w:p>
            <w:pPr>
              <w:jc w:val="right"/>
              <w:ind w:right="10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588,797,190</w:t>
            </w:r>
          </w:p>
        </w:tc>
        <w:tc>
          <w:tcPr>
            <w:tcW w:w="320" w:type="dxa"/>
            <w:vAlign w:val="bottom"/>
          </w:tcPr>
          <w:p>
            <w:pPr>
              <w:spacing w:after="0"/>
              <w:rPr>
                <w:sz w:val="14"/>
                <w:szCs w:val="14"/>
                <w:color w:val="auto"/>
              </w:rPr>
            </w:pPr>
          </w:p>
        </w:tc>
        <w:tc>
          <w:tcPr>
            <w:tcW w:w="1180" w:type="dxa"/>
            <w:vAlign w:val="bottom"/>
            <w:gridSpan w:val="2"/>
          </w:tcPr>
          <w:p>
            <w:pPr>
              <w:jc w:val="right"/>
              <w:ind w:right="102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589,040,059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0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Weighted average debt outstanding </w:t>
            </w:r>
            <w:r>
              <w:rPr>
                <w:rFonts w:ascii="Times New Roman" w:cs="Times New Roman" w:eastAsia="Times New Roman" w:hAnsi="Times New Roman"/>
                <w:sz w:val="12"/>
                <w:szCs w:val="12"/>
                <w:color w:val="auto"/>
              </w:rPr>
              <w:t>(6)</w:t>
            </w:r>
          </w:p>
        </w:tc>
        <w:tc>
          <w:tcPr>
            <w:tcW w:w="1140" w:type="dxa"/>
            <w:vAlign w:val="bottom"/>
            <w:tcBorders>
              <w:top w:val="single" w:sz="8" w:color="auto"/>
              <w:bottom w:val="single" w:sz="8" w:color="auto"/>
            </w:tcBorders>
            <w:shd w:val="clear" w:color="auto" w:fill="CCECFF"/>
          </w:tcPr>
          <w:p>
            <w:pPr>
              <w:jc w:val="right"/>
              <w:ind w:right="10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584,745,097</w:t>
            </w:r>
          </w:p>
        </w:tc>
        <w:tc>
          <w:tcPr>
            <w:tcW w:w="32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706,751,095</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2"/>
                <w:szCs w:val="12"/>
                <w:color w:val="auto"/>
              </w:rPr>
              <w:t>(1), (6)</w:t>
            </w:r>
          </w:p>
        </w:tc>
        <w:tc>
          <w:tcPr>
            <w:tcW w:w="1140" w:type="dxa"/>
            <w:vAlign w:val="bottom"/>
          </w:tcPr>
          <w:p>
            <w:pPr>
              <w:jc w:val="right"/>
              <w:ind w:right="10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8.72</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2"/>
                <w:szCs w:val="12"/>
                <w:color w:val="auto"/>
              </w:rPr>
              <w:t>(7)</w:t>
            </w:r>
          </w:p>
        </w:tc>
        <w:tc>
          <w:tcPr>
            <w:tcW w:w="1140" w:type="dxa"/>
            <w:vAlign w:val="bottom"/>
            <w:shd w:val="clear" w:color="auto" w:fill="CCECFF"/>
          </w:tcPr>
          <w:p>
            <w:pPr>
              <w:jc w:val="right"/>
              <w:ind w:right="10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3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02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Portfolio turnover ratio</w:t>
            </w:r>
          </w:p>
        </w:tc>
        <w:tc>
          <w:tcPr>
            <w:tcW w:w="11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25.25%</w:t>
            </w: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Not annualized for periods less than one year.</w:t>
      </w:r>
    </w:p>
    <w:p>
      <w:pPr>
        <w:spacing w:after="0" w:line="7" w:lineRule="exact"/>
        <w:rPr>
          <w:rFonts w:ascii="Times New Roman" w:cs="Times New Roman" w:eastAsia="Times New Roman" w:hAnsi="Times New Roman"/>
          <w:sz w:val="11"/>
          <w:szCs w:val="11"/>
          <w:b w:val="1"/>
          <w:bCs w:val="1"/>
          <w:color w:val="auto"/>
        </w:rPr>
      </w:pPr>
    </w:p>
    <w:p>
      <w:pPr>
        <w:spacing w:after="0" w:line="230"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3455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31" w:lineRule="auto"/>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230" w:lineRule="auto"/>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230" w:lineRule="auto"/>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230" w:lineRule="auto"/>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Excludes debt related costs.</w:t>
      </w:r>
    </w:p>
    <w:p>
      <w:pPr>
        <w:ind w:left="380" w:hanging="372"/>
        <w:spacing w:after="0" w:line="230" w:lineRule="auto"/>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Includes interest and expenses on debt (annualized) as well as Credit Facility amendment and debt issuance costs, if any, (not annualized).</w:t>
      </w:r>
    </w:p>
    <w:p>
      <w:pPr>
        <w:ind w:left="380" w:hanging="372"/>
        <w:spacing w:after="0" w:line="230" w:lineRule="auto"/>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Includes SBA debentures outstanding.</w:t>
      </w:r>
    </w:p>
    <w:p>
      <w:pPr>
        <w:ind w:left="380" w:right="240" w:hanging="372"/>
        <w:spacing w:after="0" w:line="230" w:lineRule="auto"/>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80" w:hanging="372"/>
        <w:spacing w:after="0"/>
        <w:tabs>
          <w:tab w:leader="none" w:pos="380" w:val="left"/>
        </w:tabs>
        <w:numPr>
          <w:ilvl w:val="0"/>
          <w:numId w:val="2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For the three months ended December 31, 2020, the ratio of operating and total expenses before the performance-based incentive fee waiver to average net assets was 3.97% and 7.64%,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219"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The annualized weighted average cost of debt for the three months ended December 31, 2020 and 2019, inclusive of the fee on the undrawn commitment under the Truist Credit Facility and amortized upfront fees on SBA debentures and 2024 Notes, was 3.4% and 5.0%, respectively. As of December 31, 2020,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0"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2020 and September 30, 2020, our asset coverage ratio, as computed in accordance with the 1940 Act, was 232% and 208%,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BNP Credit Facility</w:t>
      </w:r>
    </w:p>
    <w:p>
      <w:pPr>
        <w:spacing w:after="0" w:line="221"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On February 22, 2019, Funding I closed the BNP Credit Facility for up to $250.0 million (increased to $275.0 million as of November 6, 2020)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The BNP Credit Facility is secured by all of the assets of Funding I. Prior to deconsolidation on July 31, 2020, we owned 100% of the equity interest in Funding I and treated the indebtedness of Funding I as our leverage. Our Investment Adviser serves as the servicer to Funding I in connection with the BNP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Truist Credit Facility</w:t>
      </w:r>
    </w:p>
    <w:p>
      <w:pPr>
        <w:spacing w:after="0" w:line="221" w:lineRule="exact"/>
        <w:rPr>
          <w:sz w:val="20"/>
          <w:szCs w:val="20"/>
          <w:color w:val="auto"/>
        </w:rPr>
      </w:pPr>
    </w:p>
    <w:p>
      <w:pPr>
        <w:ind w:right="20" w:firstLine="438"/>
        <w:spacing w:after="0" w:line="228" w:lineRule="auto"/>
        <w:rPr>
          <w:sz w:val="20"/>
          <w:szCs w:val="20"/>
          <w:color w:val="auto"/>
        </w:rPr>
      </w:pPr>
      <w:r>
        <w:rPr>
          <w:rFonts w:ascii="Times New Roman" w:cs="Times New Roman" w:eastAsia="Times New Roman" w:hAnsi="Times New Roman"/>
          <w:sz w:val="14"/>
          <w:szCs w:val="14"/>
          <w:color w:val="auto"/>
        </w:rPr>
        <w:t>As of December 31, 2020, we had a multi-currency Truist Credit Facility for up to $475.0 million in borrowings with certain lenders and Truist Bank (formerly SunTrust Bank), acting as administrative agent, and JPMorgan Chase Bank, N.A., acting as syndication agent for the lenders. As of December 31, 2020 and September 30, 2020, we had $355.5 million and $388.3 million, respectively, in outstanding borrowings under the Truist Credit Facility. The Truist Credit Facility had a weighted average interest rate of 2.4% and 2.5%, respectively, exclusive of the fee on undrawn commitments, as of December 31, 2020 and September 30, 2020. The Truist Credit Facility is a revolving facility with a stated maturity date of September 4, 2024 ($40.0 million of the $475 million commitment will mature May 25, 2022), a one-year term-out period on September 4, 2023 ($40.0 million of the $475 million commitment has a one year term-out period on May 25, 2021) and pricing set at 225 basis points over LIBOR (or an alternative risk-free interest rate index). As of December 31, 2020 and September 30, 2020, we had $119.5 million and $86.7 million of unused borrowing capacity under the Truist Credit Facility, respectively, subject to leverage and borrowing base restrictions. The Truist Credit Facility is secured by substantially all of our assets, excluding assets held by SBIC II. As of December 31, 2020, we were in compliance with the terms of the Truist Credit Facility.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Debentures</w:t>
      </w:r>
    </w:p>
    <w:p>
      <w:pPr>
        <w:spacing w:after="0" w:line="221"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$118.5 million as of both December 31, 2020 and September 30, 2020.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1"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As of both December 31, 2020 and September 30, 2020, SBIC II had $150.0 million in debt commitments all of which were drawn. During the three months ended December 31, 2020 and 2019, zero and $16.5 million in SBA debentures were repaid, respectively. As of December 31, 2020 and September 30, 2020, the unamortized fees on the SBA debentures were $2.6 million and $2.7 million, respectively. The SBA debentures’ upfront fees of 3.4% consist of a commitment fee of 1.0% and an issuance discount of 2.4%, which are being amortized.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3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Our fixed-rate SBA debentures were as follows:</w:t>
            </w: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40" w:type="dxa"/>
            <w:vAlign w:val="bottom"/>
          </w:tcPr>
          <w:p>
            <w:pPr>
              <w:spacing w:after="0"/>
              <w:rPr>
                <w:sz w:val="24"/>
                <w:szCs w:val="24"/>
                <w:color w:val="auto"/>
              </w:rPr>
            </w:pPr>
          </w:p>
        </w:tc>
        <w:tc>
          <w:tcPr>
            <w:tcW w:w="3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vMerge w:val="restart"/>
          </w:tcPr>
          <w:p>
            <w:pPr>
              <w:spacing w:after="0"/>
              <w:rPr>
                <w:sz w:val="24"/>
                <w:szCs w:val="24"/>
                <w:color w:val="auto"/>
              </w:rPr>
            </w:pPr>
          </w:p>
        </w:tc>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4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0" w:type="dxa"/>
            <w:vAlign w:val="bottom"/>
          </w:tcPr>
          <w:p>
            <w:pPr>
              <w:spacing w:after="0"/>
              <w:rPr>
                <w:sz w:val="1"/>
                <w:szCs w:val="1"/>
                <w:color w:val="auto"/>
              </w:rPr>
            </w:pPr>
          </w:p>
        </w:tc>
      </w:tr>
      <w:tr>
        <w:trPr>
          <w:trHeight w:val="173"/>
        </w:trPr>
        <w:tc>
          <w:tcPr>
            <w:tcW w:w="2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CFF"/>
            </w:tcBorders>
            <w:vMerge w:val="continue"/>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8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40" w:type="dxa"/>
            <w:vAlign w:val="bottom"/>
            <w:shd w:val="clear" w:color="auto" w:fill="CCECFF"/>
          </w:tcPr>
          <w:p>
            <w:pPr>
              <w:spacing w:after="0"/>
              <w:rPr>
                <w:sz w:val="13"/>
                <w:szCs w:val="13"/>
                <w:color w:val="auto"/>
              </w:rPr>
            </w:pPr>
          </w:p>
        </w:tc>
        <w:tc>
          <w:tcPr>
            <w:tcW w:w="244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September 1, 2026</w:t>
            </w:r>
          </w:p>
        </w:tc>
        <w:tc>
          <w:tcPr>
            <w:tcW w:w="202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91"/>
              </w:rPr>
              <w:t>2.4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620" w:type="dxa"/>
            <w:vAlign w:val="bottom"/>
            <w:gridSpan w:val="3"/>
            <w:shd w:val="clear" w:color="auto" w:fill="CCECFF"/>
          </w:tcPr>
          <w:p>
            <w:pPr>
              <w:ind w:left="220"/>
              <w:spacing w:after="0"/>
              <w:rPr>
                <w:sz w:val="20"/>
                <w:szCs w:val="20"/>
                <w:color w:val="auto"/>
              </w:rPr>
            </w:pPr>
            <w:r>
              <w:rPr>
                <w:rFonts w:ascii="Times New Roman" w:cs="Times New Roman" w:eastAsia="Times New Roman" w:hAnsi="Times New Roman"/>
                <w:sz w:val="14"/>
                <w:szCs w:val="14"/>
                <w:color w:val="auto"/>
              </w:rPr>
              <w:t>September 1, 2027</w:t>
            </w:r>
          </w:p>
        </w:tc>
        <w:tc>
          <w:tcPr>
            <w:tcW w:w="202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4"/>
                <w:szCs w:val="14"/>
                <w:color w:val="auto"/>
                <w:w w:val="91"/>
              </w:rPr>
              <w:t>2.9</w:t>
            </w:r>
          </w:p>
        </w:tc>
        <w:tc>
          <w:tcPr>
            <w:tcW w:w="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620" w:type="dxa"/>
            <w:vAlign w:val="bottom"/>
            <w:tcBorders>
              <w:bottom w:val="single" w:sz="8" w:color="CCECFF"/>
            </w:tcBorders>
            <w:gridSpan w:val="3"/>
          </w:tcPr>
          <w:p>
            <w:pPr>
              <w:ind w:left="220"/>
              <w:spacing w:after="0"/>
              <w:rPr>
                <w:sz w:val="20"/>
                <w:szCs w:val="20"/>
                <w:color w:val="auto"/>
              </w:rPr>
            </w:pPr>
            <w:r>
              <w:rPr>
                <w:rFonts w:ascii="Times New Roman" w:cs="Times New Roman" w:eastAsia="Times New Roman" w:hAnsi="Times New Roman"/>
                <w:sz w:val="14"/>
                <w:szCs w:val="14"/>
                <w:color w:val="auto"/>
              </w:rPr>
              <w:t>March 1, 2028</w:t>
            </w:r>
          </w:p>
        </w:tc>
        <w:tc>
          <w:tcPr>
            <w:tcW w:w="20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w w:val="91"/>
              </w:rPr>
              <w:t>3.5</w:t>
            </w:r>
          </w:p>
        </w:tc>
        <w:tc>
          <w:tcPr>
            <w:tcW w:w="4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4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CFF"/>
            </w:tcBorders>
          </w:tcPr>
          <w:p>
            <w:pPr>
              <w:spacing w:after="0" w:line="20" w:lineRule="exact"/>
              <w:rPr>
                <w:sz w:val="1"/>
                <w:szCs w:val="1"/>
                <w:color w:val="auto"/>
              </w:rPr>
            </w:pPr>
          </w:p>
        </w:tc>
        <w:tc>
          <w:tcPr>
            <w:tcW w:w="1880" w:type="dxa"/>
            <w:vAlign w:val="bottom"/>
            <w:tcBorders>
              <w:top w:val="single" w:sz="8" w:color="CCECFF"/>
            </w:tcBorders>
          </w:tcPr>
          <w:p>
            <w:pPr>
              <w:spacing w:after="0" w:line="20" w:lineRule="exact"/>
              <w:rPr>
                <w:sz w:val="1"/>
                <w:szCs w:val="1"/>
                <w:color w:val="auto"/>
              </w:rPr>
            </w:pPr>
          </w:p>
        </w:tc>
        <w:tc>
          <w:tcPr>
            <w:tcW w:w="14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40" w:type="dxa"/>
            <w:vAlign w:val="bottom"/>
          </w:tcPr>
          <w:p>
            <w:pPr>
              <w:spacing w:after="0"/>
              <w:rPr>
                <w:sz w:val="24"/>
                <w:szCs w:val="24"/>
                <w:color w:val="auto"/>
              </w:rPr>
            </w:pPr>
          </w:p>
        </w:tc>
        <w:tc>
          <w:tcPr>
            <w:tcW w:w="3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vMerge w:val="restart"/>
          </w:tcPr>
          <w:p>
            <w:pPr>
              <w:spacing w:after="0"/>
              <w:rPr>
                <w:sz w:val="24"/>
                <w:szCs w:val="24"/>
                <w:color w:val="auto"/>
              </w:rPr>
            </w:pPr>
          </w:p>
        </w:tc>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4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73"/>
        </w:trPr>
        <w:tc>
          <w:tcPr>
            <w:tcW w:w="2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CFF"/>
            </w:tcBorders>
            <w:vMerge w:val="continue"/>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8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40" w:type="dxa"/>
            <w:vAlign w:val="bottom"/>
            <w:shd w:val="clear" w:color="auto" w:fill="CCECFF"/>
          </w:tcPr>
          <w:p>
            <w:pPr>
              <w:spacing w:after="0"/>
              <w:rPr>
                <w:sz w:val="13"/>
                <w:szCs w:val="13"/>
                <w:color w:val="auto"/>
              </w:rPr>
            </w:pPr>
          </w:p>
        </w:tc>
        <w:tc>
          <w:tcPr>
            <w:tcW w:w="244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September 1, 2026</w:t>
            </w:r>
          </w:p>
        </w:tc>
        <w:tc>
          <w:tcPr>
            <w:tcW w:w="202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91"/>
              </w:rPr>
              <w:t>2.4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620" w:type="dxa"/>
            <w:vAlign w:val="bottom"/>
            <w:gridSpan w:val="3"/>
            <w:shd w:val="clear" w:color="auto" w:fill="CCECFF"/>
          </w:tcPr>
          <w:p>
            <w:pPr>
              <w:ind w:left="220"/>
              <w:spacing w:after="0"/>
              <w:rPr>
                <w:sz w:val="20"/>
                <w:szCs w:val="20"/>
                <w:color w:val="auto"/>
              </w:rPr>
            </w:pPr>
            <w:r>
              <w:rPr>
                <w:rFonts w:ascii="Times New Roman" w:cs="Times New Roman" w:eastAsia="Times New Roman" w:hAnsi="Times New Roman"/>
                <w:sz w:val="14"/>
                <w:szCs w:val="14"/>
                <w:color w:val="auto"/>
              </w:rPr>
              <w:t>September 1, 2027</w:t>
            </w:r>
          </w:p>
        </w:tc>
        <w:tc>
          <w:tcPr>
            <w:tcW w:w="202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4"/>
                <w:szCs w:val="14"/>
                <w:color w:val="auto"/>
                <w:w w:val="91"/>
              </w:rPr>
              <w:t>2.9</w:t>
            </w:r>
          </w:p>
        </w:tc>
        <w:tc>
          <w:tcPr>
            <w:tcW w:w="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March 1, 2028</w:t>
            </w:r>
          </w:p>
        </w:tc>
        <w:tc>
          <w:tcPr>
            <w:tcW w:w="20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w w:val="91"/>
              </w:rPr>
              <w:t>3.5</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2"/>
          </w:tcPr>
          <w:p>
            <w:pPr>
              <w:ind w:left="184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(1)</w:t>
            </w:r>
          </w:p>
        </w:tc>
        <w:tc>
          <w:tcPr>
            <w:tcW w:w="1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Excluding 3.4% of upfront fees</w:t>
            </w:r>
            <w:r>
              <w:rPr>
                <w:rFonts w:ascii="Times New Roman" w:cs="Times New Roman" w:eastAsia="Times New Roman" w:hAnsi="Times New Roman"/>
                <w:sz w:val="14"/>
                <w:szCs w:val="14"/>
                <w:color w:val="auto"/>
              </w:rPr>
              <w:t>.</w:t>
            </w:r>
          </w:p>
        </w:tc>
        <w:tc>
          <w:tcPr>
            <w:tcW w:w="1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40" w:firstLine="438"/>
        <w:spacing w:after="0" w:line="233"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December 31, 2020, SBIC II was in compliance with its regulatory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127"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As of both December 31, 2020 and September 30, 2020, we had $86.3 million in aggregate principal amount of 2024 Notes outstanding. Interest on the 2024 Notes is paid quarterly on January 15, April 15, July 15 and October 15, at a rate of 5.50%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Facilities. The 2024 Notes may be repurchased from time to time in open market purchases and privately-negotiated transactions.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ind w:left="32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ind w:left="320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ind w:left="49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38" w:lineRule="exact"/>
        <w:rPr>
          <w:sz w:val="20"/>
          <w:szCs w:val="20"/>
          <w:color w:val="auto"/>
        </w:rPr>
      </w:pPr>
    </w:p>
    <w:p>
      <w:pPr>
        <w:ind w:right="160" w:firstLine="438"/>
        <w:spacing w:after="0" w:line="233" w:lineRule="auto"/>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2020 and September 30, 2020, we had $44.8 million and $37.4 million, respectively, in commitments to fund investments. For the same periods, there were no letters of credit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UNCONSOLIDATED SIGNIFICANT SUBSIDIARIES</w:t>
      </w:r>
    </w:p>
    <w:p>
      <w:pPr>
        <w:spacing w:after="0" w:line="125" w:lineRule="exact"/>
        <w:rPr>
          <w:sz w:val="20"/>
          <w:szCs w:val="20"/>
          <w:color w:val="auto"/>
        </w:rPr>
      </w:pPr>
    </w:p>
    <w:p>
      <w:pPr>
        <w:ind w:right="100" w:firstLine="438"/>
        <w:spacing w:after="0" w:line="233" w:lineRule="auto"/>
        <w:rPr>
          <w:sz w:val="20"/>
          <w:szCs w:val="20"/>
          <w:color w:val="auto"/>
        </w:rPr>
      </w:pPr>
      <w:r>
        <w:rPr>
          <w:rFonts w:ascii="Times New Roman" w:cs="Times New Roman" w:eastAsia="Times New Roman" w:hAnsi="Times New Roman"/>
          <w:sz w:val="14"/>
          <w:szCs w:val="14"/>
          <w:color w:val="auto"/>
        </w:rPr>
        <w:t>We must determine which, if any, of our unconsolidated controlled portfolio companies is a "significant subsidiary" within the meaning of Regulation S-X. We have determined that, as of September 30, 2020, PennantPark Senior Loan Fund, LLC, PT Networks, LLC and RAM Energy Holdings LLC triggered at least one of the significance tests. As a result and in accordance with Rule 10-01(b) of Regulation S-X under the Securities Act, presented below is summarized unaudited financial information for PT Networks, LLC and RAM Energy Holdings LLC for the three months ended December 31, 2020 and 2019. Similarly, while PennantPark Senior Loan Fund, LLC did not trigger the requirement to present summarized financial information in accordance with Rule 10-01(b) of Regulation S-X, the Statement of Assets and Liabilities as well as the Statement of Operations for PennantPark Senior Loan Fund, LLC has been included in Note 4.</w:t>
      </w:r>
    </w:p>
    <w:p>
      <w:pPr>
        <w:spacing w:after="0" w:line="189" w:lineRule="exact"/>
        <w:rPr>
          <w:sz w:val="20"/>
          <w:szCs w:val="20"/>
          <w:color w:val="auto"/>
        </w:rPr>
      </w:pPr>
    </w:p>
    <w:p>
      <w:pPr>
        <w:ind w:left="800" w:hanging="360"/>
        <w:spacing w:after="0"/>
        <w:tabs>
          <w:tab w:leader="none" w:pos="80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PT Networks, LLC:</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Income Statement </w:t>
            </w:r>
            <w:r>
              <w:rPr>
                <w:rFonts w:ascii="Times New Roman" w:cs="Times New Roman" w:eastAsia="Times New Roman" w:hAnsi="Times New Roman"/>
                <w:sz w:val="12"/>
                <w:szCs w:val="12"/>
                <w:b w:val="1"/>
                <w:bCs w:val="1"/>
                <w:color w:val="auto"/>
              </w:rPr>
              <w:t>(1)</w:t>
            </w:r>
          </w:p>
        </w:tc>
        <w:tc>
          <w:tcPr>
            <w:tcW w:w="5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jc w:val="right"/>
              <w:ind w:right="10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jc w:val="right"/>
              <w:ind w:right="10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Borders>
              <w:top w:val="single" w:sz="8" w:color="CCECFF"/>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59,230</w:t>
            </w:r>
          </w:p>
        </w:tc>
        <w:tc>
          <w:tcPr>
            <w:tcW w:w="38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56,887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560" w:type="dxa"/>
            <w:vAlign w:val="bottom"/>
          </w:tcPr>
          <w:p>
            <w:pPr>
              <w:spacing w:after="0"/>
              <w:rPr>
                <w:sz w:val="14"/>
                <w:szCs w:val="14"/>
                <w:color w:val="auto"/>
              </w:rPr>
            </w:pP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(63,880)</w:t>
            </w:r>
          </w:p>
        </w:tc>
        <w:tc>
          <w:tcPr>
            <w:tcW w:w="100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(50,386)</w:t>
            </w:r>
          </w:p>
        </w:tc>
        <w:tc>
          <w:tcPr>
            <w:tcW w:w="0" w:type="dxa"/>
            <w:vAlign w:val="bottom"/>
          </w:tcPr>
          <w:p>
            <w:pPr>
              <w:spacing w:after="0"/>
              <w:rPr>
                <w:sz w:val="1"/>
                <w:szCs w:val="1"/>
                <w:color w:val="auto"/>
              </w:rPr>
            </w:pPr>
          </w:p>
        </w:tc>
      </w:tr>
      <w:tr>
        <w:trPr>
          <w:trHeight w:val="162"/>
        </w:trPr>
        <w:tc>
          <w:tcPr>
            <w:tcW w:w="5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560" w:type="dxa"/>
            <w:vAlign w:val="bottom"/>
            <w:shd w:val="clear" w:color="auto" w:fill="CCEC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2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4"/>
                <w:szCs w:val="14"/>
                <w:color w:val="auto"/>
              </w:rPr>
              <w:t>(4,650)</w:t>
            </w:r>
          </w:p>
        </w:tc>
        <w:tc>
          <w:tcPr>
            <w:tcW w:w="1000" w:type="dxa"/>
            <w:vAlign w:val="bottom"/>
            <w:shd w:val="clear" w:color="auto" w:fill="CCEC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800" w:hanging="360"/>
        <w:spacing w:after="0"/>
        <w:tabs>
          <w:tab w:leader="none" w:pos="80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RAM Energy Holdings LLC:</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Income Statement </w:t>
            </w:r>
            <w:r>
              <w:rPr>
                <w:rFonts w:ascii="Times New Roman" w:cs="Times New Roman" w:eastAsia="Times New Roman" w:hAnsi="Times New Roman"/>
                <w:sz w:val="12"/>
                <w:szCs w:val="12"/>
                <w:b w:val="1"/>
                <w:bCs w:val="1"/>
                <w:color w:val="auto"/>
              </w:rPr>
              <w:t>(1)</w:t>
            </w:r>
          </w:p>
        </w:tc>
        <w:tc>
          <w:tcPr>
            <w:tcW w:w="5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jc w:val="right"/>
              <w:ind w:right="10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jc w:val="right"/>
              <w:ind w:right="10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Borders>
              <w:top w:val="single" w:sz="8" w:color="CCECFF"/>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5,969</w:t>
            </w:r>
          </w:p>
        </w:tc>
        <w:tc>
          <w:tcPr>
            <w:tcW w:w="38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6,929</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560" w:type="dxa"/>
            <w:vAlign w:val="bottom"/>
          </w:tcPr>
          <w:p>
            <w:pPr>
              <w:spacing w:after="0"/>
              <w:rPr>
                <w:sz w:val="14"/>
                <w:szCs w:val="14"/>
                <w:color w:val="auto"/>
              </w:rPr>
            </w:pP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(7,340)</w:t>
            </w:r>
          </w:p>
        </w:tc>
        <w:tc>
          <w:tcPr>
            <w:tcW w:w="100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(10,455)</w:t>
            </w:r>
          </w:p>
        </w:tc>
        <w:tc>
          <w:tcPr>
            <w:tcW w:w="0" w:type="dxa"/>
            <w:vAlign w:val="bottom"/>
          </w:tcPr>
          <w:p>
            <w:pPr>
              <w:spacing w:after="0"/>
              <w:rPr>
                <w:sz w:val="1"/>
                <w:szCs w:val="1"/>
                <w:color w:val="auto"/>
              </w:rPr>
            </w:pPr>
          </w:p>
        </w:tc>
      </w:tr>
      <w:tr>
        <w:trPr>
          <w:trHeight w:val="162"/>
        </w:trPr>
        <w:tc>
          <w:tcPr>
            <w:tcW w:w="5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shd w:val="clear" w:color="auto" w:fill="CCEC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2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4"/>
                <w:szCs w:val="14"/>
                <w:color w:val="auto"/>
              </w:rPr>
              <w:t>(1,371)</w:t>
            </w:r>
          </w:p>
        </w:tc>
        <w:tc>
          <w:tcPr>
            <w:tcW w:w="1000" w:type="dxa"/>
            <w:vAlign w:val="bottom"/>
            <w:shd w:val="clear" w:color="auto" w:fill="CCEC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(3,526)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All amounts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345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397" w:lineRule="exact"/>
        <w:rPr>
          <w:sz w:val="20"/>
          <w:szCs w:val="20"/>
          <w:color w:val="auto"/>
        </w:rPr>
      </w:pPr>
    </w:p>
    <w:p>
      <w:pPr>
        <w:ind w:right="5220"/>
        <w:spacing w:after="0" w:line="483" w:lineRule="auto"/>
        <w:rPr>
          <w:sz w:val="20"/>
          <w:szCs w:val="20"/>
          <w:color w:val="auto"/>
        </w:rPr>
      </w:pPr>
      <w:r>
        <w:rPr>
          <w:rFonts w:ascii="Times New Roman" w:cs="Times New Roman" w:eastAsia="Times New Roman" w:hAnsi="Times New Roman"/>
          <w:sz w:val="14"/>
          <w:szCs w:val="14"/>
          <w:color w:val="auto"/>
        </w:rPr>
        <w:t xml:space="preserve">To the Stockholders and Board of Directors of PennantPark Investment Corporation and its Subsidiaries </w:t>
      </w:r>
      <w:r>
        <w:rPr>
          <w:rFonts w:ascii="Times New Roman" w:cs="Times New Roman" w:eastAsia="Times New Roman" w:hAnsi="Times New Roman"/>
          <w:sz w:val="14"/>
          <w:szCs w:val="14"/>
          <w:b w:val="1"/>
          <w:bCs w:val="1"/>
          <w:color w:val="auto"/>
        </w:rPr>
        <w:t>Results of Review of Interim Financial Statements</w:t>
      </w:r>
    </w:p>
    <w:p>
      <w:pPr>
        <w:spacing w:after="0" w:line="27" w:lineRule="exact"/>
        <w:rPr>
          <w:sz w:val="20"/>
          <w:szCs w:val="20"/>
          <w:color w:val="auto"/>
        </w:rPr>
      </w:pPr>
    </w:p>
    <w:p>
      <w:pPr>
        <w:ind w:right="80" w:firstLine="365"/>
        <w:spacing w:after="0" w:line="233"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December 31, 2020, and the related consolidated statements of operations, changes in net assets, and cash flows for the three-month periods ended December 31, 2020 and 2019, and the related notes to the consolidated financial statements (collectively, the interim financial information or financial statements). Based on our reviews, we are not aware of any material modifications that should be made to the accompanying interim financial information referred to above for them to be in conformity with accounting principles generally accepted in the United States of America.</w:t>
      </w:r>
    </w:p>
    <w:p>
      <w:pPr>
        <w:spacing w:after="0" w:line="110" w:lineRule="exact"/>
        <w:rPr>
          <w:sz w:val="20"/>
          <w:szCs w:val="20"/>
          <w:color w:val="auto"/>
        </w:rPr>
      </w:pPr>
    </w:p>
    <w:p>
      <w:pPr>
        <w:ind w:right="80" w:firstLine="365"/>
        <w:spacing w:after="0" w:line="233"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2020, and the related consolidated statements of operations, changes in net assets, and cash flows for the year then ended (not presented herein), and in our report dated November 19, 2020, we expressed an unqualified opinion on those consolidated financial statements. In our opinion, the information set forth in the accompanying consolidated statement of assets and liabilities as of September 30, 2020, is fairly stated, in all material respects, in relation to the consolidated statement of assets and liabilities from which it has been derived.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219" w:lineRule="exact"/>
        <w:rPr>
          <w:sz w:val="20"/>
          <w:szCs w:val="20"/>
          <w:color w:val="auto"/>
        </w:rPr>
      </w:pPr>
    </w:p>
    <w:p>
      <w:pPr>
        <w:ind w:firstLine="365"/>
        <w:spacing w:after="0" w:line="233"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26" w:lineRule="auto"/>
        <w:rPr>
          <w:sz w:val="20"/>
          <w:szCs w:val="20"/>
          <w:color w:val="auto"/>
        </w:rPr>
      </w:pPr>
      <w:r>
        <w:rPr>
          <w:rFonts w:ascii="Times New Roman" w:cs="Times New Roman" w:eastAsia="Times New Roman" w:hAnsi="Times New Roman"/>
          <w:sz w:val="14"/>
          <w:szCs w:val="14"/>
          <w:color w:val="auto"/>
        </w:rPr>
        <w:t>New York, New York</w:t>
      </w:r>
    </w:p>
    <w:p>
      <w:pPr>
        <w:spacing w:after="0"/>
        <w:rPr>
          <w:sz w:val="20"/>
          <w:szCs w:val="20"/>
          <w:color w:val="auto"/>
        </w:rPr>
      </w:pPr>
      <w:r>
        <w:rPr>
          <w:rFonts w:ascii="Times New Roman" w:cs="Times New Roman" w:eastAsia="Times New Roman" w:hAnsi="Times New Roman"/>
          <w:sz w:val="14"/>
          <w:szCs w:val="14"/>
          <w:color w:val="auto"/>
        </w:rPr>
        <w:t>February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60" w:right="359" w:bottom="1440" w:gutter="0" w:footer="0" w:header="0"/>
        </w:sectPr>
      </w:pPr>
    </w:p>
    <w:bookmarkStart w:id="30" w:name="page31"/>
    <w:bookmarkEnd w:id="30"/>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19"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09" w:lineRule="exact"/>
        <w:rPr>
          <w:sz w:val="20"/>
          <w:szCs w:val="20"/>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w:t>
      </w:r>
    </w:p>
    <w:p>
      <w:pPr>
        <w:spacing w:after="0" w:line="284" w:lineRule="exact"/>
        <w:rPr>
          <w:rFonts w:ascii="Times New Roman" w:cs="Times New Roman" w:eastAsia="Times New Roman" w:hAnsi="Times New Roman"/>
          <w:sz w:val="14"/>
          <w:szCs w:val="14"/>
          <w:color w:val="auto"/>
        </w:rPr>
      </w:pPr>
    </w:p>
    <w:p>
      <w:pPr>
        <w:ind w:left="920" w:right="340" w:hanging="372"/>
        <w:spacing w:after="0" w:line="261" w:lineRule="auto"/>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7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manage our business due to the significant disruptions caused by the current COVID-19 pandemic;</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203"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United Kingdom’s withdrawal from the European Union (commonly known as “Brexit”) and other world economic and political issues.</w:t>
      </w:r>
    </w:p>
    <w:p>
      <w:pPr>
        <w:spacing w:after="0" w:line="285" w:lineRule="exact"/>
        <w:rPr>
          <w:sz w:val="20"/>
          <w:szCs w:val="20"/>
          <w:color w:val="auto"/>
        </w:rPr>
      </w:pPr>
    </w:p>
    <w:p>
      <w:pPr>
        <w:jc w:val="both"/>
        <w:ind w:right="120" w:firstLine="438"/>
        <w:spacing w:after="0" w:line="24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90" w:lineRule="exact"/>
        <w:rPr>
          <w:sz w:val="20"/>
          <w:szCs w:val="20"/>
          <w:color w:val="auto"/>
        </w:rPr>
      </w:pPr>
    </w:p>
    <w:p>
      <w:pPr>
        <w:jc w:val="both"/>
        <w:ind w:right="400" w:firstLine="438"/>
        <w:spacing w:after="0" w:line="236"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90"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90" w:lineRule="exact"/>
        <w:rPr>
          <w:sz w:val="20"/>
          <w:szCs w:val="20"/>
          <w:color w:val="auto"/>
        </w:rPr>
      </w:pPr>
    </w:p>
    <w:p>
      <w:pPr>
        <w:ind w:right="280" w:firstLine="438"/>
        <w:spacing w:after="0" w:line="261"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76" w:lineRule="exact"/>
        <w:rPr>
          <w:sz w:val="20"/>
          <w:szCs w:val="20"/>
          <w:color w:val="auto"/>
        </w:rPr>
      </w:pPr>
    </w:p>
    <w:p>
      <w:pPr>
        <w:ind w:right="320" w:firstLine="438"/>
        <w:spacing w:after="0" w:line="261"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221" w:lineRule="exact"/>
        <w:rPr>
          <w:sz w:val="20"/>
          <w:szCs w:val="20"/>
          <w:color w:val="auto"/>
        </w:rPr>
      </w:pPr>
    </w:p>
    <w:p>
      <w:pPr>
        <w:ind w:right="580"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76" w:lineRule="exact"/>
        <w:rPr>
          <w:sz w:val="20"/>
          <w:szCs w:val="20"/>
          <w:color w:val="auto"/>
        </w:rPr>
      </w:pPr>
    </w:p>
    <w:p>
      <w:pPr>
        <w:ind w:right="260" w:firstLine="438"/>
        <w:spacing w:after="0" w:line="231" w:lineRule="auto"/>
        <w:rPr>
          <w:sz w:val="20"/>
          <w:szCs w:val="20"/>
          <w:color w:val="auto"/>
        </w:rPr>
      </w:pPr>
      <w:r>
        <w:rPr>
          <w:rFonts w:ascii="Times New Roman" w:cs="Times New Roman" w:eastAsia="Times New Roman" w:hAnsi="Times New Roman"/>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ind w:right="100"/>
        <w:spacing w:after="0" w:line="241" w:lineRule="auto"/>
        <w:rPr>
          <w:sz w:val="20"/>
          <w:szCs w:val="20"/>
          <w:color w:val="auto"/>
        </w:rPr>
      </w:pPr>
      <w:r>
        <w:rPr>
          <w:rFonts w:ascii="Times New Roman" w:cs="Times New Roman" w:eastAsia="Times New Roman" w:hAnsi="Times New Roman"/>
          <w:sz w:val="14"/>
          <w:szCs w:val="14"/>
          <w:color w:val="auto"/>
        </w:rPr>
        <w:t>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9"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221"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2"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0" w:lineRule="exact"/>
        <w:rPr>
          <w:sz w:val="20"/>
          <w:szCs w:val="20"/>
          <w:color w:val="auto"/>
        </w:rPr>
      </w:pPr>
    </w:p>
    <w:p>
      <w:pPr>
        <w:ind w:right="40" w:firstLine="438"/>
        <w:spacing w:after="0" w:line="229"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Developments</w:t>
      </w:r>
    </w:p>
    <w:p>
      <w:pPr>
        <w:spacing w:after="0" w:line="221" w:lineRule="exact"/>
        <w:rPr>
          <w:sz w:val="20"/>
          <w:szCs w:val="20"/>
          <w:color w:val="auto"/>
        </w:rPr>
      </w:pPr>
    </w:p>
    <w:p>
      <w:pPr>
        <w:ind w:firstLine="451"/>
        <w:spacing w:after="0" w:line="228" w:lineRule="auto"/>
        <w:rPr>
          <w:sz w:val="20"/>
          <w:szCs w:val="20"/>
          <w:color w:val="auto"/>
        </w:rPr>
      </w:pPr>
      <w:r>
        <w:rPr>
          <w:rFonts w:ascii="Times New Roman" w:cs="Times New Roman" w:eastAsia="Times New Roman" w:hAnsi="Times New Roman"/>
          <w:sz w:val="14"/>
          <w:szCs w:val="14"/>
          <w:color w:val="auto"/>
        </w:rPr>
        <w:t>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for a period of time, as defined by each governmental authority imposing the respective orders. The economic impact resulting from such restrictions has adversely affected the business operations of some, if not all, of our portfolio companies, as well as our own operations and the operations of our Adviser. While some jurisdictions have either lifted or started to ease certain restrictions on businesses, a resurgence of COVID-19, including the emergence of a more contagious strain of COVID-19, has resulted in additional closures. We cannot predict with any level of certainty the magnitude of the ongoing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94" w:lineRule="exact"/>
        <w:rPr>
          <w:sz w:val="20"/>
          <w:szCs w:val="20"/>
          <w:color w:val="auto"/>
        </w:rPr>
      </w:pPr>
    </w:p>
    <w:p>
      <w:pPr>
        <w:ind w:right="120" w:firstLine="451"/>
        <w:spacing w:after="0" w:line="236" w:lineRule="auto"/>
        <w:rPr>
          <w:sz w:val="20"/>
          <w:szCs w:val="20"/>
          <w:color w:val="auto"/>
        </w:rPr>
      </w:pPr>
      <w:r>
        <w:rPr>
          <w:rFonts w:ascii="Times New Roman" w:cs="Times New Roman" w:eastAsia="Times New Roman" w:hAnsi="Times New Roman"/>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These developments will likely continue to impact the value of our investments in such portfolio companies.</w:t>
      </w:r>
    </w:p>
    <w:p>
      <w:pPr>
        <w:spacing w:after="0" w:line="190" w:lineRule="exact"/>
        <w:rPr>
          <w:sz w:val="20"/>
          <w:szCs w:val="20"/>
          <w:color w:val="auto"/>
        </w:rPr>
      </w:pPr>
    </w:p>
    <w:p>
      <w:pPr>
        <w:ind w:right="20" w:firstLine="451"/>
        <w:spacing w:after="0" w:line="236" w:lineRule="auto"/>
        <w:rPr>
          <w:sz w:val="20"/>
          <w:szCs w:val="20"/>
          <w:color w:val="auto"/>
        </w:rPr>
      </w:pPr>
      <w:r>
        <w:rPr>
          <w:rFonts w:ascii="Times New Roman" w:cs="Times New Roman" w:eastAsia="Times New Roman" w:hAnsi="Times New Roman"/>
          <w:sz w:val="14"/>
          <w:szCs w:val="14"/>
          <w:color w:val="auto"/>
        </w:rPr>
        <w:t>The COVID-19 pandemic will likely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are likely to affect market, economic and geopolitical conditions, and thereby may adversely affect our business, including:</w:t>
      </w:r>
    </w:p>
    <w:p>
      <w:pPr>
        <w:spacing w:after="0" w:line="69" w:lineRule="exact"/>
        <w:rPr>
          <w:sz w:val="20"/>
          <w:szCs w:val="20"/>
          <w:color w:val="auto"/>
        </w:rPr>
      </w:pPr>
    </w:p>
    <w:p>
      <w:pPr>
        <w:ind w:left="740" w:hanging="368"/>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economic slowdowns;</w:t>
      </w:r>
    </w:p>
    <w:p>
      <w:pPr>
        <w:spacing w:after="0" w:line="5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including LIBOR;</w:t>
      </w:r>
    </w:p>
    <w:p>
      <w:pPr>
        <w:spacing w:after="0" w:line="5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credit, both in the United States and internationally;</w:t>
      </w:r>
    </w:p>
    <w:p>
      <w:pPr>
        <w:spacing w:after="0" w:line="5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supply-chains and price volatility;</w:t>
      </w:r>
    </w:p>
    <w:p>
      <w:pPr>
        <w:spacing w:after="0" w:line="5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laws and regulations, or the imposition of new laws and regulations; and</w:t>
      </w:r>
    </w:p>
    <w:p>
      <w:pPr>
        <w:spacing w:after="0" w:line="5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future governmental and regulatory policies.</w:t>
      </w:r>
    </w:p>
    <w:p>
      <w:pPr>
        <w:spacing w:after="0" w:line="285" w:lineRule="exact"/>
        <w:rPr>
          <w:sz w:val="20"/>
          <w:szCs w:val="20"/>
          <w:color w:val="auto"/>
        </w:rPr>
      </w:pPr>
    </w:p>
    <w:p>
      <w:pPr>
        <w:ind w:right="60" w:firstLine="451"/>
        <w:spacing w:after="0" w:line="231" w:lineRule="auto"/>
        <w:rPr>
          <w:sz w:val="20"/>
          <w:szCs w:val="20"/>
          <w:color w:val="auto"/>
        </w:rPr>
      </w:pPr>
      <w:r>
        <w:rPr>
          <w:rFonts w:ascii="Times New Roman" w:cs="Times New Roman" w:eastAsia="Times New Roman" w:hAnsi="Times New Roman"/>
          <w:sz w:val="14"/>
          <w:szCs w:val="14"/>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the same quarter of the prior year. The continuing impact of the COVID-19 pandemic may result in additional portfolio investments being placed on non-accrual status in the future.</w:t>
      </w:r>
    </w:p>
    <w:p>
      <w:pPr>
        <w:spacing w:after="0" w:line="191" w:lineRule="exact"/>
        <w:rPr>
          <w:sz w:val="20"/>
          <w:szCs w:val="20"/>
          <w:color w:val="auto"/>
        </w:rPr>
      </w:pPr>
    </w:p>
    <w:p>
      <w:pPr>
        <w:ind w:right="200" w:firstLine="456"/>
        <w:spacing w:after="0" w:line="233" w:lineRule="auto"/>
        <w:rPr>
          <w:sz w:val="20"/>
          <w:szCs w:val="20"/>
          <w:color w:val="auto"/>
        </w:rPr>
      </w:pPr>
      <w:r>
        <w:rPr>
          <w:rFonts w:ascii="Times New Roman" w:cs="Times New Roman" w:eastAsia="Times New Roman" w:hAnsi="Times New Roman"/>
          <w:sz w:val="14"/>
          <w:szCs w:val="14"/>
          <w:color w:val="auto"/>
        </w:rPr>
        <w:t>Additionally, as of December 31, 2020 and September 30, 2020, our asset coverage ratio, as computed in accordance with the 1940 Act, was 232% and 208%, respectively. The Truist Credit Facility includes standard covenants and events of default provisions. If we fail to make payments required under such facilities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91" w:lineRule="exact"/>
        <w:rPr>
          <w:sz w:val="20"/>
          <w:szCs w:val="20"/>
          <w:color w:val="auto"/>
        </w:rPr>
      </w:pPr>
    </w:p>
    <w:p>
      <w:pPr>
        <w:ind w:firstLine="456"/>
        <w:spacing w:after="0" w:line="229" w:lineRule="auto"/>
        <w:rPr>
          <w:sz w:val="20"/>
          <w:szCs w:val="20"/>
          <w:color w:val="auto"/>
        </w:rPr>
      </w:pPr>
      <w:r>
        <w:rPr>
          <w:rFonts w:ascii="Times New Roman" w:cs="Times New Roman" w:eastAsia="Times New Roman" w:hAnsi="Times New Roman"/>
          <w:sz w:val="14"/>
          <w:szCs w:val="14"/>
          <w:color w:val="auto"/>
        </w:rPr>
        <w:t>We are also subject to financial risks, including changes in market interest rates. As of December 31, 2020, our debt portfolio consisted of 92%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 has floating rate interest provisions, with pricing set at 225 basis points over LIBOR (or an alternative risk-free interest rate index).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ind w:right="140" w:firstLine="456"/>
        <w:spacing w:after="0" w:line="236" w:lineRule="auto"/>
        <w:rPr>
          <w:sz w:val="20"/>
          <w:szCs w:val="20"/>
          <w:color w:val="auto"/>
        </w:rPr>
      </w:pPr>
      <w:r>
        <w:rPr>
          <w:rFonts w:ascii="Times New Roman" w:cs="Times New Roman" w:eastAsia="Times New Roman" w:hAnsi="Times New Roman"/>
          <w:sz w:val="14"/>
          <w:szCs w:val="14"/>
          <w:color w:val="auto"/>
        </w:rPr>
        <w:t>In addition, we activated our business continuity planning strategy. Our priority has been to safeguard the health of our employees and to ensure continuity of business operations on behalf of our investors. As a result of the execution of our business continuity planning strategy, nearly all of our employees are working remotely.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221"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221"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90" w:lineRule="exact"/>
        <w:rPr>
          <w:sz w:val="20"/>
          <w:szCs w:val="20"/>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36" w:lineRule="exact"/>
        <w:rPr>
          <w:rFonts w:ascii="Times New Roman" w:cs="Times New Roman" w:eastAsia="Times New Roman" w:hAnsi="Times New Roman"/>
          <w:sz w:val="14"/>
          <w:szCs w:val="14"/>
          <w:color w:val="auto"/>
        </w:rPr>
      </w:pPr>
    </w:p>
    <w:p>
      <w:pPr>
        <w:ind w:left="920" w:right="100" w:hanging="372"/>
        <w:spacing w:after="0" w:line="261" w:lineRule="auto"/>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95"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3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the 1958 Act and applicable federal and state securities laws; and</w:t>
      </w:r>
    </w:p>
    <w:p>
      <w:pPr>
        <w:spacing w:after="0" w:line="136" w:lineRule="exact"/>
        <w:rPr>
          <w:rFonts w:ascii="Times New Roman" w:cs="Times New Roman" w:eastAsia="Times New Roman" w:hAnsi="Times New Roman"/>
          <w:sz w:val="14"/>
          <w:szCs w:val="14"/>
          <w:color w:val="auto"/>
        </w:rPr>
      </w:pPr>
    </w:p>
    <w:p>
      <w:pPr>
        <w:jc w:val="both"/>
        <w:ind w:left="920" w:right="80" w:hanging="372"/>
        <w:spacing w:after="0" w:line="241" w:lineRule="auto"/>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90" w:lineRule="exact"/>
        <w:rPr>
          <w:sz w:val="20"/>
          <w:szCs w:val="20"/>
          <w:color w:val="auto"/>
        </w:rPr>
      </w:pPr>
    </w:p>
    <w:p>
      <w:pPr>
        <w:ind w:right="220" w:firstLine="438"/>
        <w:spacing w:after="0" w:line="261"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219" w:lineRule="exact"/>
        <w:rPr>
          <w:sz w:val="20"/>
          <w:szCs w:val="20"/>
          <w:color w:val="auto"/>
        </w:rPr>
      </w:pPr>
    </w:p>
    <w:p>
      <w:pPr>
        <w:ind w:right="140" w:firstLine="438"/>
        <w:spacing w:after="0" w:line="231" w:lineRule="auto"/>
        <w:rPr>
          <w:sz w:val="20"/>
          <w:szCs w:val="20"/>
          <w:color w:val="auto"/>
        </w:rPr>
      </w:pPr>
      <w:r>
        <w:rPr>
          <w:rFonts w:ascii="Times New Roman" w:cs="Times New Roman" w:eastAsia="Times New Roman" w:hAnsi="Times New Roman"/>
          <w:sz w:val="14"/>
          <w:szCs w:val="14"/>
          <w:color w:val="auto"/>
        </w:rPr>
        <w:t>As of December 31, 2020, our portfolio totaled $1,127.1 million, which consisted of $425.2 million of first lien secured debt, $195.4 million of second lien secured debt, $116.8 million of subordinated debt (including $64.2 million in PSLF) and $389.7 million of preferred and common equity (including $39.0 million in PSLF). Our debt portfolio consisted of 92% variable-rate investments and 8% fixed-rate investments. As of December 31, 2020, we had no portfolio companies on non-accrual. Overall, the portfolio had net unrealized appreciation of $9.7 million as of December 31, 2020. Our overall portfolio consisted of 81 companies with an average investment size of $13.9 million, had a weighted average yield on interest bearing debt investments of 9.3% and was invested 38% in first lien secured debt, 17% in second lien secured debt, 10% in subordinated debt (including 6% in PSLF) and 35% in preferred and common equity (including 3% in PSLF). As of December 31, 2020, all of the investments held by PSLF were first lien secured debt.</w:t>
      </w:r>
    </w:p>
    <w:p>
      <w:pPr>
        <w:spacing w:after="0" w:line="110"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As of September 30, 2020, our portfolio totaled $1,081.8 million, which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and 7% fixed-rate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303" w:lineRule="exact"/>
        <w:rPr>
          <w:sz w:val="20"/>
          <w:szCs w:val="20"/>
          <w:color w:val="auto"/>
        </w:rPr>
      </w:pPr>
    </w:p>
    <w:p>
      <w:pPr>
        <w:ind w:right="200" w:firstLine="438"/>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2020, we invested $68.2 million in four new and 15 existing portfolio companies with a weighted average yield on debt investments of 9.9%. Sales and repayments of investments for the three months ended December 31, 2020 totaled $102.6 million.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3" w:name="page34"/>
    <w:bookmarkEnd w:id="33"/>
    <w:p>
      <w:pPr>
        <w:ind w:right="200" w:firstLine="438"/>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2019, we invested $173.7 million in 13 new and 15 existing portfolio companies with a weighted average yield on debt investments of 8.8%. Sales and repayments of investments for the three months ended December 31, 2019 totaled $31.2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219" w:lineRule="exact"/>
        <w:rPr>
          <w:sz w:val="20"/>
          <w:szCs w:val="20"/>
          <w:color w:val="auto"/>
        </w:rPr>
      </w:pPr>
    </w:p>
    <w:p>
      <w:pPr>
        <w:ind w:right="160" w:firstLine="438"/>
        <w:spacing w:after="0" w:line="261" w:lineRule="auto"/>
        <w:rPr>
          <w:sz w:val="20"/>
          <w:szCs w:val="20"/>
          <w:color w:val="auto"/>
        </w:rPr>
      </w:pPr>
      <w:r>
        <w:rPr>
          <w:rFonts w:ascii="Times New Roman" w:cs="Times New Roman" w:eastAsia="Times New Roman" w:hAnsi="Times New Roman"/>
          <w:sz w:val="14"/>
          <w:szCs w:val="14"/>
          <w:color w:val="auto"/>
        </w:rPr>
        <w:t>As of December 31, 2020, PSLF’s portfolio totaled $ 351.9 million, consisted of 36 companies with an average investment size of $9.8 million and had a weighted average yield on debt investments of 7.3%.</w:t>
      </w:r>
    </w:p>
    <w:p>
      <w:pPr>
        <w:spacing w:after="0" w:line="176" w:lineRule="exact"/>
        <w:rPr>
          <w:sz w:val="20"/>
          <w:szCs w:val="20"/>
          <w:color w:val="auto"/>
        </w:rPr>
      </w:pPr>
    </w:p>
    <w:p>
      <w:pPr>
        <w:ind w:right="140" w:firstLine="438"/>
        <w:spacing w:after="0" w:line="261" w:lineRule="auto"/>
        <w:rPr>
          <w:sz w:val="20"/>
          <w:szCs w:val="20"/>
          <w:color w:val="auto"/>
        </w:rPr>
      </w:pPr>
      <w:r>
        <w:rPr>
          <w:rFonts w:ascii="Times New Roman" w:cs="Times New Roman" w:eastAsia="Times New Roman" w:hAnsi="Times New Roman"/>
          <w:sz w:val="14"/>
          <w:szCs w:val="14"/>
          <w:color w:val="auto"/>
        </w:rPr>
        <w:t>As of September 30, 2020, PSLF’s portfolio totaled $353.4 million, consisted of 37 companies with an average investment size of $9.6 million and had a weighted average yield on debt investments of 7.3%.</w:t>
      </w:r>
    </w:p>
    <w:p>
      <w:pPr>
        <w:spacing w:after="0" w:line="176" w:lineRule="exact"/>
        <w:rPr>
          <w:sz w:val="20"/>
          <w:szCs w:val="20"/>
          <w:color w:val="auto"/>
        </w:rPr>
      </w:pPr>
    </w:p>
    <w:p>
      <w:pPr>
        <w:ind w:right="60" w:firstLine="438"/>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2020, PSLF invested $30.8 million (of which $22.3 million was purchased from the Company) in two new and four existing portfolio companies with a weighted average yield on debt investments of 7.0%. PSLF’s sales and repayments of investments for the same period totaled $35.8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19" w:lineRule="exact"/>
        <w:rPr>
          <w:sz w:val="20"/>
          <w:szCs w:val="20"/>
          <w:color w:val="auto"/>
        </w:rPr>
      </w:pPr>
    </w:p>
    <w:p>
      <w:pPr>
        <w:ind w:right="100" w:firstLine="438"/>
        <w:spacing w:after="0" w:line="229"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221" w:lineRule="exact"/>
        <w:rPr>
          <w:sz w:val="20"/>
          <w:szCs w:val="20"/>
          <w:color w:val="auto"/>
        </w:rPr>
      </w:pPr>
    </w:p>
    <w:p>
      <w:pPr>
        <w:ind w:right="100" w:firstLine="438"/>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4" w:lineRule="exact"/>
        <w:rPr>
          <w:sz w:val="20"/>
          <w:szCs w:val="20"/>
          <w:color w:val="auto"/>
        </w:rPr>
      </w:pPr>
    </w:p>
    <w:p>
      <w:pPr>
        <w:ind w:right="300" w:firstLine="438"/>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6" w:lineRule="exact"/>
        <w:rPr>
          <w:sz w:val="20"/>
          <w:szCs w:val="20"/>
          <w:color w:val="auto"/>
        </w:rPr>
      </w:pPr>
    </w:p>
    <w:p>
      <w:pPr>
        <w:ind w:left="920" w:hanging="372"/>
        <w:spacing w:after="0" w:line="261" w:lineRule="auto"/>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76"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203" w:lineRule="exact"/>
        <w:rPr>
          <w:rFonts w:ascii="Times New Roman" w:cs="Times New Roman" w:eastAsia="Times New Roman" w:hAnsi="Times New Roman"/>
          <w:sz w:val="14"/>
          <w:szCs w:val="14"/>
          <w:color w:val="auto"/>
        </w:rPr>
      </w:pPr>
    </w:p>
    <w:p>
      <w:pPr>
        <w:jc w:val="both"/>
        <w:ind w:left="920" w:right="60" w:hanging="372"/>
        <w:spacing w:after="0" w:line="241" w:lineRule="auto"/>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ind w:left="920" w:right="300" w:hanging="372"/>
        <w:spacing w:after="0" w:line="241" w:lineRule="auto"/>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920" w:right="60" w:hanging="372"/>
        <w:spacing w:after="0" w:line="261" w:lineRule="auto"/>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6" w:lineRule="exact"/>
        <w:rPr>
          <w:sz w:val="20"/>
          <w:szCs w:val="20"/>
          <w:color w:val="auto"/>
        </w:rPr>
      </w:pPr>
    </w:p>
    <w:p>
      <w:pPr>
        <w:ind w:right="380" w:firstLine="438"/>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90" w:lineRule="exact"/>
        <w:rPr>
          <w:sz w:val="20"/>
          <w:szCs w:val="20"/>
          <w:color w:val="auto"/>
        </w:rPr>
      </w:pPr>
    </w:p>
    <w:p>
      <w:pPr>
        <w:jc w:val="both"/>
        <w:ind w:firstLine="438"/>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180" w:hanging="809"/>
        <w:spacing w:after="0" w:line="261" w:lineRule="auto"/>
        <w:tabs>
          <w:tab w:leader="none" w:pos="144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4" w:name="page35"/>
    <w:bookmarkEnd w:id="34"/>
    <w:p>
      <w:pPr>
        <w:ind w:left="640"/>
        <w:spacing w:after="0"/>
        <w:tabs>
          <w:tab w:leader="none" w:pos="144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0"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90" w:lineRule="exact"/>
        <w:rPr>
          <w:sz w:val="20"/>
          <w:szCs w:val="20"/>
          <w:color w:val="auto"/>
        </w:rPr>
      </w:pPr>
    </w:p>
    <w:p>
      <w:pPr>
        <w:ind w:right="80" w:firstLine="438"/>
        <w:spacing w:after="0" w:line="228"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825-10, Financial Instruments, or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during the three months ended December 31, 2020 and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did not elect to apply ASC 825-10 to any other financial assets or liabilities, including the 2024 Notes and the SBA debentures.</w:t>
      </w:r>
    </w:p>
    <w:p>
      <w:pPr>
        <w:spacing w:after="0" w:line="194"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2020, the Truist Credit Facility had a net change in unrealized appreciation of $13.1 million. For the three months ended December 31, 2019, our Credit Facilities had a net change in unrealized appreciation of $2.6 million. As of December 31, 2020 and September 30, 2020, the net unrealized depreciation on the Truist Credit Facility totaled $6.4 million and $19.6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0" w:lineRule="exact"/>
        <w:rPr>
          <w:sz w:val="20"/>
          <w:szCs w:val="20"/>
          <w:color w:val="auto"/>
        </w:rPr>
      </w:pPr>
    </w:p>
    <w:p>
      <w:pPr>
        <w:ind w:right="40" w:firstLine="438"/>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221"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Credit Facilities during the reporting period, including any reversal of previously recorded unrealized appreciation or depreciation, when gains or losses are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20" w:hanging="372"/>
        <w:spacing w:after="0"/>
        <w:tabs>
          <w:tab w:leader="none" w:pos="9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284"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85" w:lineRule="exact"/>
        <w:rPr>
          <w:sz w:val="20"/>
          <w:szCs w:val="20"/>
          <w:color w:val="auto"/>
        </w:rPr>
      </w:pPr>
    </w:p>
    <w:p>
      <w:pPr>
        <w:jc w:val="both"/>
        <w:ind w:right="280" w:firstLine="438"/>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PIK Interest</w:t>
      </w:r>
    </w:p>
    <w:p>
      <w:pPr>
        <w:spacing w:after="0" w:line="221"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221"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90"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4" w:lineRule="exact"/>
        <w:rPr>
          <w:sz w:val="20"/>
          <w:szCs w:val="20"/>
          <w:color w:val="auto"/>
        </w:rPr>
      </w:pPr>
    </w:p>
    <w:p>
      <w:pPr>
        <w:ind w:right="400" w:firstLine="438"/>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90" w:lineRule="exact"/>
        <w:rPr>
          <w:sz w:val="20"/>
          <w:szCs w:val="20"/>
          <w:color w:val="auto"/>
        </w:rPr>
      </w:pPr>
    </w:p>
    <w:p>
      <w:pPr>
        <w:ind w:right="140" w:firstLine="438"/>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months ended December 31, 2020 and 2019.</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221"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Investment income for the three months ended December 31, 2020 was $18.7 million and was attributable to $11.2 million from first lien secured debt, $4.8 million from second lien secured debt, $1.7 million from subordinated debt and $1.0 million from preferred and common equity. This compares to investment income for the three months ended December 31, 2019 of $26.0 million and was attributable to $16.0 million from first lien secured debt, $7.7 million from second lien secured debt and $2.3 million from subordinated debt. The decrease in investment income compared to the same period in the prior year was primarily due to decreases in the size of our debt portfolio and LIBOR.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221" w:lineRule="exact"/>
        <w:rPr>
          <w:sz w:val="20"/>
          <w:szCs w:val="20"/>
          <w:color w:val="auto"/>
        </w:rPr>
      </w:pPr>
    </w:p>
    <w:p>
      <w:pPr>
        <w:ind w:right="220" w:firstLine="438"/>
        <w:spacing w:after="0" w:line="233" w:lineRule="auto"/>
        <w:rPr>
          <w:sz w:val="20"/>
          <w:szCs w:val="20"/>
          <w:color w:val="auto"/>
        </w:rPr>
      </w:pPr>
      <w:r>
        <w:rPr>
          <w:rFonts w:ascii="Times New Roman" w:cs="Times New Roman" w:eastAsia="Times New Roman" w:hAnsi="Times New Roman"/>
          <w:sz w:val="14"/>
          <w:szCs w:val="14"/>
          <w:color w:val="auto"/>
        </w:rPr>
        <w:t>Expenses for the three months ended December 31, 2020 totaled $10.4 million. Base management fee for the same period totaled $4.1 million, debt related interest and expenses totaled $5.0 million, general and administrative expenses totaled $1.1 million and provision for taxes totaled $0.2 million. This compares to net expenses for the three months ended December 31, 2019, which totaled $15.8 million. Base management fee for the same period totaled $4.7 million, incentive fee totaled $0.7 million, debt related interest and expenses totaled $8.9 million, general and administrative expenses totaled $1.2 million and provision for taxes totaled $0.3 million. The decrease in expenses compared to the three-month period ended in the prior year was primarily due to a decrease in LIBOR and lower leverage.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221"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Net investment income totaled $8.3 million, or $0.12 per share, and $10.2 million, or $0.15 per share, for the three months ended December 31, 2020 and 2019, respectively. The decrease in net investment income compared to the three-month period ended in the prior year was primarily due to lower investment income, partially offset by lower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221"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2020 totaled $102.6 million and net realized losses totaled $17.6 million. Sales and repayments of investments for the three months ended December 31, 2019 totaled $31.2 million and net realized losses totaled $12.0 million. The change in realized losses was primarily due to changes in the market conditions of our investments and the values at which they were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and the Credit Facilities</w:t>
      </w:r>
    </w:p>
    <w:p>
      <w:pPr>
        <w:spacing w:after="0" w:line="221" w:lineRule="exact"/>
        <w:rPr>
          <w:sz w:val="20"/>
          <w:szCs w:val="20"/>
          <w:color w:val="auto"/>
        </w:rPr>
      </w:pPr>
    </w:p>
    <w:p>
      <w:pPr>
        <w:ind w:right="100" w:firstLine="438"/>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2020 and 2019, we reported net change in unrealized appreciation on investments of $93.5 million and $23.6 million, respectively. As of December 31, 2020 and September 30, 2020, our net unrealized appreciation (depreciation) on investments totaled $9.7 million and ($83.8) million, respectively. The net change in unrealized appreciation/depreciation on our investments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91"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2020, the Truist Credit Facility had a net change in unrealized appreciation of $13.1 million. For the three months ended December 31, 2019, our Credit Facilities had a net change in unrealized appreciation of $2.6 million. As of December 31, 2020 and September 30, 2020, the net unrealized depreciation on the Truist Credit Facility totaled $6.4 million and $19.6 million, respectively. The net change in net unrealized depreciation compared to the same period in the prior year was primarily due to changes in the capital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221"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Net change in net assets resulting from operations totaled $71.1 million, or $1.06 per share, and $19.2 million, or $0.29 per share, for the three months ended December 31, 2020 and 2019, respectively. The increase in net assets from operations for the three months ended December 31, 2020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19" w:lineRule="exact"/>
        <w:rPr>
          <w:sz w:val="20"/>
          <w:szCs w:val="20"/>
          <w:color w:val="auto"/>
        </w:rPr>
      </w:pPr>
    </w:p>
    <w:p>
      <w:pPr>
        <w:ind w:right="60" w:firstLine="438"/>
        <w:spacing w:after="0" w:line="231"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2020,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91"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2020 and September 30, 2020, our asset coverage ratio, as computed in accordance with the 1940 Act, was 232% and 208%, respectively.</w:t>
      </w:r>
    </w:p>
    <w:p>
      <w:pPr>
        <w:spacing w:after="0" w:line="190" w:lineRule="exact"/>
        <w:rPr>
          <w:sz w:val="20"/>
          <w:szCs w:val="20"/>
          <w:color w:val="auto"/>
        </w:rPr>
      </w:pPr>
    </w:p>
    <w:p>
      <w:pPr>
        <w:ind w:right="520" w:firstLine="438"/>
        <w:spacing w:after="0" w:line="261" w:lineRule="auto"/>
        <w:rPr>
          <w:sz w:val="20"/>
          <w:szCs w:val="20"/>
          <w:color w:val="auto"/>
        </w:rPr>
      </w:pPr>
      <w:r>
        <w:rPr>
          <w:rFonts w:ascii="Times New Roman" w:cs="Times New Roman" w:eastAsia="Times New Roman" w:hAnsi="Times New Roman"/>
          <w:sz w:val="14"/>
          <w:szCs w:val="14"/>
          <w:color w:val="auto"/>
        </w:rPr>
        <w:t>The annualized weighted average cost of debt for the three months ended December 31, 2020 and 2019, inclusive of the fee on the undrawn commitment under the Credit Facilities and amortized upfront fees on SBA debentures, was 3.4% and 5.0%, respectively.</w:t>
      </w:r>
    </w:p>
    <w:p>
      <w:pPr>
        <w:spacing w:after="0" w:line="176"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On February 22, 2019, Funding I closed the BNP Credit Facility for up to $250.0 million (increased to $275.0 million as of November 6, 2020)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The BNP Credit Facility is secured by all of the assets of Funding I. Prior to deconsolidation on July 31, 2020, we owned 100% of the equity interest in Funding I and treat the indebtedness of Funding I as our leverage. Our Investment Adviser serves as the servicer to Funding I in connection with the BNP Credit Facility.</w:t>
      </w:r>
    </w:p>
    <w:p>
      <w:pPr>
        <w:spacing w:after="0" w:line="191"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As of December 31, 2020, we had a multi-currency Truist Credit Facility for up to $475.0 million in borrowings with certain lenders and Truist Bank, acting as administrative agent, and JPMorgan Chase Bank, N.A., acting as syndication agent for the lenders. As of December 31, 2020 and September 30, 2020, we had $355.5 million and $388.3 million, respectively, in outstanding borrowings under the Truist Credit Facility. The Truist Credit Facility had a weighted average interest rate of 2.4% and 2.5%, respectively, exclusive of the fee on undrawn commitments, as of December 31, 2020 and September 30, 2020. The Truist Credit Facility is a revolving facility with a stated maturity date of September 4, 2024 ($40.0 million of the $475 million commitment will mature May 25, 2022), a one-year term-out period on September 4, 2023 ($40.0 million of the $475 million commitment has a one year term-out period on May 25, 2021) and pricing set at 225 basis points over LIBOR (or an alternative risk-free interest rate index). The Truist Credit Facility is secured by substantially all of our assets excluding assets held by SBIC II. As of December 31, 2020 and September 30, 2020, we had $119.5 million and $86.7 million of unused borrowing capacity under the Truist Credit Facility, respectively, subject to leverage and borrowing base restrictions. The Truist Credit Facility is secured by substantially all of our assets, excluding assets held by SBIC II. As of December 31, 2020, we were in compliance with the terms of the Truist Credit Facility.</w:t>
      </w:r>
    </w:p>
    <w:p>
      <w:pPr>
        <w:spacing w:after="0" w:line="197"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 xml:space="preserve">As of December 31, 2020, we had $86.3 million in aggregate principal amount of 2024 Notes outstanding. Interest on the 2024 Notes is paid quarterly on January 15, April 15, July 15 and October 15, at a rate of 5.50% per year, commencing January 15, 2020. The 2024 Notes mature on October 15, 2024. The 2024 Notes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1" w:lineRule="exact"/>
        <w:rPr>
          <w:sz w:val="20"/>
          <w:szCs w:val="20"/>
          <w:color w:val="auto"/>
        </w:rPr>
      </w:pPr>
    </w:p>
    <w:p>
      <w:pPr>
        <w:jc w:val="both"/>
        <w:ind w:firstLine="438"/>
        <w:spacing w:after="0" w:line="233" w:lineRule="auto"/>
        <w:rPr>
          <w:sz w:val="20"/>
          <w:szCs w:val="20"/>
          <w:color w:val="auto"/>
        </w:rPr>
      </w:pPr>
      <w:r>
        <w:rPr>
          <w:rFonts w:ascii="Times New Roman" w:cs="Times New Roman" w:eastAsia="Times New Roman" w:hAnsi="Times New Roman"/>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Truist Credit Facility and SBA debentures. Furthermore, availability under our Truist Credit Facility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91"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$118.5 million as of December 31, 2020.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91" w:lineRule="exact"/>
        <w:rPr>
          <w:sz w:val="20"/>
          <w:szCs w:val="20"/>
          <w:color w:val="auto"/>
        </w:rPr>
      </w:pPr>
    </w:p>
    <w:p>
      <w:pPr>
        <w:jc w:val="both"/>
        <w:ind w:right="140" w:firstLine="438"/>
        <w:spacing w:after="0" w:line="241" w:lineRule="auto"/>
        <w:rPr>
          <w:sz w:val="20"/>
          <w:szCs w:val="20"/>
          <w:color w:val="auto"/>
        </w:rPr>
      </w:pPr>
      <w:r>
        <w:rPr>
          <w:rFonts w:ascii="Times New Roman" w:cs="Times New Roman" w:eastAsia="Times New Roman" w:hAnsi="Times New Roman"/>
          <w:sz w:val="14"/>
          <w:szCs w:val="14"/>
          <w:color w:val="auto"/>
        </w:rPr>
        <w:t>As of both December 31, 2020 and September 30, 2020, SBIC II had initial $150.0 million in debt commitments, all of which were drawn. During the three months ended December 31, 2020 and 2019, zero and $16.5 million in SBA debentures were repaid, respectively. As of December 31, 2020 and September 30, 2020, the unamortized fees on the SBA debentures were $2.6 million and $2.7 million, respectively. The SBA debentures’ upfront fees of 3.4% consist of a commitment fee of 1.0% and an issuance discount of 2.4%, which are being amortized.</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fixed-rate SBA debentures as of December 31, 2020 and September 30,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13"/>
                <w:szCs w:val="13"/>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vMerge w:val="restart"/>
          </w:tcPr>
          <w:p>
            <w:pPr>
              <w:spacing w:after="0"/>
              <w:rPr>
                <w:sz w:val="13"/>
                <w:szCs w:val="13"/>
                <w:color w:val="auto"/>
              </w:rPr>
            </w:pPr>
          </w:p>
        </w:tc>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4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CFF"/>
            </w:tcBorders>
            <w:vMerge w:val="continue"/>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40" w:type="dxa"/>
            <w:vAlign w:val="bottom"/>
            <w:shd w:val="clear" w:color="auto" w:fill="CCECFF"/>
          </w:tcPr>
          <w:p>
            <w:pPr>
              <w:spacing w:after="0"/>
              <w:rPr>
                <w:sz w:val="13"/>
                <w:szCs w:val="13"/>
                <w:color w:val="auto"/>
              </w:rPr>
            </w:pPr>
          </w:p>
        </w:tc>
        <w:tc>
          <w:tcPr>
            <w:tcW w:w="244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September 1, 2026</w:t>
            </w:r>
          </w:p>
        </w:tc>
        <w:tc>
          <w:tcPr>
            <w:tcW w:w="202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91"/>
              </w:rPr>
              <w:t>2.4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620" w:type="dxa"/>
            <w:vAlign w:val="bottom"/>
            <w:gridSpan w:val="3"/>
            <w:shd w:val="clear" w:color="auto" w:fill="CCECFF"/>
          </w:tcPr>
          <w:p>
            <w:pPr>
              <w:ind w:left="220"/>
              <w:spacing w:after="0"/>
              <w:rPr>
                <w:sz w:val="20"/>
                <w:szCs w:val="20"/>
                <w:color w:val="auto"/>
              </w:rPr>
            </w:pPr>
            <w:r>
              <w:rPr>
                <w:rFonts w:ascii="Times New Roman" w:cs="Times New Roman" w:eastAsia="Times New Roman" w:hAnsi="Times New Roman"/>
                <w:sz w:val="14"/>
                <w:szCs w:val="14"/>
                <w:color w:val="auto"/>
              </w:rPr>
              <w:t>September 1, 2027</w:t>
            </w:r>
          </w:p>
        </w:tc>
        <w:tc>
          <w:tcPr>
            <w:tcW w:w="202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4"/>
                <w:szCs w:val="14"/>
                <w:color w:val="auto"/>
                <w:w w:val="91"/>
              </w:rPr>
              <w:t>2.9</w:t>
            </w:r>
          </w:p>
        </w:tc>
        <w:tc>
          <w:tcPr>
            <w:tcW w:w="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620" w:type="dxa"/>
            <w:vAlign w:val="bottom"/>
            <w:tcBorders>
              <w:bottom w:val="single" w:sz="8" w:color="CCECFF"/>
            </w:tcBorders>
            <w:gridSpan w:val="3"/>
          </w:tcPr>
          <w:p>
            <w:pPr>
              <w:ind w:left="220"/>
              <w:spacing w:after="0"/>
              <w:rPr>
                <w:sz w:val="20"/>
                <w:szCs w:val="20"/>
                <w:color w:val="auto"/>
              </w:rPr>
            </w:pPr>
            <w:r>
              <w:rPr>
                <w:rFonts w:ascii="Times New Roman" w:cs="Times New Roman" w:eastAsia="Times New Roman" w:hAnsi="Times New Roman"/>
                <w:sz w:val="14"/>
                <w:szCs w:val="14"/>
                <w:color w:val="auto"/>
              </w:rPr>
              <w:t>March 1, 2028</w:t>
            </w:r>
          </w:p>
        </w:tc>
        <w:tc>
          <w:tcPr>
            <w:tcW w:w="20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w w:val="91"/>
              </w:rPr>
              <w:t>3.5</w:t>
            </w:r>
          </w:p>
        </w:tc>
        <w:tc>
          <w:tcPr>
            <w:tcW w:w="4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4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14"/>
                <w:szCs w:val="14"/>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vMerge w:val="restart"/>
          </w:tcPr>
          <w:p>
            <w:pPr>
              <w:spacing w:after="0"/>
              <w:rPr>
                <w:sz w:val="14"/>
                <w:szCs w:val="14"/>
                <w:color w:val="auto"/>
              </w:rPr>
            </w:pPr>
          </w:p>
        </w:tc>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4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CFF"/>
            </w:tcBorders>
            <w:vMerge w:val="continue"/>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40" w:type="dxa"/>
            <w:vAlign w:val="bottom"/>
            <w:shd w:val="clear" w:color="auto" w:fill="CCECFF"/>
          </w:tcPr>
          <w:p>
            <w:pPr>
              <w:spacing w:after="0"/>
              <w:rPr>
                <w:sz w:val="13"/>
                <w:szCs w:val="13"/>
                <w:color w:val="auto"/>
              </w:rPr>
            </w:pPr>
          </w:p>
        </w:tc>
        <w:tc>
          <w:tcPr>
            <w:tcW w:w="244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September 1, 2026</w:t>
            </w:r>
          </w:p>
        </w:tc>
        <w:tc>
          <w:tcPr>
            <w:tcW w:w="202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91"/>
              </w:rPr>
              <w:t>2.4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620" w:type="dxa"/>
            <w:vAlign w:val="bottom"/>
            <w:gridSpan w:val="3"/>
            <w:shd w:val="clear" w:color="auto" w:fill="CCECFF"/>
          </w:tcPr>
          <w:p>
            <w:pPr>
              <w:ind w:left="220"/>
              <w:spacing w:after="0"/>
              <w:rPr>
                <w:sz w:val="20"/>
                <w:szCs w:val="20"/>
                <w:color w:val="auto"/>
              </w:rPr>
            </w:pPr>
            <w:r>
              <w:rPr>
                <w:rFonts w:ascii="Times New Roman" w:cs="Times New Roman" w:eastAsia="Times New Roman" w:hAnsi="Times New Roman"/>
                <w:sz w:val="14"/>
                <w:szCs w:val="14"/>
                <w:color w:val="auto"/>
              </w:rPr>
              <w:t>September 1, 2027</w:t>
            </w:r>
          </w:p>
        </w:tc>
        <w:tc>
          <w:tcPr>
            <w:tcW w:w="202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4"/>
                <w:szCs w:val="14"/>
                <w:color w:val="auto"/>
                <w:w w:val="91"/>
              </w:rPr>
              <w:t>2.9</w:t>
            </w:r>
          </w:p>
        </w:tc>
        <w:tc>
          <w:tcPr>
            <w:tcW w:w="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March 1, 2028</w:t>
            </w:r>
          </w:p>
        </w:tc>
        <w:tc>
          <w:tcPr>
            <w:tcW w:w="20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w w:val="91"/>
              </w:rPr>
              <w:t>3.5</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2"/>
          </w:tcPr>
          <w:p>
            <w:pPr>
              <w:ind w:left="184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3455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ind w:right="160" w:firstLine="438"/>
        <w:spacing w:after="0" w:line="233"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December 31, 2020, SBIC II was in compliance with its regulatory requirements.</w:t>
      </w:r>
    </w:p>
    <w:p>
      <w:pPr>
        <w:spacing w:after="0" w:line="191"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In accordance with the 1940 Act, with certain limited exceptions, PennantPark Investment is only allowed to borrow amounts such that our required 150% asset coverage ratio is met after such borrowing. As of December 31, 2020 and September 30, 2020,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December 31, 2020 and September 30, 2020, we had cash and cash equivalents of $20.2 million and $25.8 million, respectively, available for investing and general corporate purposes.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liquidity and capital resources are sufficient to take advantage of market opportunities.</w:t>
      </w:r>
    </w:p>
    <w:p>
      <w:pPr>
        <w:spacing w:after="0" w:line="201"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Our operating activities provided cash of $35.0 million for the three months ended December 31, 2020, and our financing activities used cash of $40.8 million for the same period. Our operating activities provided cash primarily for our investment activities and our financing activities used cash primarily to pay down the Truist Credit Facility.</w:t>
      </w:r>
    </w:p>
    <w:p>
      <w:pPr>
        <w:spacing w:after="0" w:line="176" w:lineRule="exact"/>
        <w:rPr>
          <w:sz w:val="20"/>
          <w:szCs w:val="20"/>
          <w:color w:val="auto"/>
        </w:rPr>
      </w:pPr>
    </w:p>
    <w:p>
      <w:pPr>
        <w:ind w:right="60" w:firstLine="438"/>
        <w:spacing w:after="0" w:line="261" w:lineRule="auto"/>
        <w:rPr>
          <w:sz w:val="20"/>
          <w:szCs w:val="20"/>
          <w:color w:val="auto"/>
        </w:rPr>
      </w:pPr>
      <w:r>
        <w:rPr>
          <w:rFonts w:ascii="Times New Roman" w:cs="Times New Roman" w:eastAsia="Times New Roman" w:hAnsi="Times New Roman"/>
          <w:sz w:val="14"/>
          <w:szCs w:val="14"/>
          <w:color w:val="auto"/>
        </w:rPr>
        <w:t>Our operating activities used cash of $71.3 million for the three months ended December 31, 2019 and our financing activities provided cash of $43.8 million for the same period. Our operating activities used cash primarily for our investment activities and our financing activities provided cash primarily from net borrowings under our Credit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ind w:right="80" w:firstLine="438"/>
        <w:spacing w:after="0" w:line="231" w:lineRule="auto"/>
        <w:rPr>
          <w:sz w:val="20"/>
          <w:szCs w:val="20"/>
          <w:color w:val="auto"/>
        </w:rPr>
      </w:pPr>
      <w:r>
        <w:rPr>
          <w:rFonts w:ascii="Times New Roman" w:cs="Times New Roman" w:eastAsia="Times New Roman" w:hAnsi="Times New Roman"/>
          <w:sz w:val="14"/>
          <w:szCs w:val="14"/>
          <w:color w:val="auto"/>
        </w:rPr>
        <w:t>On July 31, 2020, we and Pantheon formed PSLF, an unconsolidated joint venture. PSLF invests primarily in middle-market and other corporate debt securities consistent with our strategy. PSLF was formed as a Delaware limited liability company. PSLF invests in portfolio companies in the same industries in which we may directly invest. We provide capital to PSLF in the form of subordinated notes and equity interests. Effective October 31, 2020, Pantheon contributed an additional $27.5 million to PSLF and we invested an additional $1.8 million in PSLF. As of December 31, 2020 and September 30, 2020, we and Pantheon owned 60.5% and 39.5%, respectively, and 72.0% and 28.0%, respectively, of each of the outstanding subordinated notes and equity interests in PSLF. As of the same dates, our investment in PSLF consisted of subordinated notes of $64.2 million and $63.0 million, respectively, and equity interests of $39.0 million and $36.3 million, respectively.</w:t>
      </w:r>
    </w:p>
    <w:p>
      <w:pPr>
        <w:spacing w:after="0" w:line="191"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As of December 31, 2020 and September 30, 2020, PSLF had total assets of $368.5 million and $361.8 million, respectively. As of December 31, 2020, PSLF had $89.5 million of unused borrowing capacity under the Credit Facility, subject to leverage and borrowing base restrictions, and cash and cash equivalents of $15.8 million. As of September 30, 2020, PSLF had $36.5 million of unused borrowing capacity under the Credit Facility, subject to leverage and borrowing base restrictions, and cash and cash equivalents of $7.5 million.</w:t>
      </w:r>
    </w:p>
    <w:p>
      <w:pPr>
        <w:spacing w:after="0" w:line="190"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or (iii) the presence of four members of the Member Designees’ Committee, provided that two individuals are present that were elected, designated or appointed by each of us and Pantheon.</w:t>
      </w:r>
    </w:p>
    <w:p>
      <w:pPr>
        <w:spacing w:after="0" w:line="191"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Additionally, PSLF has entered into a $275.0 million (increased from $250.0 million on November 6, 2020) senior secured revolving credit facility which bears interest at LIBOR (or an alternative risk-free interest rate index) plus 260 basis points, or the PSLF Credit Facility, with BNP Paribas through its wholly-owned subsidiary, or PSLF Subsidiary, subject to leverage and borrowing base restrictions.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4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6"/>
                <w:szCs w:val="16"/>
                <w:color w:val="auto"/>
              </w:rPr>
            </w:pPr>
          </w:p>
        </w:tc>
      </w:tr>
      <w:tr>
        <w:trPr>
          <w:trHeight w:val="155"/>
        </w:trPr>
        <w:tc>
          <w:tcPr>
            <w:tcW w:w="45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26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351,896,988</w:t>
            </w:r>
          </w:p>
        </w:tc>
        <w:tc>
          <w:tcPr>
            <w:tcW w:w="3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yield on debt investments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26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2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16,146,764</w:t>
            </w:r>
          </w:p>
        </w:tc>
        <w:tc>
          <w:tcPr>
            <w:tcW w:w="34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18,411,916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282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74,627,783</w:t>
            </w:r>
          </w:p>
        </w:tc>
        <w:tc>
          <w:tcPr>
            <w:tcW w:w="34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77,896,431</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908"/>
        </w:trPr>
        <w:tc>
          <w:tcPr>
            <w:tcW w:w="4540" w:type="dxa"/>
            <w:vAlign w:val="bottom"/>
          </w:tcPr>
          <w:p>
            <w:pPr>
              <w:spacing w:after="0"/>
              <w:rPr>
                <w:sz w:val="24"/>
                <w:szCs w:val="24"/>
                <w:color w:val="auto"/>
              </w:rPr>
            </w:pPr>
          </w:p>
        </w:tc>
        <w:tc>
          <w:tcPr>
            <w:tcW w:w="2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54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Debt—545.9%</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958,731</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947,168</w:t>
            </w:r>
          </w:p>
        </w:tc>
        <w:tc>
          <w:tcPr>
            <w:tcW w:w="220" w:type="dxa"/>
            <w:vAlign w:val="bottom"/>
          </w:tcPr>
          <w:p>
            <w:pPr>
              <w:spacing w:after="0"/>
              <w:rPr>
                <w:sz w:val="11"/>
                <w:szCs w:val="11"/>
                <w:color w:val="auto"/>
              </w:rPr>
            </w:pPr>
          </w:p>
        </w:tc>
        <w:tc>
          <w:tcPr>
            <w:tcW w:w="1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915,588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14,737,640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14,548,387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14,516,575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8,441,913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8,351,071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8,441,913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Apex Service Partners, LLC </w:t>
            </w:r>
            <w:r>
              <w:rPr>
                <w:rFonts w:ascii="Times New Roman" w:cs="Times New Roman" w:eastAsia="Times New Roman" w:hAnsi="Times New Roman"/>
                <w:sz w:val="9"/>
                <w:szCs w:val="9"/>
                <w:color w:val="auto"/>
              </w:rPr>
              <w:t>(3)</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07/31/2021</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1,542,556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Bazaarvoice,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14,591,146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14,479,701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14,372,279</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14,961,929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14,868,747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14,806,325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Datalot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7,099,014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6,980,774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7,099,014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11/03/2025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13,530,557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13,421,192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13,544,088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2,865,962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2,840,215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2,865,962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12/19/2025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12,162,857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12,004,848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11,919,600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14,591,222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14,332,501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08/27/2025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7,927,894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7,850,822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7,650,418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14,557,560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14,442,750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03/07/2025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L+900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10,205,877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10,037,924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10,078,304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2,041,180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2,025,149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1,891,358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12,566,555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12,342,012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12,315,224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16,907,607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16,777,822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16,146,764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MAG DS Corp.</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5,694,110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5,685,750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13,914,003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13,764,584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13,357,443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5.74%</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4,015,020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3,981,658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3,829,326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Radius Aerospace,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03/31/2025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13,744,524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13,581,728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13,469,634</w:t>
            </w:r>
          </w:p>
        </w:tc>
        <w:tc>
          <w:tcPr>
            <w:tcW w:w="120" w:type="dxa"/>
            <w:vAlign w:val="bottom"/>
          </w:tcPr>
          <w:p>
            <w:pPr>
              <w:spacing w:after="0"/>
              <w:rPr>
                <w:sz w:val="11"/>
                <w:szCs w:val="11"/>
                <w:color w:val="auto"/>
              </w:rPr>
            </w:pPr>
          </w:p>
        </w:tc>
      </w:tr>
      <w:tr>
        <w:trPr>
          <w:trHeight w:val="121"/>
        </w:trPr>
        <w:tc>
          <w:tcPr>
            <w:tcW w:w="3180" w:type="dxa"/>
            <w:vAlign w:val="bottom"/>
            <w:gridSpan w:val="3"/>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35"/>
        </w:trPr>
        <w:tc>
          <w:tcPr>
            <w:tcW w:w="3180" w:type="dxa"/>
            <w:vAlign w:val="bottom"/>
            <w:gridSpan w:val="3"/>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14,809,160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14,696,977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14,538,893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1,954,287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1,938,677</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7,867,378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7,736,084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7,729,699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5,420,826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5,355,677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5,353,065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14,062,500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13,922,678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13,746,094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12,497,823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12,330,599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12,410,338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5.40%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12,320,154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12,211,130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12,320,154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5,006,244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4,962,527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4,956,181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7,461,111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7,188,146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7,370,981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5,635,844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5,579,485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5,466,768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14,510,397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14,319,883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14,619,226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10,046,691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9,880,493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10,046,691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UBEO,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4,738,102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4,701,846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4,702,566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06/10/2025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14,321,880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14,088,756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13,605,786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10/18/2022</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14,004,711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13,861,591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14,004,711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1"/>
                <w:szCs w:val="11"/>
                <w:color w:val="auto"/>
                <w:w w:val="95"/>
              </w:rPr>
              <w:t>02/27/2026</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tcBorders>
              <w:bottom w:val="single" w:sz="8" w:color="CCECFF"/>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7,481,156</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7,406,933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7,406,342</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353,843,786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351,896,988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Equivalents—24.5%</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14,192,122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14,192,122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1,582,100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1,582,100</w:t>
            </w:r>
          </w:p>
        </w:tc>
        <w:tc>
          <w:tcPr>
            <w:tcW w:w="120" w:type="dxa"/>
            <w:vAlign w:val="bottom"/>
            <w:tcBorders>
              <w:bottom w:val="single" w:sz="8" w:color="CCECFF"/>
            </w:tcBorders>
          </w:tcPr>
          <w:p>
            <w:pPr>
              <w:spacing w:after="0"/>
              <w:rPr>
                <w:sz w:val="11"/>
                <w:szCs w:val="1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15,774,222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15,774,222</w:t>
            </w:r>
          </w:p>
        </w:tc>
        <w:tc>
          <w:tcPr>
            <w:tcW w:w="120" w:type="dxa"/>
            <w:vAlign w:val="bottom"/>
            <w:shd w:val="clear" w:color="auto" w:fill="CCECFF"/>
          </w:tcPr>
          <w:p>
            <w:pPr>
              <w:spacing w:after="0"/>
              <w:rPr>
                <w:sz w:val="11"/>
                <w:szCs w:val="11"/>
                <w:color w:val="auto"/>
              </w:rPr>
            </w:pPr>
          </w:p>
        </w:tc>
      </w:tr>
      <w:tr>
        <w:trPr>
          <w:trHeight w:val="168"/>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Equivalents—570.3%</w:t>
            </w:r>
          </w:p>
        </w:tc>
        <w:tc>
          <w:tcPr>
            <w:tcW w:w="6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26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7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369,618,008</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367,671,210</w:t>
            </w:r>
          </w:p>
        </w:tc>
        <w:tc>
          <w:tcPr>
            <w:tcW w:w="120" w:type="dxa"/>
            <w:vAlign w:val="bottom"/>
            <w:tcBorders>
              <w:bottom w:val="single" w:sz="8" w:color="CCECFF"/>
            </w:tcBorders>
          </w:tcPr>
          <w:p>
            <w:pPr>
              <w:spacing w:after="0"/>
              <w:rPr>
                <w:sz w:val="14"/>
                <w:szCs w:val="14"/>
                <w:color w:val="auto"/>
              </w:rPr>
            </w:pPr>
          </w:p>
        </w:tc>
      </w:tr>
      <w:tr>
        <w:trPr>
          <w:trHeight w:val="115"/>
        </w:trPr>
        <w:tc>
          <w:tcPr>
            <w:tcW w:w="3180" w:type="dxa"/>
            <w:vAlign w:val="bottom"/>
            <w:gridSpan w:val="3"/>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Assets—(470.3)%</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(303,206,242)</w:t>
            </w:r>
          </w:p>
        </w:tc>
        <w:tc>
          <w:tcPr>
            <w:tcW w:w="120" w:type="dxa"/>
            <w:vAlign w:val="bottom"/>
            <w:shd w:val="clear" w:color="auto" w:fill="CCECFF"/>
          </w:tcPr>
          <w:p>
            <w:pPr>
              <w:spacing w:after="0"/>
              <w:rPr>
                <w:sz w:val="10"/>
                <w:szCs w:val="10"/>
                <w:color w:val="auto"/>
              </w:rPr>
            </w:pPr>
          </w:p>
        </w:tc>
      </w:tr>
      <w:tr>
        <w:trPr>
          <w:trHeight w:val="129"/>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64,464,968</w:t>
            </w:r>
          </w:p>
        </w:tc>
        <w:tc>
          <w:tcPr>
            <w:tcW w:w="120" w:type="dxa"/>
            <w:vAlign w:val="bottom"/>
          </w:tcPr>
          <w:p>
            <w:pPr>
              <w:spacing w:after="0"/>
              <w:rPr>
                <w:sz w:val="11"/>
                <w:szCs w:val="1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27" w:lineRule="exact"/>
        <w:rPr>
          <w:sz w:val="20"/>
          <w:szCs w:val="20"/>
          <w:color w:val="auto"/>
        </w:rPr>
      </w:pPr>
    </w:p>
    <w:p>
      <w:pPr>
        <w:ind w:left="380" w:right="40" w:hanging="372"/>
        <w:spacing w:after="0" w:line="238" w:lineRule="auto"/>
        <w:tabs>
          <w:tab w:leader="none" w:pos="380" w:val="left"/>
        </w:tabs>
        <w:numPr>
          <w:ilvl w:val="0"/>
          <w:numId w:val="3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3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Valued based on PSLF’s accounting policy.</w:t>
      </w:r>
    </w:p>
    <w:p>
      <w:pPr>
        <w:ind w:left="380" w:hanging="372"/>
        <w:spacing w:after="0"/>
        <w:tabs>
          <w:tab w:leader="none" w:pos="380" w:val="left"/>
        </w:tabs>
        <w:numPr>
          <w:ilvl w:val="0"/>
          <w:numId w:val="3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Advantage Sales &amp; Marketing</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4"/>
              </w:rPr>
              <w:t>Grocery</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L+325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8,627,315</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8,418,699</w:t>
            </w:r>
          </w:p>
        </w:tc>
        <w:tc>
          <w:tcPr>
            <w:tcW w:w="220" w:type="dxa"/>
            <w:vAlign w:val="bottom"/>
          </w:tcPr>
          <w:p>
            <w:pPr>
              <w:spacing w:after="0"/>
              <w:rPr>
                <w:sz w:val="11"/>
                <w:szCs w:val="11"/>
                <w:color w:val="auto"/>
              </w:rPr>
            </w:pPr>
          </w:p>
        </w:tc>
        <w:tc>
          <w:tcPr>
            <w:tcW w:w="1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8,456,926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958,950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937,238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14,571,097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14,479,603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6,546,594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6,409,225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Bazaarvoice,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14,509,210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14,408,664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14,895,515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14,683,499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Cano Health,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18,174,687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18,411,916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6,991,975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7,125,435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13,448,313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13,316,490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2,846,226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2,858,818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12,028,384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11,888,732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14,619,623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14,295,375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444,755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443,354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L+700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14,583,983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14,413,275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L+850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9,978,792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10,001,050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1,998,623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1,856,411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12,365,207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12,440,731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16,770,520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15,882,625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MAG DS Corp.</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5,707,500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13,914,921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13,407,926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5.72%</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3,990,631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3,824,244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13,608,176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13,503,840</w:t>
            </w:r>
          </w:p>
        </w:tc>
        <w:tc>
          <w:tcPr>
            <w:tcW w:w="120" w:type="dxa"/>
            <w:vAlign w:val="bottom"/>
            <w:shd w:val="clear" w:color="auto" w:fill="CCECFF"/>
          </w:tcPr>
          <w:p>
            <w:pPr>
              <w:spacing w:after="0"/>
              <w:rPr>
                <w:sz w:val="11"/>
                <w:szCs w:val="11"/>
                <w:color w:val="auto"/>
              </w:rPr>
            </w:pPr>
          </w:p>
        </w:tc>
      </w:tr>
      <w:tr>
        <w:trPr>
          <w:trHeight w:val="121"/>
        </w:trPr>
        <w:tc>
          <w:tcPr>
            <w:tcW w:w="31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1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14,728,854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14,023,302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1,958,417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1,905,678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7,748,712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7,697,903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5,378,893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5,350,411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14,096,623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13,786,875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12,351,398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12,393,282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5.40%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12,238,771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12,228,460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5,034,725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4,928,407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1,874,970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1,905,750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5,593,575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5,480,573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14,343,185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14,438,788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8,469,082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8,471,302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UBEO,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4,700,032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4,453,816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14,112,113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1"/>
                <w:szCs w:val="11"/>
                <w:color w:val="auto"/>
                <w:w w:val="95"/>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14,052,223</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358,023,408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353,366,358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Equivalents—15.0%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120" w:type="dxa"/>
            <w:vAlign w:val="bottom"/>
            <w:tcBorders>
              <w:bottom w:val="single" w:sz="8" w:color="CCECFF"/>
            </w:tcBorders>
          </w:tcPr>
          <w:p>
            <w:pPr>
              <w:spacing w:after="0"/>
              <w:rPr>
                <w:sz w:val="11"/>
                <w:szCs w:val="1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120" w:type="dxa"/>
            <w:vAlign w:val="bottom"/>
            <w:shd w:val="clear" w:color="auto" w:fill="CCECFF"/>
          </w:tcPr>
          <w:p>
            <w:pPr>
              <w:spacing w:after="0"/>
              <w:rPr>
                <w:sz w:val="11"/>
                <w:szCs w:val="11"/>
                <w:color w:val="auto"/>
              </w:rPr>
            </w:pPr>
          </w:p>
        </w:tc>
      </w:tr>
      <w:tr>
        <w:trPr>
          <w:trHeight w:val="168"/>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Equivalents—716.6%</w:t>
            </w:r>
          </w:p>
        </w:tc>
        <w:tc>
          <w:tcPr>
            <w:tcW w:w="6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26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365,560,127</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360,903,077</w:t>
            </w:r>
          </w:p>
        </w:tc>
        <w:tc>
          <w:tcPr>
            <w:tcW w:w="120" w:type="dxa"/>
            <w:vAlign w:val="bottom"/>
            <w:tcBorders>
              <w:bottom w:val="single" w:sz="8" w:color="CCECFF"/>
            </w:tcBorders>
          </w:tcPr>
          <w:p>
            <w:pPr>
              <w:spacing w:after="0"/>
              <w:rPr>
                <w:sz w:val="14"/>
                <w:szCs w:val="14"/>
                <w:color w:val="auto"/>
              </w:rPr>
            </w:pPr>
          </w:p>
        </w:tc>
      </w:tr>
      <w:tr>
        <w:trPr>
          <w:trHeight w:val="115"/>
        </w:trPr>
        <w:tc>
          <w:tcPr>
            <w:tcW w:w="3180" w:type="dxa"/>
            <w:vAlign w:val="bottom"/>
            <w:gridSpan w:val="3"/>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Assets—(616.6)%</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(310,538,386)</w:t>
            </w:r>
          </w:p>
        </w:tc>
        <w:tc>
          <w:tcPr>
            <w:tcW w:w="120" w:type="dxa"/>
            <w:vAlign w:val="bottom"/>
            <w:shd w:val="clear" w:color="auto" w:fill="CCECFF"/>
          </w:tcPr>
          <w:p>
            <w:pPr>
              <w:spacing w:after="0"/>
              <w:rPr>
                <w:sz w:val="10"/>
                <w:szCs w:val="10"/>
                <w:color w:val="auto"/>
              </w:rPr>
            </w:pPr>
          </w:p>
        </w:tc>
      </w:tr>
      <w:tr>
        <w:trPr>
          <w:trHeight w:val="129"/>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50,364,691</w:t>
            </w:r>
          </w:p>
        </w:tc>
        <w:tc>
          <w:tcPr>
            <w:tcW w:w="120" w:type="dxa"/>
            <w:vAlign w:val="bottom"/>
          </w:tcPr>
          <w:p>
            <w:pPr>
              <w:spacing w:after="0"/>
              <w:rPr>
                <w:sz w:val="11"/>
                <w:szCs w:val="1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27" w:lineRule="exact"/>
        <w:rPr>
          <w:sz w:val="20"/>
          <w:szCs w:val="20"/>
          <w:color w:val="auto"/>
        </w:rPr>
      </w:pPr>
    </w:p>
    <w:p>
      <w:pPr>
        <w:ind w:left="380" w:right="40" w:hanging="372"/>
        <w:spacing w:after="0" w:line="238" w:lineRule="auto"/>
        <w:tabs>
          <w:tab w:leader="none" w:pos="380" w:val="left"/>
        </w:tabs>
        <w:numPr>
          <w:ilvl w:val="0"/>
          <w:numId w:val="40"/>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0"/>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Valued based on PSLF’s accounting policy.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8"/>
        </w:trPr>
        <w:tc>
          <w:tcPr>
            <w:tcW w:w="74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Below is the financial information for PSLF:</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960" w:type="dxa"/>
            <w:vAlign w:val="bottom"/>
          </w:tcPr>
          <w:p>
            <w:pPr>
              <w:spacing w:after="0"/>
              <w:rPr>
                <w:sz w:val="24"/>
                <w:szCs w:val="24"/>
                <w:color w:val="auto"/>
              </w:rPr>
            </w:pPr>
          </w:p>
        </w:tc>
        <w:tc>
          <w:tcPr>
            <w:tcW w:w="44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Statements of Assets and Liabilities</w:t>
            </w:r>
          </w:p>
        </w:tc>
        <w:tc>
          <w:tcPr>
            <w:tcW w:w="160" w:type="dxa"/>
            <w:vAlign w:val="bottom"/>
          </w:tcPr>
          <w:p>
            <w:pPr>
              <w:spacing w:after="0"/>
              <w:rPr>
                <w:sz w:val="24"/>
                <w:szCs w:val="24"/>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24"/>
                <w:szCs w:val="24"/>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Investments at fair value (cost—$353,843,786 and $358,023,408, respectively)</w:t>
            </w:r>
          </w:p>
        </w:tc>
        <w:tc>
          <w:tcPr>
            <w:tcW w:w="16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351,896,988</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(cost—$15,774,222 and $7,536,719, respectively)</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15,774,222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6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813,092</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40" w:type="dxa"/>
            <w:vAlign w:val="bottom"/>
            <w:tcBorders>
              <w:bottom w:val="single" w:sz="8" w:color="CCECFF"/>
            </w:tcBorders>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368,484,302</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CFF"/>
          </w:tcPr>
          <w:p>
            <w:pPr>
              <w:spacing w:after="0"/>
              <w:rPr>
                <w:sz w:val="13"/>
                <w:szCs w:val="13"/>
                <w:color w:val="auto"/>
              </w:rPr>
            </w:pPr>
          </w:p>
        </w:tc>
        <w:tc>
          <w:tcPr>
            <w:tcW w:w="15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 payable</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7,131,972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facility payable</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Notes payable to members</w:t>
            </w: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106,040,612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1,486,100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members notes</w:t>
            </w: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1,643,629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417,021</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4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shd w:val="clear" w:color="auto" w:fill="CCECFF"/>
          </w:tcPr>
          <w:p>
            <w:pPr>
              <w:spacing w:after="0"/>
              <w:rPr>
                <w:sz w:val="13"/>
                <w:szCs w:val="13"/>
                <w:color w:val="auto"/>
              </w:rPr>
            </w:pP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304,019,334</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tcBorders>
              <w:bottom w:val="single" w:sz="8" w:color="CCECFF"/>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2"/>
                <w:szCs w:val="12"/>
                <w:color w:val="auto"/>
              </w:rPr>
              <w:t>(1)</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4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160" w:type="dxa"/>
            <w:vAlign w:val="bottom"/>
            <w:tcBorders>
              <w:bottom w:val="single" w:sz="8" w:color="auto"/>
            </w:tcBorders>
            <w:shd w:val="clear" w:color="auto" w:fill="CCECFF"/>
          </w:tcPr>
          <w:p>
            <w:pPr>
              <w:spacing w:after="0"/>
              <w:rPr>
                <w:sz w:val="13"/>
                <w:szCs w:val="13"/>
                <w:color w:val="auto"/>
              </w:rPr>
            </w:pP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64,464,968</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368,484,302</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1"/>
          <w:szCs w:val="11"/>
          <w:color w:val="auto"/>
        </w:rPr>
        <w:t>As of December 31, 2020 and September 30, 2020, PSLF had unfunded commitments to fund investments of $1.5 million and zero,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4320" w:type="dxa"/>
            <w:vAlign w:val="bottom"/>
            <w:gridSpan w:val="2"/>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rPr>
              <w:t xml:space="preserve">Statements of Operations </w:t>
            </w:r>
            <w:r>
              <w:rPr>
                <w:rFonts w:ascii="Times New Roman" w:cs="Times New Roman" w:eastAsia="Times New Roman" w:hAnsi="Times New Roman"/>
                <w:sz w:val="12"/>
                <w:szCs w:val="12"/>
                <w:b w:val="1"/>
                <w:bCs w:val="1"/>
                <w:color w:val="auto"/>
              </w:rPr>
              <w:t>(1)</w:t>
            </w:r>
          </w:p>
        </w:tc>
        <w:tc>
          <w:tcPr>
            <w:tcW w:w="2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45"/>
        </w:trPr>
        <w:tc>
          <w:tcPr>
            <w:tcW w:w="4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spacing w:after="0"/>
              <w:rPr>
                <w:sz w:val="13"/>
                <w:szCs w:val="13"/>
                <w:color w:val="auto"/>
              </w:rPr>
            </w:pPr>
          </w:p>
        </w:tc>
        <w:tc>
          <w:tcPr>
            <w:tcW w:w="41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660" w:type="dxa"/>
            <w:vAlign w:val="bottom"/>
            <w:tcBorders>
              <w:top w:val="single" w:sz="8" w:color="auto"/>
              <w:bottom w:val="single" w:sz="8" w:color="auto"/>
            </w:tcBorders>
          </w:tcPr>
          <w:p>
            <w:pPr>
              <w:jc w:val="right"/>
              <w:ind w:right="12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41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4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6,561,996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4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2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436,957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4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6,998,953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41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and expenses on credit facility</w:t>
            </w: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1,754,377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expense on members notes</w:t>
            </w:r>
          </w:p>
        </w:tc>
        <w:tc>
          <w:tcPr>
            <w:tcW w:w="4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2,299,879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 xml:space="preserve">Other general and administrative expenses </w:t>
            </w:r>
            <w:r>
              <w:rPr>
                <w:rFonts w:ascii="Times New Roman" w:cs="Times New Roman" w:eastAsia="Times New Roman" w:hAnsi="Times New Roman"/>
                <w:sz w:val="12"/>
                <w:szCs w:val="12"/>
                <w:color w:val="auto"/>
              </w:rPr>
              <w:t>(2)</w:t>
            </w:r>
          </w:p>
        </w:tc>
        <w:tc>
          <w:tcPr>
            <w:tcW w:w="4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2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111,648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4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4,458,869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4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2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2,540,084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Realized and unrealized gain on investments:</w:t>
            </w: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4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464,337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Net change in unrealized appreciation on investments</w:t>
            </w:r>
          </w:p>
        </w:tc>
        <w:tc>
          <w:tcPr>
            <w:tcW w:w="41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2,710,252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and unrealized gain from investments</w:t>
            </w:r>
          </w:p>
        </w:tc>
        <w:tc>
          <w:tcPr>
            <w:tcW w:w="4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2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3,174,589</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412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5,714,673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PSLF commenced operations on July 31, 2020.</w:t>
      </w:r>
    </w:p>
    <w:p>
      <w:pPr>
        <w:spacing w:after="0" w:line="7"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42"/>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 management or incentive fees are payable by PSLF. If any fees were to be charged, they would be separately disclosed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8599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221" w:lineRule="exact"/>
        <w:rPr>
          <w:sz w:val="20"/>
          <w:szCs w:val="20"/>
          <w:color w:val="auto"/>
        </w:rPr>
      </w:pPr>
    </w:p>
    <w:p>
      <w:pPr>
        <w:ind w:right="240" w:firstLine="438"/>
        <w:spacing w:after="0" w:line="261" w:lineRule="auto"/>
        <w:rPr>
          <w:sz w:val="20"/>
          <w:szCs w:val="20"/>
          <w:color w:val="auto"/>
        </w:rPr>
      </w:pPr>
      <w:r>
        <w:rPr>
          <w:rFonts w:ascii="Times New Roman" w:cs="Times New Roman" w:eastAsia="Times New Roman" w:hAnsi="Times New Roman"/>
          <w:sz w:val="14"/>
          <w:szCs w:val="14"/>
          <w:color w:val="auto"/>
        </w:rPr>
        <w:t>A summary of our significant contractual payment obligations at cost as of December 31, 2020, including borrowings under our various debt facilities and other contractual obligations, is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36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&gt;5 years</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355.5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29.9</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325.6</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4"/>
                <w:szCs w:val="14"/>
                <w:color w:val="auto"/>
              </w:rPr>
            </w:pPr>
          </w:p>
        </w:tc>
      </w:tr>
      <w:tr>
        <w:trPr>
          <w:trHeight w:val="162"/>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2024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36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xml:space="preserve">Total debt outstanding </w:t>
            </w:r>
            <w:r>
              <w:rPr>
                <w:rFonts w:ascii="Times New Roman" w:cs="Times New Roman" w:eastAsia="Times New Roman" w:hAnsi="Times New Roman"/>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560.3</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29.9</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3"/>
                <w:szCs w:val="13"/>
                <w:color w:val="auto"/>
              </w:rPr>
            </w:pPr>
          </w:p>
        </w:tc>
      </w:tr>
      <w:tr>
        <w:trPr>
          <w:trHeight w:val="162"/>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Unfunded investments </w:t>
            </w:r>
            <w:r>
              <w:rPr>
                <w:rFonts w:ascii="Times New Roman" w:cs="Times New Roman" w:eastAsia="Times New Roman" w:hAnsi="Times New Roman"/>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605.1</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46.3</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431.6</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124.5</w:t>
            </w:r>
          </w:p>
        </w:tc>
        <w:tc>
          <w:tcPr>
            <w:tcW w:w="12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380" w:hanging="372"/>
        <w:spacing w:after="0" w:line="229" w:lineRule="auto"/>
        <w:tabs>
          <w:tab w:leader="none" w:pos="38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annualized weighted average cost of debt as of December 31, 2020 was 3.1%, exclusive of the fee on the undrawn commitment on the Credit Facility and upfront fees on SBA debentures.</w:t>
      </w:r>
    </w:p>
    <w:p>
      <w:pPr>
        <w:ind w:left="380" w:hanging="372"/>
        <w:spacing w:after="0" w:line="180" w:lineRule="auto"/>
        <w:tabs>
          <w:tab w:leader="none" w:pos="38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Unfunded debt and equity investments are disclosed in the Consolidated Schedule of Investments and Note 11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3455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80" w:lineRule="exact"/>
        <w:rPr>
          <w:sz w:val="20"/>
          <w:szCs w:val="20"/>
          <w:color w:val="auto"/>
        </w:rPr>
      </w:pPr>
    </w:p>
    <w:p>
      <w:pPr>
        <w:ind w:right="180" w:firstLine="438"/>
        <w:spacing w:after="0" w:line="233"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2021, PennantPark Investment Advisers serves as our investment adviser. PennantPark Investment, through the Investment Adviser, provides similar services to SBIC II under its investment management agreements with us. SBIC II’s investment management agreements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91"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PennantPark Investment, through the Administrator, provides similar services to SBIC II under its administration agreement, which is intended to have no effect on the consolidated administration fee. If requested to provide significant managerial assistance to our portfolio companies, we or the Administrator will be paid an additional amount based on the services provided.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4"/>
          <w:szCs w:val="14"/>
          <w:color w:val="auto"/>
        </w:rPr>
        <w:t>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76"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Off-Balance-Sheet Arrangements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currently engage in no off-balance-sheet arrangements other than our funding requirements for the unfunded investments described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221"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0"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1" w:lineRule="exact"/>
        <w:rPr>
          <w:sz w:val="20"/>
          <w:szCs w:val="20"/>
          <w:color w:val="auto"/>
        </w:rPr>
      </w:pPr>
    </w:p>
    <w:p>
      <w:pPr>
        <w:ind w:right="160" w:firstLine="438"/>
        <w:spacing w:after="0" w:line="233" w:lineRule="auto"/>
        <w:rPr>
          <w:sz w:val="20"/>
          <w:szCs w:val="20"/>
          <w:color w:val="auto"/>
        </w:rPr>
      </w:pPr>
      <w:r>
        <w:rPr>
          <w:rFonts w:ascii="Times New Roman" w:cs="Times New Roman" w:eastAsia="Times New Roman" w:hAnsi="Times New Roman"/>
          <w:sz w:val="14"/>
          <w:szCs w:val="14"/>
          <w:color w:val="auto"/>
        </w:rPr>
        <w:t>During the three months ended December 31, 2020, we declared distributions of $0.12 per share, for total distributions of $8.0 million. For the same period in the prior year, we declared distributions of $0.18 per share, respectively, for total distributions of $12.1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ind w:right="600" w:firstLine="438"/>
        <w:spacing w:after="0" w:line="261"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76"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219"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December 31, 2020, our debt portfolio consisted of 92% variable-rate investments. The variable-rate loans are usually based on a LIBOR rate (or an alternative risk-free floating interest rate index)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91" w:lineRule="exact"/>
        <w:rPr>
          <w:sz w:val="20"/>
          <w:szCs w:val="20"/>
          <w:color w:val="auto"/>
        </w:rPr>
      </w:pPr>
    </w:p>
    <w:p>
      <w:pPr>
        <w:ind w:right="260" w:firstLine="438"/>
        <w:spacing w:after="0" w:line="261"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20" w:type="dxa"/>
            <w:vAlign w:val="bottom"/>
          </w:tcPr>
          <w:p>
            <w:pPr>
              <w:spacing w:after="0"/>
              <w:rPr>
                <w:sz w:val="12"/>
                <w:szCs w:val="12"/>
                <w:color w:val="auto"/>
              </w:rPr>
            </w:pPr>
          </w:p>
        </w:tc>
        <w:tc>
          <w:tcPr>
            <w:tcW w:w="284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40" w:type="dxa"/>
            <w:vAlign w:val="bottom"/>
            <w:tcBorders>
              <w:top w:val="single" w:sz="8" w:color="auto"/>
            </w:tcBorders>
            <w:shd w:val="clear" w:color="auto" w:fill="CCECFF"/>
          </w:tcPr>
          <w:p>
            <w:pPr>
              <w:jc w:val="right"/>
              <w:ind w:right="2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580</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(2,459)</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20" w:type="dxa"/>
            <w:vAlign w:val="bottom"/>
            <w:shd w:val="clear" w:color="auto" w:fill="CCECFF"/>
          </w:tcPr>
          <w:p>
            <w:pPr>
              <w:spacing w:after="0"/>
              <w:rPr>
                <w:sz w:val="14"/>
                <w:szCs w:val="14"/>
                <w:color w:val="auto"/>
              </w:rPr>
            </w:pPr>
          </w:p>
        </w:tc>
        <w:tc>
          <w:tcPr>
            <w:tcW w:w="284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3060" w:type="dxa"/>
            <w:vAlign w:val="bottom"/>
            <w:gridSpan w:val="2"/>
            <w:shd w:val="clear" w:color="auto" w:fill="CCECFF"/>
          </w:tcPr>
          <w:p>
            <w:pPr>
              <w:jc w:val="right"/>
              <w:ind w:right="26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3"/>
              <w:spacing w:after="0"/>
              <w:rPr>
                <w:sz w:val="20"/>
                <w:szCs w:val="20"/>
                <w:color w:val="auto"/>
              </w:rPr>
            </w:pPr>
            <w:r>
              <w:rPr>
                <w:rFonts w:ascii="Times New Roman" w:cs="Times New Roman" w:eastAsia="Times New Roman" w:hAnsi="Times New Roman"/>
                <w:sz w:val="14"/>
                <w:szCs w:val="14"/>
                <w:color w:val="auto"/>
              </w:rPr>
              <w:t>$</w:t>
            </w: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380" w:firstLine="438"/>
        <w:spacing w:after="0" w:line="24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0"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90"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219"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line="233" w:lineRule="auto"/>
        <w:rPr>
          <w:sz w:val="20"/>
          <w:szCs w:val="20"/>
          <w:color w:val="auto"/>
        </w:rPr>
      </w:pPr>
      <w:r>
        <w:rPr>
          <w:rFonts w:ascii="Times New Roman" w:cs="Times New Roman" w:eastAsia="Times New Roman" w:hAnsi="Times New Roman"/>
          <w:sz w:val="14"/>
          <w:szCs w:val="14"/>
          <w:color w:val="auto"/>
        </w:rPr>
        <w:t>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1" w:lineRule="exact"/>
        <w:rPr>
          <w:sz w:val="20"/>
          <w:szCs w:val="20"/>
          <w:color w:val="auto"/>
        </w:rPr>
      </w:pPr>
    </w:p>
    <w:p>
      <w:pPr>
        <w:ind w:right="160" w:firstLine="438"/>
        <w:spacing w:after="0" w:line="261"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that occurred during the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38"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38"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2020 filed on November 19, 2020,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221" w:lineRule="exact"/>
        <w:rPr>
          <w:sz w:val="20"/>
          <w:szCs w:val="20"/>
          <w:color w:val="auto"/>
        </w:rPr>
      </w:pPr>
    </w:p>
    <w:p>
      <w:pPr>
        <w:ind w:right="20" w:firstLine="438"/>
        <w:spacing w:after="0" w:line="226"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91" w:lineRule="exact"/>
        <w:rPr>
          <w:sz w:val="20"/>
          <w:szCs w:val="20"/>
          <w:color w:val="auto"/>
        </w:rPr>
      </w:pPr>
    </w:p>
    <w:p>
      <w:pPr>
        <w:ind w:right="300" w:firstLine="483"/>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72" w:lineRule="exact"/>
        <w:rPr>
          <w:sz w:val="20"/>
          <w:szCs w:val="20"/>
          <w:color w:val="auto"/>
        </w:rPr>
      </w:pPr>
    </w:p>
    <w:p>
      <w:pPr>
        <w:jc w:val="both"/>
        <w:ind w:right="120" w:firstLine="438"/>
        <w:spacing w:after="0" w:line="24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90" w:lineRule="exact"/>
        <w:rPr>
          <w:sz w:val="20"/>
          <w:szCs w:val="20"/>
          <w:color w:val="auto"/>
        </w:rPr>
      </w:pPr>
    </w:p>
    <w:p>
      <w:pPr>
        <w:ind w:right="140" w:firstLine="438"/>
        <w:spacing w:after="0" w:line="231"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1"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221" w:lineRule="exact"/>
        <w:rPr>
          <w:sz w:val="20"/>
          <w:szCs w:val="20"/>
          <w:color w:val="auto"/>
        </w:rPr>
      </w:pPr>
    </w:p>
    <w:p>
      <w:pPr>
        <w:ind w:right="20" w:firstLine="438"/>
        <w:spacing w:after="0" w:line="226" w:lineRule="auto"/>
        <w:rPr>
          <w:sz w:val="20"/>
          <w:szCs w:val="20"/>
          <w:color w:val="auto"/>
        </w:rPr>
      </w:pPr>
      <w:r>
        <w:rPr>
          <w:rFonts w:ascii="Times New Roman" w:cs="Times New Roman" w:eastAsia="Times New Roman" w:hAnsi="Times New Roman"/>
          <w:sz w:val="14"/>
          <w:szCs w:val="14"/>
          <w:color w:val="auto"/>
        </w:rPr>
        <w:t>We have indebtedness outstanding pursuant to our Truist Credit Facility, 2024 Notes and SBA debentures and expect in the future to borrow additional amounts under our Truist Credit Facility or other debt securities, subject to market availability, and, may increase the size of our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5" w:lineRule="exact"/>
        <w:rPr>
          <w:sz w:val="20"/>
          <w:szCs w:val="20"/>
          <w:color w:val="auto"/>
        </w:rPr>
      </w:pPr>
    </w:p>
    <w:p>
      <w:pPr>
        <w:jc w:val="both"/>
        <w:ind w:right="140" w:firstLine="483"/>
        <w:spacing w:after="0"/>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did not engage in any sales of unregistered securities during the three months ended December 31, 2020.</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4" w:name="page45"/>
    <w:bookmarkEnd w:id="44"/>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Defaults Upon Senior Securities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1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35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45" w:name="page46"/>
    <w:bookmarkEnd w:id="45"/>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p>
      <w:pPr>
        <w:spacing w:after="0" w:line="217" w:lineRule="exact"/>
        <w:rPr>
          <w:sz w:val="20"/>
          <w:szCs w:val="20"/>
          <w:color w:val="auto"/>
        </w:rPr>
      </w:pPr>
    </w:p>
    <w:p>
      <w:pPr>
        <w:ind w:left="80"/>
        <w:spacing w:after="0"/>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w:t>
      </w:r>
      <w:r>
        <w:rPr>
          <w:sz w:val="20"/>
          <w:szCs w:val="20"/>
          <w:color w:val="auto"/>
        </w:rPr>
        <w:tab/>
      </w:r>
      <w:hyperlink r:id="rId79">
        <w:r>
          <w:rPr>
            <w:rFonts w:ascii="Times New Roman" w:cs="Times New Roman" w:eastAsia="Times New Roman" w:hAnsi="Times New Roman"/>
            <w:sz w:val="14"/>
            <w:szCs w:val="14"/>
            <w:u w:val="single" w:color="auto"/>
            <w:color w:val="0000EE"/>
          </w:rPr>
          <w:t>Articles of Incorporation (Incorporated by reference to Exhibit 99(a) to the Registrant’s Pre-Effective Amendment No. 3 to the Registration Statement on Form N-2/A (File No. 333-</w:t>
        </w:r>
      </w:hyperlink>
    </w:p>
    <w:p>
      <w:pPr>
        <w:spacing w:after="0" w:line="4" w:lineRule="exact"/>
        <w:rPr>
          <w:sz w:val="20"/>
          <w:szCs w:val="20"/>
          <w:color w:val="auto"/>
        </w:rPr>
      </w:pPr>
    </w:p>
    <w:p>
      <w:pPr>
        <w:ind w:left="500"/>
        <w:spacing w:after="0"/>
        <w:rPr>
          <w:rFonts w:ascii="Times New Roman" w:cs="Times New Roman" w:eastAsia="Times New Roman" w:hAnsi="Times New Roman"/>
          <w:sz w:val="14"/>
          <w:szCs w:val="14"/>
          <w:u w:val="single" w:color="auto"/>
          <w:color w:val="0000EE"/>
        </w:rPr>
      </w:pPr>
      <w:hyperlink r:id="rId79">
        <w:r>
          <w:rPr>
            <w:rFonts w:ascii="Times New Roman" w:cs="Times New Roman" w:eastAsia="Times New Roman" w:hAnsi="Times New Roman"/>
            <w:sz w:val="14"/>
            <w:szCs w:val="14"/>
            <w:u w:val="single" w:color="auto"/>
            <w:color w:val="0000EE"/>
          </w:rPr>
          <w:t>140092), filed on April 5, 2007).</w:t>
        </w:r>
      </w:hyperlink>
    </w:p>
    <w:p>
      <w:pPr>
        <w:spacing w:after="0" w:line="93" w:lineRule="exact"/>
        <w:rPr>
          <w:sz w:val="20"/>
          <w:szCs w:val="20"/>
          <w:color w:val="auto"/>
        </w:rPr>
      </w:pPr>
    </w:p>
    <w:p>
      <w:pPr>
        <w:ind w:left="500" w:right="960" w:hanging="413"/>
        <w:spacing w:after="0" w:line="261" w:lineRule="auto"/>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w:t>
      </w:r>
      <w:r>
        <w:rPr>
          <w:sz w:val="20"/>
          <w:szCs w:val="20"/>
          <w:color w:val="auto"/>
        </w:rPr>
        <w:tab/>
      </w:r>
      <w:hyperlink r:id="rId80">
        <w:r>
          <w:rPr>
            <w:rFonts w:ascii="Times New Roman" w:cs="Times New Roman" w:eastAsia="Times New Roman" w:hAnsi="Times New Roman"/>
            <w:sz w:val="14"/>
            <w:szCs w:val="14"/>
            <w:u w:val="single" w:color="auto"/>
            <w:color w:val="0000EE"/>
          </w:rPr>
          <w:t>Amended and Restated Bylaws of the Registrant (Incorporated by reference to Exhibit 3.1 to the Registrant’s Current Report on Form 8-K (File No. 814-00736), filed on</w:t>
        </w:r>
      </w:hyperlink>
      <w:r>
        <w:rPr>
          <w:rFonts w:ascii="Times New Roman" w:cs="Times New Roman" w:eastAsia="Times New Roman" w:hAnsi="Times New Roman"/>
          <w:sz w:val="14"/>
          <w:szCs w:val="14"/>
          <w:u w:val="single" w:color="auto"/>
          <w:color w:val="0000EE"/>
        </w:rPr>
        <w:t xml:space="preserve"> </w:t>
      </w:r>
      <w:hyperlink r:id="rId80">
        <w:r>
          <w:rPr>
            <w:rFonts w:ascii="Times New Roman" w:cs="Times New Roman" w:eastAsia="Times New Roman" w:hAnsi="Times New Roman"/>
            <w:sz w:val="14"/>
            <w:szCs w:val="14"/>
            <w:u w:val="single" w:color="auto"/>
            <w:color w:val="0000EE"/>
          </w:rPr>
          <w:t>December 2, 2015).</w:t>
        </w:r>
      </w:hyperlink>
    </w:p>
    <w:p>
      <w:pPr>
        <w:spacing w:after="0" w:line="68" w:lineRule="exact"/>
        <w:rPr>
          <w:sz w:val="20"/>
          <w:szCs w:val="20"/>
          <w:color w:val="auto"/>
        </w:rPr>
      </w:pPr>
    </w:p>
    <w:p>
      <w:pPr>
        <w:ind w:left="80"/>
        <w:spacing w:after="0"/>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sz w:val="20"/>
          <w:szCs w:val="20"/>
          <w:color w:val="auto"/>
        </w:rPr>
        <w:tab/>
      </w:r>
      <w:hyperlink r:id="rId81">
        <w:r>
          <w:rPr>
            <w:rFonts w:ascii="Times New Roman" w:cs="Times New Roman" w:eastAsia="Times New Roman" w:hAnsi="Times New Roman"/>
            <w:sz w:val="14"/>
            <w:szCs w:val="14"/>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ind w:left="500" w:hanging="485"/>
        <w:spacing w:after="0" w:line="233" w:lineRule="auto"/>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w:t>
      </w:r>
      <w:r>
        <w:rPr>
          <w:sz w:val="20"/>
          <w:szCs w:val="20"/>
          <w:color w:val="auto"/>
        </w:rPr>
        <w:tab/>
      </w:r>
      <w:hyperlink r:id="rId82">
        <w:r>
          <w:rPr>
            <w:rFonts w:ascii="Times New Roman" w:cs="Times New Roman" w:eastAsia="Times New Roman" w:hAnsi="Times New Roman"/>
            <w:sz w:val="14"/>
            <w:szCs w:val="14"/>
            <w:u w:val="single" w:color="auto"/>
            <w:color w:val="0000EE"/>
          </w:rPr>
          <w:t>First Amendment to the Amended and Restated Limited Liability Company Agreement of PennantPark Senior Loan Fund, LLC, dated as of October 31, 2020, by and among</w:t>
        </w:r>
      </w:hyperlink>
      <w:r>
        <w:rPr>
          <w:rFonts w:ascii="Times New Roman" w:cs="Times New Roman" w:eastAsia="Times New Roman" w:hAnsi="Times New Roman"/>
          <w:sz w:val="14"/>
          <w:szCs w:val="14"/>
          <w:u w:val="single" w:color="auto"/>
          <w:color w:val="0000EE"/>
        </w:rPr>
        <w:t xml:space="preserve"> </w:t>
      </w:r>
      <w:hyperlink r:id="rId82">
        <w:r>
          <w:rPr>
            <w:rFonts w:ascii="Times New Roman" w:cs="Times New Roman" w:eastAsia="Times New Roman" w:hAnsi="Times New Roman"/>
            <w:sz w:val="14"/>
            <w:szCs w:val="14"/>
            <w:u w:val="single" w:color="auto"/>
            <w:color w:val="0000EE"/>
          </w:rPr>
          <w:t>PennantPark Investment Corporation, Pantheon Private Debt Program SCSp SICAV – RAIF In Respect Of Its Compartment Pantheon Senior Debt Secondaries II (USD), Pantheon</w:t>
        </w:r>
      </w:hyperlink>
      <w:r>
        <w:rPr>
          <w:rFonts w:ascii="Times New Roman" w:cs="Times New Roman" w:eastAsia="Times New Roman" w:hAnsi="Times New Roman"/>
          <w:sz w:val="14"/>
          <w:szCs w:val="14"/>
          <w:u w:val="single" w:color="auto"/>
          <w:color w:val="0000EE"/>
        </w:rPr>
        <w:t xml:space="preserve"> </w:t>
      </w:r>
      <w:hyperlink r:id="rId82">
        <w:r>
          <w:rPr>
            <w:rFonts w:ascii="Times New Roman" w:cs="Times New Roman" w:eastAsia="Times New Roman" w:hAnsi="Times New Roman"/>
            <w:sz w:val="14"/>
            <w:szCs w:val="14"/>
            <w:u w:val="single" w:color="auto"/>
            <w:color w:val="0000EE"/>
          </w:rPr>
          <w:t>Private Debt Program SCSp SICAV-RAIF In Respect Of Its Compartment Pantheon Credit Opportunities II (USD), Pantheon Private Debt Program SCSp SICAV-RAIF In Respect Of Its</w:t>
        </w:r>
      </w:hyperlink>
      <w:r>
        <w:rPr>
          <w:rFonts w:ascii="Times New Roman" w:cs="Times New Roman" w:eastAsia="Times New Roman" w:hAnsi="Times New Roman"/>
          <w:sz w:val="14"/>
          <w:szCs w:val="14"/>
          <w:u w:val="single" w:color="auto"/>
          <w:color w:val="0000EE"/>
        </w:rPr>
        <w:t xml:space="preserve"> </w:t>
      </w:r>
      <w:hyperlink r:id="rId82">
        <w:r>
          <w:rPr>
            <w:rFonts w:ascii="Times New Roman" w:cs="Times New Roman" w:eastAsia="Times New Roman" w:hAnsi="Times New Roman"/>
            <w:sz w:val="14"/>
            <w:szCs w:val="14"/>
            <w:u w:val="single" w:color="auto"/>
            <w:color w:val="0000EE"/>
          </w:rPr>
          <w:t>Compartment Tubera Credit 2020 and Solutio Premium Private Debt I SCSp. (Incorporated by reference to Exhibit 10.12 to the Registrant’s Annual Report on Form 10-K (File No. 814-</w:t>
        </w:r>
      </w:hyperlink>
      <w:hyperlink r:id="rId82">
        <w:r>
          <w:rPr>
            <w:rFonts w:ascii="Times New Roman" w:cs="Times New Roman" w:eastAsia="Times New Roman" w:hAnsi="Times New Roman"/>
            <w:sz w:val="14"/>
            <w:szCs w:val="14"/>
            <w:u w:val="single" w:color="auto"/>
            <w:color w:val="0000EE"/>
          </w:rPr>
          <w:t>00736), filed on November 19, 2020).</w:t>
        </w:r>
      </w:hyperlink>
    </w:p>
    <w:p>
      <w:pPr>
        <w:spacing w:after="0" w:line="83" w:lineRule="exact"/>
        <w:rPr>
          <w:rFonts w:ascii="Times New Roman" w:cs="Times New Roman" w:eastAsia="Times New Roman" w:hAnsi="Times New Roman"/>
          <w:sz w:val="14"/>
          <w:szCs w:val="14"/>
          <w:u w:val="single" w:color="auto"/>
          <w:color w:val="0000EE"/>
        </w:rPr>
      </w:pPr>
    </w:p>
    <w:p>
      <w:pPr>
        <w:spacing w:after="0"/>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31.1*</w:t>
      </w:r>
      <w:r>
        <w:rPr>
          <w:sz w:val="20"/>
          <w:szCs w:val="20"/>
          <w:color w:val="auto"/>
        </w:rPr>
        <w:tab/>
      </w:r>
      <w:hyperlink w:anchor="page48">
        <w:r>
          <w:rPr>
            <w:rFonts w:ascii="Times New Roman" w:cs="Times New Roman" w:eastAsia="Times New Roman" w:hAnsi="Times New Roman"/>
            <w:sz w:val="14"/>
            <w:szCs w:val="14"/>
            <w:u w:val="single" w:color="auto"/>
            <w:color w:val="0000EE"/>
          </w:rPr>
          <w:t>Certification of Chief Executive Officer pursuant to Rule 13a-14 of the Securities Exchange Act of 1934, as amended.</w:t>
        </w:r>
      </w:hyperlink>
    </w:p>
    <w:p>
      <w:pPr>
        <w:spacing w:after="0" w:line="109" w:lineRule="exact"/>
        <w:rPr>
          <w:rFonts w:ascii="Times New Roman" w:cs="Times New Roman" w:eastAsia="Times New Roman" w:hAnsi="Times New Roman"/>
          <w:sz w:val="14"/>
          <w:szCs w:val="14"/>
          <w:u w:val="single" w:color="auto"/>
          <w:color w:val="0000EE"/>
        </w:rPr>
      </w:pPr>
    </w:p>
    <w:p>
      <w:pPr>
        <w:spacing w:after="0"/>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31.2*</w:t>
      </w:r>
      <w:r>
        <w:rPr>
          <w:sz w:val="20"/>
          <w:szCs w:val="20"/>
          <w:color w:val="auto"/>
        </w:rPr>
        <w:tab/>
      </w:r>
      <w:hyperlink w:anchor="page49">
        <w:r>
          <w:rPr>
            <w:rFonts w:ascii="Times New Roman" w:cs="Times New Roman" w:eastAsia="Times New Roman" w:hAnsi="Times New Roman"/>
            <w:sz w:val="14"/>
            <w:szCs w:val="14"/>
            <w:u w:val="single" w:color="auto"/>
            <w:color w:val="0000EE"/>
          </w:rPr>
          <w:t>Certification of Chief Financial Officer pursuant to Rule 13a-14 of the Securities Exchange Act of 1934, as amended.</w:t>
        </w:r>
      </w:hyperlink>
    </w:p>
    <w:p>
      <w:pPr>
        <w:spacing w:after="0" w:line="109" w:lineRule="exact"/>
        <w:rPr>
          <w:rFonts w:ascii="Times New Roman" w:cs="Times New Roman" w:eastAsia="Times New Roman" w:hAnsi="Times New Roman"/>
          <w:sz w:val="14"/>
          <w:szCs w:val="14"/>
          <w:u w:val="single" w:color="auto"/>
          <w:color w:val="0000EE"/>
        </w:rPr>
      </w:pPr>
    </w:p>
    <w:p>
      <w:pPr>
        <w:spacing w:after="0"/>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32.1*</w:t>
      </w:r>
      <w:r>
        <w:rPr>
          <w:sz w:val="20"/>
          <w:szCs w:val="20"/>
          <w:color w:val="auto"/>
        </w:rPr>
        <w:tab/>
      </w:r>
      <w:hyperlink w:anchor="page50">
        <w:r>
          <w:rPr>
            <w:rFonts w:ascii="Times New Roman" w:cs="Times New Roman" w:eastAsia="Times New Roman" w:hAnsi="Times New Roman"/>
            <w:sz w:val="14"/>
            <w:szCs w:val="14"/>
            <w:u w:val="single" w:color="auto"/>
            <w:color w:val="0000EE"/>
          </w:rPr>
          <w:t>Certification of Chief Executive Officer pursuant to Section 906 of the Sarbanes-Oxley Act of 2002.</w:t>
        </w:r>
      </w:hyperlink>
    </w:p>
    <w:p>
      <w:pPr>
        <w:spacing w:after="0" w:line="109" w:lineRule="exact"/>
        <w:rPr>
          <w:rFonts w:ascii="Times New Roman" w:cs="Times New Roman" w:eastAsia="Times New Roman" w:hAnsi="Times New Roman"/>
          <w:sz w:val="14"/>
          <w:szCs w:val="14"/>
          <w:u w:val="single" w:color="auto"/>
          <w:color w:val="0000EE"/>
        </w:rPr>
      </w:pPr>
    </w:p>
    <w:p>
      <w:pPr>
        <w:spacing w:after="0"/>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32.2*</w:t>
      </w:r>
      <w:r>
        <w:rPr>
          <w:sz w:val="20"/>
          <w:szCs w:val="20"/>
          <w:color w:val="auto"/>
        </w:rPr>
        <w:tab/>
      </w:r>
      <w:hyperlink w:anchor="page51">
        <w:r>
          <w:rPr>
            <w:rFonts w:ascii="Times New Roman" w:cs="Times New Roman" w:eastAsia="Times New Roman" w:hAnsi="Times New Roman"/>
            <w:sz w:val="14"/>
            <w:szCs w:val="14"/>
            <w:u w:val="single" w:color="auto"/>
            <w:color w:val="0000EE"/>
          </w:rPr>
          <w:t>Certification of Chief Financial Officer pursuant to Section 906 of the Sarbanes-Oxley Act of 2002.</w:t>
        </w:r>
      </w:hyperlink>
    </w:p>
    <w:p>
      <w:pPr>
        <w:spacing w:after="0" w:line="109" w:lineRule="exact"/>
        <w:rPr>
          <w:rFonts w:ascii="Times New Roman" w:cs="Times New Roman" w:eastAsia="Times New Roman" w:hAnsi="Times New Roman"/>
          <w:sz w:val="14"/>
          <w:szCs w:val="14"/>
          <w:u w:val="single" w:color="auto"/>
          <w:color w:val="0000EE"/>
        </w:rPr>
      </w:pPr>
    </w:p>
    <w:p>
      <w:pPr>
        <w:spacing w:after="0"/>
        <w:tabs>
          <w:tab w:leader="none" w:pos="4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99.1</w:t>
      </w:r>
      <w:r>
        <w:rPr>
          <w:sz w:val="20"/>
          <w:szCs w:val="20"/>
          <w:color w:val="auto"/>
        </w:rPr>
        <w:tab/>
      </w:r>
      <w:hyperlink r:id="rId83">
        <w:r>
          <w:rPr>
            <w:rFonts w:ascii="Times New Roman" w:cs="Times New Roman" w:eastAsia="Times New Roman" w:hAnsi="Times New Roman"/>
            <w:sz w:val="14"/>
            <w:szCs w:val="14"/>
            <w:u w:val="single" w:color="auto"/>
            <w:color w:val="0000EE"/>
          </w:rPr>
          <w:t>Privacy Policy of the Registrant (Incorporated by reference to Exhibit 99.1 to the Registrant’s Annual Report on Form 10-K (File No. 814-00736), filed on November 16, 2011)</w:t>
        </w:r>
        <w:r>
          <w:rPr>
            <w:rFonts w:ascii="Times New Roman" w:cs="Times New Roman" w:eastAsia="Times New Roman" w:hAnsi="Times New Roman"/>
            <w:sz w:val="14"/>
            <w:szCs w:val="14"/>
            <w:color w:val="0000EE"/>
          </w:rPr>
          <w:t>.</w:t>
        </w:r>
      </w:hyperlink>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3455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57" w:lineRule="exact"/>
        <w:rPr>
          <w:rFonts w:ascii="Times New Roman" w:cs="Times New Roman" w:eastAsia="Times New Roman" w:hAnsi="Times New Roman"/>
          <w:sz w:val="14"/>
          <w:szCs w:val="14"/>
          <w:u w:val="single" w:color="auto"/>
          <w:color w:val="0000EE"/>
        </w:rPr>
      </w:pPr>
    </w:p>
    <w:p>
      <w:pPr>
        <w:ind w:left="380" w:hanging="372"/>
        <w:spacing w:after="0"/>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52"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pacing w:after="0" w:line="249" w:lineRule="exact"/>
        <w:rPr>
          <w:sz w:val="20"/>
          <w:szCs w:val="20"/>
          <w:color w:val="auto"/>
        </w:rPr>
      </w:pPr>
    </w:p>
    <w:p>
      <w:pPr>
        <w:ind w:right="300" w:firstLine="438"/>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PENNANTPARK INVESTMENT CORPORATION</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9, 2021</w:t>
            </w:r>
          </w:p>
        </w:tc>
        <w:tc>
          <w:tcPr>
            <w:tcW w:w="268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color w:val="auto"/>
              </w:rPr>
              <w:t>By:</w:t>
            </w: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Arthur H. Penn</w:t>
            </w:r>
          </w:p>
        </w:tc>
        <w:tc>
          <w:tcPr>
            <w:tcW w:w="0" w:type="dxa"/>
            <w:vAlign w:val="bottom"/>
          </w:tcPr>
          <w:p>
            <w:pPr>
              <w:spacing w:after="0"/>
              <w:rPr>
                <w:sz w:val="1"/>
                <w:szCs w:val="1"/>
                <w:color w:val="auto"/>
              </w:rPr>
            </w:pPr>
          </w:p>
        </w:tc>
      </w:tr>
      <w:tr>
        <w:trPr>
          <w:trHeight w:val="69"/>
        </w:trPr>
        <w:tc>
          <w:tcPr>
            <w:tcW w:w="344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5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Arthur H. Penn</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9, 2021</w:t>
            </w:r>
          </w:p>
        </w:tc>
        <w:tc>
          <w:tcPr>
            <w:tcW w:w="268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color w:val="auto"/>
              </w:rPr>
              <w:t>By:</w:t>
            </w: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 Aviv Efrat</w:t>
            </w:r>
          </w:p>
        </w:tc>
        <w:tc>
          <w:tcPr>
            <w:tcW w:w="0" w:type="dxa"/>
            <w:vAlign w:val="bottom"/>
          </w:tcPr>
          <w:p>
            <w:pPr>
              <w:spacing w:after="0"/>
              <w:rPr>
                <w:sz w:val="1"/>
                <w:szCs w:val="1"/>
                <w:color w:val="auto"/>
              </w:rPr>
            </w:pPr>
          </w:p>
        </w:tc>
      </w:tr>
      <w:tr>
        <w:trPr>
          <w:trHeight w:val="69"/>
        </w:trPr>
        <w:tc>
          <w:tcPr>
            <w:tcW w:w="344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5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Aviv Efrat</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tc>
        <w:tc>
          <w:tcPr>
            <w:tcW w:w="0" w:type="dxa"/>
            <w:vAlign w:val="bottom"/>
          </w:tcPr>
          <w:p>
            <w:pPr>
              <w:spacing w:after="0"/>
              <w:rPr>
                <w:sz w:val="1"/>
                <w:szCs w:val="1"/>
                <w:color w:val="auto"/>
              </w:rPr>
            </w:pPr>
          </w:p>
        </w:tc>
      </w:tr>
      <w:tr>
        <w:trPr>
          <w:trHeight w:val="743"/>
        </w:trPr>
        <w:tc>
          <w:tcPr>
            <w:tcW w:w="3440" w:type="dxa"/>
            <w:vAlign w:val="bottom"/>
          </w:tcPr>
          <w:p>
            <w:pPr>
              <w:spacing w:after="0"/>
              <w:rPr>
                <w:sz w:val="24"/>
                <w:szCs w:val="24"/>
                <w:color w:val="auto"/>
              </w:rPr>
            </w:pPr>
          </w:p>
        </w:tc>
        <w:tc>
          <w:tcPr>
            <w:tcW w:w="26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47</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7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36" w:lineRule="exact"/>
        <w:rPr>
          <w:rFonts w:ascii="Times New Roman" w:cs="Times New Roman" w:eastAsia="Times New Roman" w:hAnsi="Times New Roman"/>
          <w:sz w:val="14"/>
          <w:szCs w:val="14"/>
          <w:color w:val="auto"/>
        </w:rPr>
      </w:pPr>
    </w:p>
    <w:p>
      <w:pPr>
        <w:ind w:right="480" w:firstLine="441"/>
        <w:spacing w:after="0" w:line="261" w:lineRule="auto"/>
        <w:tabs>
          <w:tab w:leader="none" w:pos="57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right="580" w:firstLine="448"/>
        <w:spacing w:after="0" w:line="261" w:lineRule="auto"/>
        <w:tabs>
          <w:tab w:leader="none" w:pos="58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right="200" w:firstLine="455"/>
        <w:spacing w:after="0" w:line="261" w:lineRule="auto"/>
        <w:tabs>
          <w:tab w:leader="none" w:pos="591"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ind w:right="440" w:firstLine="695"/>
        <w:spacing w:after="0" w:line="261" w:lineRule="auto"/>
        <w:tabs>
          <w:tab w:leader="none" w:pos="832"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4"/>
          <w:szCs w:val="14"/>
          <w:color w:val="auto"/>
        </w:rPr>
      </w:pPr>
    </w:p>
    <w:p>
      <w:pPr>
        <w:ind w:right="620" w:firstLine="692"/>
        <w:spacing w:after="0" w:line="261" w:lineRule="auto"/>
        <w:tabs>
          <w:tab w:leader="none" w:pos="838"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4"/>
          <w:szCs w:val="14"/>
          <w:color w:val="auto"/>
        </w:rPr>
      </w:pPr>
    </w:p>
    <w:p>
      <w:pPr>
        <w:ind w:right="340" w:firstLine="719"/>
        <w:spacing w:after="0" w:line="261" w:lineRule="auto"/>
        <w:tabs>
          <w:tab w:leader="none" w:pos="856" w:val="left"/>
        </w:tabs>
        <w:numPr>
          <w:ilvl w:val="3"/>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right="480" w:firstLine="705"/>
        <w:spacing w:after="0" w:line="261" w:lineRule="auto"/>
        <w:tabs>
          <w:tab w:leader="none" w:pos="850" w:val="left"/>
        </w:tabs>
        <w:numPr>
          <w:ilvl w:val="3"/>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right="380" w:firstLine="447"/>
        <w:spacing w:after="0" w:line="261" w:lineRule="auto"/>
        <w:tabs>
          <w:tab w:leader="none" w:pos="58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right="100" w:firstLine="719"/>
        <w:spacing w:after="0" w:line="261" w:lineRule="auto"/>
        <w:tabs>
          <w:tab w:leader="none" w:pos="856" w:val="left"/>
        </w:tabs>
        <w:numPr>
          <w:ilvl w:val="3"/>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left="860" w:hanging="161"/>
        <w:spacing w:after="0"/>
        <w:tabs>
          <w:tab w:leader="none" w:pos="860" w:val="left"/>
        </w:tabs>
        <w:numPr>
          <w:ilvl w:val="3"/>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February 9,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Arthur H. Penn</w:t>
            </w: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40"/>
          </w:cols>
          <w:pgMar w:left="320" w:top="11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Aviv Efrat, Chief Financial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36" w:lineRule="exact"/>
        <w:rPr>
          <w:rFonts w:ascii="Times New Roman" w:cs="Times New Roman" w:eastAsia="Times New Roman" w:hAnsi="Times New Roman"/>
          <w:sz w:val="14"/>
          <w:szCs w:val="14"/>
          <w:color w:val="auto"/>
        </w:rPr>
      </w:pPr>
    </w:p>
    <w:p>
      <w:pPr>
        <w:ind w:right="480" w:firstLine="441"/>
        <w:spacing w:after="0" w:line="261" w:lineRule="auto"/>
        <w:tabs>
          <w:tab w:leader="none" w:pos="57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right="580" w:firstLine="448"/>
        <w:spacing w:after="0" w:line="261" w:lineRule="auto"/>
        <w:tabs>
          <w:tab w:leader="none" w:pos="58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left="580" w:hanging="139"/>
        <w:spacing w:after="0"/>
        <w:tabs>
          <w:tab w:leader="none" w:pos="5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14"/>
          <w:szCs w:val="14"/>
          <w:color w:val="auto"/>
        </w:rPr>
      </w:pPr>
    </w:p>
    <w:p>
      <w:pPr>
        <w:ind w:right="440" w:firstLine="695"/>
        <w:spacing w:after="0" w:line="261" w:lineRule="auto"/>
        <w:tabs>
          <w:tab w:leader="none" w:pos="832"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4"/>
          <w:szCs w:val="14"/>
          <w:color w:val="auto"/>
        </w:rPr>
      </w:pPr>
    </w:p>
    <w:p>
      <w:pPr>
        <w:ind w:right="620" w:firstLine="692"/>
        <w:spacing w:after="0" w:line="261" w:lineRule="auto"/>
        <w:tabs>
          <w:tab w:leader="none" w:pos="838"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4"/>
          <w:szCs w:val="14"/>
          <w:color w:val="auto"/>
        </w:rPr>
      </w:pPr>
    </w:p>
    <w:p>
      <w:pPr>
        <w:ind w:right="340" w:firstLine="719"/>
        <w:spacing w:after="0" w:line="261" w:lineRule="auto"/>
        <w:tabs>
          <w:tab w:leader="none" w:pos="856" w:val="left"/>
        </w:tabs>
        <w:numPr>
          <w:ilvl w:val="3"/>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right="480" w:firstLine="705"/>
        <w:spacing w:after="0" w:line="261" w:lineRule="auto"/>
        <w:tabs>
          <w:tab w:leader="none" w:pos="850" w:val="left"/>
        </w:tabs>
        <w:numPr>
          <w:ilvl w:val="3"/>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right="380" w:firstLine="447"/>
        <w:spacing w:after="0" w:line="261" w:lineRule="auto"/>
        <w:tabs>
          <w:tab w:leader="none" w:pos="583"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right="100" w:firstLine="719"/>
        <w:spacing w:after="0" w:line="261" w:lineRule="auto"/>
        <w:tabs>
          <w:tab w:leader="none" w:pos="856" w:val="left"/>
        </w:tabs>
        <w:numPr>
          <w:ilvl w:val="3"/>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left="860" w:hanging="161"/>
        <w:spacing w:after="0"/>
        <w:tabs>
          <w:tab w:leader="none" w:pos="860" w:val="left"/>
        </w:tabs>
        <w:numPr>
          <w:ilvl w:val="3"/>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February 9,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Aviv Efrat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Aviv Efrat</w:t>
            </w: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40"/>
          </w:cols>
          <w:pgMar w:left="320" w:top="11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2020 (the “Report”) of PennantPark Investment Corporation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Arthur H. Penn, Chief Executive Officer of the Registrant, hereby certify, to the best of my knowledge, that:</w:t>
      </w:r>
    </w:p>
    <w:p>
      <w:pPr>
        <w:spacing w:after="0" w:line="120" w:lineRule="exact"/>
        <w:rPr>
          <w:sz w:val="20"/>
          <w:szCs w:val="20"/>
          <w:color w:val="auto"/>
        </w:rPr>
      </w:pPr>
    </w:p>
    <w:p>
      <w:pPr>
        <w:ind w:left="780" w:hanging="305"/>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36" w:lineRule="exact"/>
        <w:rPr>
          <w:rFonts w:ascii="Times New Roman" w:cs="Times New Roman" w:eastAsia="Times New Roman" w:hAnsi="Times New Roman"/>
          <w:sz w:val="14"/>
          <w:szCs w:val="14"/>
          <w:color w:val="auto"/>
        </w:rPr>
      </w:pPr>
    </w:p>
    <w:p>
      <w:pPr>
        <w:ind w:left="780" w:hanging="305"/>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Arthur H. Penn</w:t>
      </w:r>
    </w:p>
    <w:p>
      <w:pPr>
        <w:sectPr>
          <w:pgSz w:w="11900" w:h="16838" w:orient="portrait"/>
          <w:cols w:equalWidth="0" w:num="1">
            <w:col w:w="11240"/>
          </w:cols>
          <w:pgMar w:left="320" w:top="114"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 w:lineRule="exact"/>
        <w:rPr>
          <w:sz w:val="20"/>
          <w:szCs w:val="20"/>
          <w:color w:val="auto"/>
        </w:rPr>
      </w:pPr>
    </w:p>
    <w:p>
      <w:pPr>
        <w:sectPr>
          <w:pgSz w:w="11900" w:h="16838" w:orient="portrait"/>
          <w:cols w:equalWidth="0" w:num="2">
            <w:col w:w="320" w:space="260"/>
            <w:col w:w="1066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February 9, 2021</w:t>
      </w:r>
    </w:p>
    <w:p>
      <w:pPr>
        <w:sectPr>
          <w:pgSz w:w="11900" w:h="16838" w:orient="portrait"/>
          <w:cols w:equalWidth="0" w:num="2">
            <w:col w:w="320" w:space="260"/>
            <w:col w:w="10660"/>
          </w:cols>
          <w:pgMar w:left="320" w:top="114" w:right="3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2020 (the “Report”) of PennantPark Investment Corporation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Aviv Efrat, Chief Financial Officer of the Registrant, hereby certify, to the best of my knowledge, that:</w:t>
      </w:r>
    </w:p>
    <w:p>
      <w:pPr>
        <w:spacing w:after="0" w:line="120" w:lineRule="exact"/>
        <w:rPr>
          <w:sz w:val="20"/>
          <w:szCs w:val="20"/>
          <w:color w:val="auto"/>
        </w:rPr>
      </w:pPr>
    </w:p>
    <w:p>
      <w:pPr>
        <w:ind w:left="780" w:hanging="305"/>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36" w:lineRule="exact"/>
        <w:rPr>
          <w:rFonts w:ascii="Times New Roman" w:cs="Times New Roman" w:eastAsia="Times New Roman" w:hAnsi="Times New Roman"/>
          <w:sz w:val="14"/>
          <w:szCs w:val="14"/>
          <w:color w:val="auto"/>
        </w:rPr>
      </w:pPr>
    </w:p>
    <w:p>
      <w:pPr>
        <w:ind w:left="780" w:hanging="305"/>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Aviv Efrat</w:t>
      </w:r>
    </w:p>
    <w:p>
      <w:pPr>
        <w:sectPr>
          <w:pgSz w:w="11900" w:h="16838" w:orient="portrait"/>
          <w:cols w:equalWidth="0" w:num="1">
            <w:col w:w="11240"/>
          </w:cols>
          <w:pgMar w:left="320" w:top="114"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 w:lineRule="exact"/>
        <w:rPr>
          <w:sz w:val="20"/>
          <w:szCs w:val="20"/>
          <w:color w:val="auto"/>
        </w:rPr>
      </w:pPr>
    </w:p>
    <w:p>
      <w:pPr>
        <w:sectPr>
          <w:pgSz w:w="11900" w:h="16838" w:orient="portrait"/>
          <w:cols w:equalWidth="0" w:num="2">
            <w:col w:w="320" w:space="260"/>
            <w:col w:w="1066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February 9, 2021</w:t>
      </w:r>
    </w:p>
    <w:sectPr>
      <w:pgSz w:w="11900" w:h="16838" w:orient="portrait"/>
      <w:cols w:equalWidth="0" w:num="2">
        <w:col w:w="320" w:space="260"/>
        <w:col w:w="10660"/>
      </w:cols>
      <w:pgMar w:left="320" w:top="11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4"/>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7"/>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lowerLetter"/>
      <w:start w:val="2"/>
    </w:lvl>
  </w:abstractNum>
  <w:abstractNum w:abstractNumId="10">
    <w:nsid w:val="737B8DDC"/>
    <w:multiLevelType w:val="hybridMultilevel"/>
    <w:lvl w:ilvl="0">
      <w:lvlJc w:val="left"/>
      <w:lvlText w:val="(%1)"/>
      <w:numFmt w:val="lowerLetter"/>
      <w:start w:val="3"/>
    </w:lvl>
  </w:abstractNum>
  <w:abstractNum w:abstractNumId="11">
    <w:nsid w:val="6CEAF087"/>
    <w:multiLevelType w:val="hybridMultilevel"/>
    <w:lvl w:ilvl="0">
      <w:lvlJc w:val="left"/>
      <w:lvlText w:val="(%1)"/>
      <w:numFmt w:val="lowerLetter"/>
      <w:start w:val="4"/>
    </w:lvl>
  </w:abstractNum>
  <w:abstractNum w:abstractNumId="12">
    <w:nsid w:val="22221A70"/>
    <w:multiLevelType w:val="hybridMultilevel"/>
    <w:lvl w:ilvl="0">
      <w:lvlJc w:val="left"/>
      <w:lvlText w:val="(%1)"/>
      <w:numFmt w:val="lowerLetter"/>
      <w:start w:val="5"/>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lowerLetter"/>
      <w:start w:val="6"/>
    </w:lvl>
  </w:abstractNum>
  <w:abstractNum w:abstractNumId="15">
    <w:nsid w:val="614FD4A1"/>
    <w:multiLevelType w:val="hybridMultilevel"/>
    <w:lvl w:ilvl="0">
      <w:lvlJc w:val="left"/>
      <w:lvlText w:val="(%1)"/>
      <w:numFmt w:val="lowerLetter"/>
      <w:start w:val="7"/>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2"/>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5">
    <w:nsid w:val="684A481A"/>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46">
    <w:nsid w:val="579478F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7">
    <w:nsid w:val="749ABB4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8">
    <w:nsid w:val="3DC240FB"/>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49">
    <w:nsid w:val="1BA026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79" Type="http://schemas.openxmlformats.org/officeDocument/2006/relationships/hyperlink" Target="http://www.sec.gov/Archives/edgar/data/1383414/000119312507075646/dex99a.htm" TargetMode="External"/><Relationship Id="rId80" Type="http://schemas.openxmlformats.org/officeDocument/2006/relationships/hyperlink" Target="http://www.sec.gov/Archives/edgar/data/1383414/000119312515393210/d59522dex31.htm" TargetMode="External"/><Relationship Id="rId81" Type="http://schemas.openxmlformats.org/officeDocument/2006/relationships/hyperlink" Target="http://www.sec.gov/Archives/edgar/data/1383414/000119312508072557/dex99d1.htm" TargetMode="External"/><Relationship Id="rId82" Type="http://schemas.openxmlformats.org/officeDocument/2006/relationships/hyperlink" Target="http://www.sec.gov/Archives/edgar/data/1383414/000156459020054639/pnnt-ex1012_753.htm" TargetMode="External"/><Relationship Id="rId83"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2021-02-09T15:23:15Z</dcterms:created>
  <dcterms:modified xsi:type="dcterms:W3CDTF">2021-02-09T15:23:15Z</dcterms:modified>
</cp:coreProperties>
</file>