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12,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November 12, 2014, PennantPark Investment Corporation issued a press release announcing financial results for the fourth quarter and fiscal year ended September 30, 2014.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November 12,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12, 2014</w:t>
            </w:r>
          </w:p>
        </w:tc>
        <w:tc>
          <w:tcPr>
            <w:tcW w:w="6460" w:type="dxa"/>
            <w:vAlign w:val="bottom"/>
            <w:gridSpan w:val="3"/>
          </w:tcPr>
          <w:p>
            <w:pPr>
              <w:ind w:left="16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80" w:type="dxa"/>
            <w:vAlign w:val="bottom"/>
          </w:tcPr>
          <w:p>
            <w:pPr>
              <w:spacing w:after="0"/>
              <w:rPr>
                <w:sz w:val="24"/>
                <w:szCs w:val="24"/>
                <w:color w:val="auto"/>
              </w:rPr>
            </w:pPr>
          </w:p>
        </w:tc>
        <w:tc>
          <w:tcPr>
            <w:tcW w:w="646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46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46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November 12,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8" w:right="559" w:bottom="1440" w:gutter="0" w:footer="0" w:header="0"/>
        </w:sectPr>
      </w:pPr>
    </w:p>
    <w:bookmarkStart w:id="2" w:name="page3"/>
    <w:bookmarkEnd w:id="2"/>
    <w:p>
      <w:pPr>
        <w:ind w:right="640"/>
        <w:spacing w:after="0" w:line="257" w:lineRule="auto"/>
        <w:rPr>
          <w:sz w:val="20"/>
          <w:szCs w:val="20"/>
          <w:color w:val="auto"/>
        </w:rPr>
      </w:pPr>
      <w:r>
        <w:rPr>
          <w:rFonts w:ascii="Arial" w:cs="Arial" w:eastAsia="Arial" w:hAnsi="Arial"/>
          <w:sz w:val="22"/>
          <w:szCs w:val="22"/>
          <w:b w:val="1"/>
          <w:bCs w:val="1"/>
          <w:color w:val="auto"/>
        </w:rPr>
        <w:t>PennantPark Investment Corporation Announces Financial Results for the Fourth Quarter and Fiscal Year Ended September 30, 2014</w:t>
      </w:r>
    </w:p>
    <w:p>
      <w:pPr>
        <w:spacing w:after="0" w:line="167"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NEW YORK, NY -- (Marketwired - November 12, 2014) - PennantPark Investment Corporation (NASDAQ: PNNT) announced today financial results for the fourth quarter and fiscal year ended September 30, 2014.</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September 30, 2014</w:t>
      </w:r>
    </w:p>
    <w:p>
      <w:pPr>
        <w:spacing w:after="0" w:line="238" w:lineRule="auto"/>
        <w:rPr>
          <w:sz w:val="20"/>
          <w:szCs w:val="20"/>
          <w:color w:val="auto"/>
        </w:rPr>
      </w:pPr>
      <w:r>
        <w:rPr>
          <w:rFonts w:ascii="Courier New" w:cs="Courier New" w:eastAsia="Courier New" w:hAnsi="Courier New"/>
          <w:sz w:val="18"/>
          <w:szCs w:val="18"/>
          <w:color w:val="auto"/>
        </w:rPr>
        <w:t>($in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1,318.1</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828.0</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11.03</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Credit Facility (cost $55.2)</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53.5</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2019 Notes (cost $250.0)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251.4</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 (cost $71.3)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71.8</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 debentures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12.5%</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Quarter</w:t>
            </w:r>
          </w:p>
        </w:tc>
      </w:tr>
      <w:tr>
        <w:trPr>
          <w:trHeight w:val="203"/>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Year Ended</w:t>
            </w:r>
          </w:p>
        </w:tc>
        <w:tc>
          <w:tcPr>
            <w:tcW w:w="20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528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0.29</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Reversal of capital gain incentive fee accrued</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but not payable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issuance costs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0.34</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2"/>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795.1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233.3</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91.2</w:t>
            </w:r>
          </w:p>
        </w:tc>
      </w:tr>
      <w:tr>
        <w:trPr>
          <w:trHeight w:val="405"/>
        </w:trPr>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20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w:t>
            </w:r>
          </w:p>
        </w:tc>
        <w:tc>
          <w:tcPr>
            <w:tcW w:w="20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Number of existing portfolio companies invested</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20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w:t>
            </w:r>
          </w:p>
        </w:tc>
        <w:tc>
          <w:tcPr>
            <w:tcW w:w="20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w:t>
            </w:r>
          </w:p>
        </w:tc>
      </w:tr>
    </w:tbl>
    <w:p>
      <w:pPr>
        <w:spacing w:after="0" w:line="4" w:lineRule="exact"/>
        <w:rPr>
          <w:sz w:val="20"/>
          <w:szCs w:val="20"/>
          <w:color w:val="auto"/>
        </w:rPr>
      </w:pPr>
    </w:p>
    <w:p>
      <w:pPr>
        <w:ind w:left="420" w:right="3180" w:hanging="412"/>
        <w:spacing w:after="0" w:line="23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Core net investment income is a non-GAAP financial measure. PennantPark Investment Corporation believes that core net investment income provides useful information to investors and management because it reflects the Company's financial performance excluding both the charges related to incentive fee on net unrealized gains accrued under GAAP but not payable unless such net unrealized gains are realized, costs associated with the debt issuance of the 2019 Notes and amending our multi-currency, senior secured revolving credit facility, or the Credit Facility. The presentation of this additional information is not meant to be considered in isolation or as a substitute for financial results prepared in accordance with GAAP.</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NOVEMBER 13, 2014</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PennantPark Investment Corporation ("we," "our," "us" or "Company") will host a conference call at 10:00 a.m. (Eastern Time) on Thursday, November 13, 2014 to discuss its financial results. All interested parties are welcome to participate. You can access the conference call by dialing (877) 397-0286 approximately 5-10 minutes prior to the call. International callers should dial (719) 325-4747. All callers should reference PennantPark Investment Corporation. An archived replay of the call will be available through November 27, 2014 by calling (888) 203-1112. International callers please dial (719) 457-0820. For all phone replays, please reference conference ID # 3618885.</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As of September 30, 2014, our portfolio totaled $1,318.1 million and consisted of $465.6 million of senior secured loans, $493.4 million of second lien secured debt, $247.1 million of subordinated debt and $112.0 million of preferred and common equity. Our debt portfolio consisted of 33% fixed-rate and 67% variable-rate investments (including 61% with a London Interbank Offered Rate, or LIBOR, or prime floor). As of September 30, 2014, we had one non-accrual debt investment, representing 0.3% of our overall portfolio on a cost basis. Our overall portfolio consisted of 67 companies with an average investment size of $19.7 million, had a weighted average yield on debt investments of 12.5% and was invested 35% in senior secured loans, 37% in second lien secured debt, 19% in subordinated debt and 9% in preferred and common equity.</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September 30, 2013, our portfolio totaled $1,078.2 million and consisted of $299.5 million of senior secured loans, $357.5 million of second lien secured debt, $302.5 million of subordinated debt and $118.7 million of preferred and common equity. Our debt portfolio consisted of 52% fixed-rate and 48% variable-rate investments (including 44% with a LIBOR or prime floor). Our overall portfolio consisted of 61 companies with an average investment size of $17.7 million, had a weighted average yield on</w:t>
      </w:r>
    </w:p>
    <w:p>
      <w:pPr>
        <w:sectPr>
          <w:pgSz w:w="11900" w:h="16838" w:orient="portrait"/>
          <w:cols w:equalWidth="0" w:num="1">
            <w:col w:w="11200"/>
          </w:cols>
          <w:pgMar w:left="320" w:top="111" w:right="379" w:bottom="0" w:gutter="0" w:footer="0" w:header="0"/>
        </w:sectPr>
      </w:pPr>
    </w:p>
    <w:bookmarkStart w:id="3" w:name="page4"/>
    <w:bookmarkEnd w:id="3"/>
    <w:p>
      <w:pPr>
        <w:ind w:right="120"/>
        <w:spacing w:after="0" w:line="251" w:lineRule="auto"/>
        <w:rPr>
          <w:sz w:val="20"/>
          <w:szCs w:val="20"/>
          <w:color w:val="auto"/>
        </w:rPr>
      </w:pPr>
      <w:r>
        <w:rPr>
          <w:rFonts w:ascii="Arial" w:cs="Arial" w:eastAsia="Arial" w:hAnsi="Arial"/>
          <w:sz w:val="22"/>
          <w:szCs w:val="22"/>
          <w:color w:val="auto"/>
        </w:rPr>
        <w:t>debt investments of 13.0% and was invested 28% in senior secured loans, 33% in second lien secured debt, 28% in subordinated debt and 11% in preferred and common equity.</w:t>
      </w:r>
    </w:p>
    <w:p>
      <w:pPr>
        <w:spacing w:after="0" w:line="173"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For the three months ended September 30, 2014, we purchased $233.3 million of investments in five new and eight existing portfolio companies with a weighted average yield on debt investments of 13.0%. Sales and repayments of investments for the same period totaled $91.2 million. This compares to the three months ended September 30, 2013, in which we purchased $187.2 million in six new and seven existing portfolio companies with a weighted average yield on debt investments of 12.4%. Sales and repayments of investments for the same period totaled $166.0 million.</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For the fiscal year ended September 30, 2014, we purchased $795.1 million of investments in 21 new and 30 existing portfolio companies with a weighted average yield on debt investments of 12.4%. Sales and repayments of investments for the same period totaled $625.6 million. This compares to the fiscal year ended September 30, 2013, in which we purchased $504.4 million in 14 new and 26 existing portfolio companies with a weighted average yield on debt investments of 12.7%. Sales and repayments of investments for the same period totaled $437.1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Set forth below are the results of operations for the three months and fiscal years ended September 30, 2014 and 2013.</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Investment income for the three months ended September 30, 2014 and 2013 was $40.1 million and $31.5 million, respectively, and was primarily attributable to $13.1 million and $9.3 million from senior secured loans, $15.2 million and $9.0 million from second lien secured debt, and $10.7 million and $11.2 million from subordinated debt and $1.1 million and $2.0 million from preferred and common equity, respectively.</w:t>
      </w:r>
    </w:p>
    <w:p>
      <w:pPr>
        <w:spacing w:after="0" w:line="185" w:lineRule="exact"/>
        <w:rPr>
          <w:sz w:val="20"/>
          <w:szCs w:val="20"/>
          <w:color w:val="auto"/>
        </w:rPr>
      </w:pPr>
    </w:p>
    <w:p>
      <w:pPr>
        <w:jc w:val="both"/>
        <w:ind w:right="120"/>
        <w:spacing w:after="0" w:line="236" w:lineRule="auto"/>
        <w:rPr>
          <w:sz w:val="20"/>
          <w:szCs w:val="20"/>
          <w:color w:val="auto"/>
        </w:rPr>
      </w:pPr>
      <w:r>
        <w:rPr>
          <w:rFonts w:ascii="Arial" w:cs="Arial" w:eastAsia="Arial" w:hAnsi="Arial"/>
          <w:sz w:val="22"/>
          <w:szCs w:val="22"/>
          <w:color w:val="auto"/>
        </w:rPr>
        <w:t>Investment income for the fiscal years ended September 30, 2014 and 2013 was $147.9 million and $129.2 million, respectively, and was attributable to $43.0 million and $38.9 million from senior secured loans, $55.2 million and $31.9 million from second lien secured debt, and $46.4 million and $55.1 million from subordinated debt and $3.3 million and $3.3 million from preferred and common equity, respectively. The increase in investment income over the prior year was primarily due to the growth of our portfolio.</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Expenses for the three months ended September 30, 2014 and 2013 totaled $20.0 million and $14.4 million, respectively. Base management fee totaled $6.4 million and $5.4 million, incentive fee totaled $3.0 million (after the reversal of $1.7 million on net unrealized gains accrued but not payable) and $4.3 million, debt related interest and expenses totaled $10.0 million (including $4.5 million associated with the 4.50% senior notes due 2019, or 2019 Notes) and $4.1 million, general and administrative expenses totaled $0.6 million and $0.6 million and taxes totaled less than $0.1 million and zero, respectively, for the same periods.</w:t>
      </w:r>
    </w:p>
    <w:p>
      <w:pPr>
        <w:spacing w:after="0" w:line="188" w:lineRule="exact"/>
        <w:rPr>
          <w:sz w:val="20"/>
          <w:szCs w:val="20"/>
          <w:color w:val="auto"/>
        </w:rPr>
      </w:pPr>
    </w:p>
    <w:p>
      <w:pPr>
        <w:ind w:right="180"/>
        <w:spacing w:after="0" w:line="246" w:lineRule="auto"/>
        <w:rPr>
          <w:sz w:val="20"/>
          <w:szCs w:val="20"/>
          <w:color w:val="auto"/>
        </w:rPr>
      </w:pPr>
      <w:r>
        <w:rPr>
          <w:rFonts w:ascii="Arial" w:cs="Arial" w:eastAsia="Arial" w:hAnsi="Arial"/>
          <w:sz w:val="21"/>
          <w:szCs w:val="21"/>
          <w:color w:val="auto"/>
        </w:rPr>
        <w:t>Expenses for the fiscal years ended September 30, 2014 and 2013 totaled $76.6 million and $62.2 million, respectively. Base management fee totaled $24.3 million and $21.3 million, incentive fee totaled $17.8 million and $16.8 million, debt related interest and expenses totaled $28.6 million (including $8.3 million associated with the 2019 Notes and expansion of our Credit Facility) and $18.1 million (including $2.8 million associated with the 6.25% senior notes due 2025, or 2025 Notes and expanding our Credit Facility), general and administrative expenses $5.8 million and $6.0 million and taxes totaled $0.1 million and zero, respectively, for the same periods. The increase in expenses over the prior year was primarily due to increased borrowing costs, debt issuance costs and the growth of our portfolio.</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Net investment income totaled $20.1 million and $17.1 million, or $0.29 and $0.26 per share, for the three months ended September 30, 2014 and 2013, respectively. Core net investment income, a non-GAAP financial measure, totaled $23.0 million and $17.1 million, or $0.34 and $0.26 per share, for the three months ended September 30, 2014 and 2013, respectively.</w:t>
      </w:r>
    </w:p>
    <w:p>
      <w:pPr>
        <w:spacing w:after="0" w:line="134"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Net investment income totaled $71.3 million and $67.0 million, or $1.06 and $1.01 per share, for the years ended September 30, 2014 and 2013, respectively. Core net investment income, a non-GAAP financial measure, totaled $79.7 million and $69.8 million, or $1.19 and $1.05 per share, for the same periods. The increase in net investment income over the prior year was due to the growth of our portfolio offset by higher financing and debt issuance costs.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Sales and repayments of investments for the three months ended September 30, 2014 and 2013 totaled $91.2 million and $166.0 million, respectively, and net realized gains totaled $1.3 million and $3.0 million, respectively, for the same periods.</w:t>
      </w:r>
    </w:p>
    <w:p>
      <w:pPr>
        <w:spacing w:after="0" w:line="105"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Sales and repayments of investments for the fiscal years ended September 30, 2014 and 2013 totaled $625.6 million and $437.1 million, respectively, and net realized gains totaled $30.2 million and $17.7 million, respectively, for the same periods. The increase in realized gains over the prior year is primarily due to the improved merger and acquisition environment and a higher volume of sales and repayments.</w:t>
      </w:r>
    </w:p>
    <w:p>
      <w:pPr>
        <w:sectPr>
          <w:pgSz w:w="11900" w:h="16838" w:orient="portrait"/>
          <w:cols w:equalWidth="0" w:num="1">
            <w:col w:w="11240"/>
          </w:cols>
          <w:pgMar w:left="320" w:top="118" w:right="339" w:bottom="0" w:gutter="0" w:footer="0" w:header="0"/>
        </w:sectPr>
      </w:pPr>
    </w:p>
    <w:bookmarkStart w:id="4" w:name="page5"/>
    <w:bookmarkEnd w:id="4"/>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3"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For the three months ended September 30, 2014 and 2013, our investments had a net change in unrealized depreciation of $24.9 million and $0.4 million, respectively. Net change in unrealized appreciation on our Credit Facility, 2019 Notes and 2025 Notes totaled $2.4 million and $2.8 million, respectively, for the same periods.</w:t>
      </w:r>
    </w:p>
    <w:p>
      <w:pPr>
        <w:spacing w:after="0" w:line="186"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For the fiscal years ended September 30, 2014 and 2013, our investments had a net change in unrealized appreciation of $12.5 million and $4.8 million, respectively. Net change in unrealized (appreciation) depreciation on our Credit Facility, 2019 Notes and 2025 Notes totaled $(3.0) million and $2.3 million, respectively, for the same periods. Net change in unrealized appreciation on investments over the prior year was a result of the overall variation in the leveraged finance markets. The increase in unrealized appreciation on the Credit Facility, 2019 Notes and 2025 Notes over the prior year was due to the fluctuating interest rate environment.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Net (decrease) increase in net assets resulting from operations totaled $(1.1) million and $22.5 million, or $(0.02) and $0.34 per share, for the three months ended September 30, 2014 and 2013, respectively.</w:t>
      </w:r>
    </w:p>
    <w:p>
      <w:pPr>
        <w:spacing w:after="0" w:line="175"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Net increase in net assets resulting from operations totaled $111.0 million and $91.8 million, or $1.66 and $1.39 per share, for the fiscal years ended September 30, 2014 and 2013, respectively. The increase compared to the prior year was due to realized gains, the continued growth of our portfolio and net investment income.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and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ind w:right="180"/>
        <w:spacing w:after="0" w:line="257" w:lineRule="auto"/>
        <w:rPr>
          <w:sz w:val="20"/>
          <w:szCs w:val="20"/>
          <w:color w:val="auto"/>
        </w:rPr>
      </w:pPr>
      <w:r>
        <w:rPr>
          <w:rFonts w:ascii="Arial" w:cs="Arial" w:eastAsia="Arial" w:hAnsi="Arial"/>
          <w:sz w:val="21"/>
          <w:szCs w:val="21"/>
          <w:color w:val="auto"/>
        </w:rPr>
        <w:t>As of September 30, 2014 and 2013, there was $55.2 million and $145.5 million (including a temporary draw of $28.0 million), respectively, in outstanding borrowings under the Credit Facility, with a weighted average interest rate at the time of 2.80% and 3.33%, exclusive of the fee on undrawn commitments of 0.375% and 0.50%, respectively.</w:t>
      </w:r>
    </w:p>
    <w:p>
      <w:pPr>
        <w:spacing w:after="0" w:line="169" w:lineRule="exact"/>
        <w:rPr>
          <w:sz w:val="20"/>
          <w:szCs w:val="20"/>
          <w:color w:val="auto"/>
        </w:rPr>
      </w:pPr>
    </w:p>
    <w:p>
      <w:pPr>
        <w:ind w:right="40"/>
        <w:spacing w:after="0"/>
        <w:rPr>
          <w:sz w:val="20"/>
          <w:szCs w:val="20"/>
          <w:color w:val="auto"/>
        </w:rPr>
      </w:pPr>
      <w:r>
        <w:rPr>
          <w:rFonts w:ascii="Arial" w:cs="Arial" w:eastAsia="Arial" w:hAnsi="Arial"/>
          <w:sz w:val="22"/>
          <w:szCs w:val="22"/>
          <w:color w:val="auto"/>
        </w:rPr>
        <w:t>As of September 30, 2014, we had $250.0 million and $71.3 million of 2019 Notes and 2025 Notes outstanding with a fixed interest rate of 4.50% and 6.25% per year, respectively. We had $71.3 million of 2025 Notes outstanding with a fixed interest rate of 6.25% as of September 30, 2013.</w:t>
      </w:r>
    </w:p>
    <w:p>
      <w:pPr>
        <w:spacing w:after="0" w:line="186" w:lineRule="exact"/>
        <w:rPr>
          <w:sz w:val="20"/>
          <w:szCs w:val="20"/>
          <w:color w:val="auto"/>
        </w:rPr>
      </w:pPr>
    </w:p>
    <w:p>
      <w:pPr>
        <w:ind w:right="600"/>
        <w:spacing w:after="0" w:line="257" w:lineRule="auto"/>
        <w:rPr>
          <w:sz w:val="20"/>
          <w:szCs w:val="20"/>
          <w:color w:val="auto"/>
        </w:rPr>
      </w:pPr>
      <w:r>
        <w:rPr>
          <w:rFonts w:ascii="Arial" w:cs="Arial" w:eastAsia="Arial" w:hAnsi="Arial"/>
          <w:sz w:val="21"/>
          <w:szCs w:val="21"/>
          <w:color w:val="auto"/>
        </w:rPr>
        <w:t>As of September 30, 2014 and 2013, we had $225.0 million and $150.0 million in debt commitments from the U.S. Small Business Administration, or SBA, respectively, and $150.0 million was drawn for each period. The SBA debentures have a weighted average rate of 3.70% exclusive of upfront fees of 3.43%, which are being amortized.</w:t>
      </w:r>
    </w:p>
    <w:p>
      <w:pPr>
        <w:spacing w:after="0" w:line="169"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Our annualized weighted average cost of debt for the fiscal year ended September 30, 2014 and 2013, inclusive of the fee on the undrawn commitment on the Credit Facility and amortized upfront fees on SBA debentures but excluding debt issuance costs, was 3.85% and 4.24%, respectively.</w:t>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Our operating activities used cash of $172.5 million for the fiscal year ended September 30, 2014, and our financing activities provided cash proceeds of $180.9 million for the same period. Our operating activities used cash primarily for our investment activities and our financing activities provided cash primarily from the issuance of the 2019 Notes, our recent equity offering and net draws under the Credit Facility.</w:t>
      </w:r>
    </w:p>
    <w:p>
      <w:pPr>
        <w:spacing w:after="0" w:line="185"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Our operating activities provided cash of $40.3 million for the fiscal year ended September 30, 2013, and our financing activities provided cash proceeds of $10.6 million for the same period. Our operating activities provided cash primarily from sales and repayments on our investments and our financing activities provided cash primarily from the issuance of the 2025 Notes.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During the three months ended September 30, 2014 and 2013, we declared distributions of $0.28 per share for each period for total distributions of $21.0 million and $18.6 million, respectively. During the fiscal years ended September 30, 2014 and 2013, we declared distributions of $1.12 per share, respectively, for total distributions of $76.9 million and $74.4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10-K filed with the SEC and stockholders may find the report on our website at www.pennantpark.com.</w:t>
      </w:r>
    </w:p>
    <w:p>
      <w:pPr>
        <w:sectPr>
          <w:pgSz w:w="11900" w:h="16911" w:orient="portrait"/>
          <w:cols w:equalWidth="0" w:num="1">
            <w:col w:w="11240"/>
          </w:cols>
          <w:pgMar w:left="320" w:top="112" w:right="339" w:bottom="0" w:gutter="0" w:footer="0" w:header="0"/>
        </w:sectPr>
      </w:pPr>
    </w:p>
    <w:bookmarkStart w:id="5" w:name="page6"/>
    <w:bookmarkEnd w:id="5"/>
    <w:p>
      <w:pPr>
        <w:jc w:val="center"/>
        <w:ind w:right="2219"/>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2219"/>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September 30,</w:t>
            </w:r>
          </w:p>
        </w:tc>
        <w:tc>
          <w:tcPr>
            <w:tcW w:w="160" w:type="dxa"/>
            <w:vAlign w:val="bottom"/>
          </w:tcPr>
          <w:p>
            <w:pPr>
              <w:spacing w:after="0"/>
              <w:rPr>
                <w:sz w:val="17"/>
                <w:szCs w:val="17"/>
                <w:color w:val="auto"/>
              </w:rPr>
            </w:pP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2014</w:t>
            </w:r>
          </w:p>
        </w:tc>
        <w:tc>
          <w:tcPr>
            <w:tcW w:w="16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(cost -- $1,171,573,359 and $928,078,589,</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$1,212,515,400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968,471,042</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 $108,572,406 and $99,021,141,</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67,847,521</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76,735,800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 (cost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$38,708,555 and $64,418,155,</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37,691,845</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32,968,711</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 --</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$1,318,854,320 and $1,091,517,885,</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1,318,054,766</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1,078,175,553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(cost --</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$66,600,195 and $58,440,829,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66,518,682</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58,440,829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13,703,525</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10,894,893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financing costs and other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13,550,224</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5,815,817</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 $</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1,411,827,197</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1,153,327,092</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21,026,015</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18,619,812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4,432,500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52,544,704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15,607,059</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7,241,667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Credit Facility payable (cost -- $55,226,300</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$145,500,000,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53,497,620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145,500,000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(cost --</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$150,000,000)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2019 Notes payable (cost -- $250,000,000)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251,350,250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(cost -- $71,250,000)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71,820,000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68,400,000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6,385,103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5,419,557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4,622,754</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4,274,881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1,962,264</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1,810,466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3,113,683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2,009,806</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583,817,248</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455,820,893</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75,092,911 and 66,499,327</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 Par value $0.001 per share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100,000,000 shares authorized.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75,093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66,499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852,465,375</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756,017,096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(11,802,580)</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(4,675,217)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Accumulated net realized loss on investments</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(11,655,302)</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(43,409,847)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cash</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(881,067)</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(13,342,332)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(appreciation) depreciation</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debt</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(191,570)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2,850,000</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828,009,949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697,506,199</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$1,411,827,197</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$1,153,327,092</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10.49</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2219"/>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Years Ended September 30,</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tabs>
          <w:tab w:leader="none" w:pos="5560" w:val="left"/>
          <w:tab w:leader="none" w:pos="7040" w:val="left"/>
        </w:tabs>
        <w:rPr>
          <w:sz w:val="20"/>
          <w:szCs w:val="20"/>
          <w:color w:val="auto"/>
        </w:rPr>
      </w:pPr>
      <w:r>
        <w:rPr>
          <w:rFonts w:ascii="Courier New" w:cs="Courier New" w:eastAsia="Courier New" w:hAnsi="Courier New"/>
          <w:sz w:val="18"/>
          <w:szCs w:val="18"/>
          <w:color w:val="auto"/>
        </w:rPr>
        <w:t>2014</w:t>
      </w:r>
      <w:r>
        <w:rPr>
          <w:sz w:val="20"/>
          <w:szCs w:val="20"/>
          <w:color w:val="auto"/>
        </w:rPr>
        <w:tab/>
      </w:r>
      <w:r>
        <w:rPr>
          <w:rFonts w:ascii="Courier New" w:cs="Courier New" w:eastAsia="Courier New" w:hAnsi="Courier New"/>
          <w:sz w:val="18"/>
          <w:szCs w:val="18"/>
          <w:color w:val="auto"/>
        </w:rPr>
        <w:t>2013</w:t>
      </w:r>
      <w:r>
        <w:rPr>
          <w:sz w:val="20"/>
          <w:szCs w:val="20"/>
          <w:color w:val="auto"/>
        </w:rPr>
        <w:tab/>
      </w:r>
      <w:r>
        <w:rPr>
          <w:rFonts w:ascii="Courier New" w:cs="Courier New" w:eastAsia="Courier New" w:hAnsi="Courier New"/>
          <w:sz w:val="16"/>
          <w:szCs w:val="16"/>
          <w:color w:val="auto"/>
        </w:rPr>
        <w:t>2012</w:t>
      </w:r>
    </w:p>
    <w:p>
      <w:pPr>
        <w:ind w:left="3700"/>
        <w:spacing w:after="0"/>
        <w:tabs>
          <w:tab w:leader="none" w:pos="5140" w:val="left"/>
          <w:tab w:leader="none" w:pos="662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Investment income:</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6"/>
          <w:szCs w:val="16"/>
          <w:color w:val="auto"/>
        </w:rPr>
        <w:t>From non-controlled, non-</w:t>
      </w:r>
    </w:p>
    <w:p>
      <w:pPr>
        <w:spacing w:after="0" w:line="16"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8"/>
          <w:szCs w:val="18"/>
          <w:color w:val="auto"/>
        </w:rPr>
        <w:t>affiliated investments:</w:t>
      </w:r>
    </w:p>
    <w:p>
      <w:pPr>
        <w:sectPr>
          <w:pgSz w:w="11900" w:h="16838" w:orient="portrait"/>
          <w:cols w:equalWidth="0" w:num="1">
            <w:col w:w="10139"/>
          </w:cols>
          <w:pgMar w:left="320" w:top="541" w:right="1440"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3640" w:type="dxa"/>
            <w:vAlign w:val="bottom"/>
          </w:tcPr>
          <w:p>
            <w:pPr>
              <w:ind w:left="220"/>
              <w:spacing w:after="0"/>
              <w:rPr>
                <w:sz w:val="20"/>
                <w:szCs w:val="20"/>
                <w:color w:val="auto"/>
              </w:rPr>
            </w:pPr>
            <w:r>
              <w:rPr>
                <w:rFonts w:ascii="Courier New" w:cs="Courier New" w:eastAsia="Courier New" w:hAnsi="Courier New"/>
                <w:sz w:val="18"/>
                <w:szCs w:val="18"/>
                <w:color w:val="auto"/>
              </w:rPr>
              <w:t>Interest</w:t>
            </w:r>
          </w:p>
        </w:tc>
        <w:tc>
          <w:tcPr>
            <w:tcW w:w="1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$124,850,558</w:t>
            </w:r>
          </w:p>
        </w:tc>
        <w:tc>
          <w:tcPr>
            <w:tcW w:w="146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$107,058,958</w:t>
            </w:r>
          </w:p>
        </w:tc>
        <w:tc>
          <w:tcPr>
            <w:tcW w:w="1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$ 99,663,198</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9,692,254</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10,883,261</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8,486,387</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affiliated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5,656,300</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5,841,127</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3,542,583</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597,400</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 affiliated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7,278,060</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4,806,329</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1,700,222</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459,166</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147,936,338</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129,187,075</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113,392,390</w:t>
            </w:r>
          </w:p>
        </w:tc>
      </w:tr>
      <w:tr>
        <w:trPr>
          <w:trHeight w:val="203"/>
        </w:trPr>
        <w:tc>
          <w:tcPr>
            <w:tcW w:w="36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24,291,420</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21,288,728</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17,507,262</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17,832,129</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16,793,089</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14,223,777</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debt</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20,260,652</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15,384,208</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11,680,634</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Administrative services expenses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2,953,423</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3,161,158</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3,745,741</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Other general and administrative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2,860,094</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2,857,739</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3,496,326</w:t>
            </w:r>
          </w:p>
        </w:tc>
      </w:tr>
      <w:tr>
        <w:trPr>
          <w:trHeight w:val="203"/>
        </w:trPr>
        <w:tc>
          <w:tcPr>
            <w:tcW w:w="36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taxes and debt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costs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68,197,718</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59,484,922</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50,653,740</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expense (benefit)</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72,603</w:t>
            </w:r>
          </w:p>
        </w:tc>
        <w:tc>
          <w:tcPr>
            <w:tcW w:w="1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(53,468)</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307,990</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issuance costs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8,337,500</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2,757,500</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5,361,319</w:t>
            </w:r>
          </w:p>
        </w:tc>
      </w:tr>
      <w:tr>
        <w:trPr>
          <w:trHeight w:val="203"/>
        </w:trPr>
        <w:tc>
          <w:tcPr>
            <w:tcW w:w="36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76,607,821</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62,188,954</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56,323,049</w:t>
            </w:r>
          </w:p>
        </w:tc>
      </w:tr>
      <w:tr>
        <w:trPr>
          <w:trHeight w:val="203"/>
        </w:trPr>
        <w:tc>
          <w:tcPr>
            <w:tcW w:w="36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71,328,517</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66,998,121</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57,069,341</w:t>
            </w:r>
          </w:p>
        </w:tc>
      </w:tr>
      <w:tr>
        <w:trPr>
          <w:trHeight w:val="203"/>
        </w:trPr>
        <w:tc>
          <w:tcPr>
            <w:tcW w:w="36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on investments, cash and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(loss) 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30,235,265</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17,687,211</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(12,798,035)</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(depreciation) 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 cash</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468,076</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17,932,839</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42,727,722</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and controlled,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11,993,189</w:t>
            </w:r>
          </w:p>
        </w:tc>
        <w:tc>
          <w:tcPr>
            <w:tcW w:w="1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(13,143,019)</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(22,085,553)</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Debt (appreciation) depreciation</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(3,041,570)</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2,302,500</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(1,560,375)</w:t>
            </w:r>
          </w:p>
        </w:tc>
      </w:tr>
      <w:tr>
        <w:trPr>
          <w:trHeight w:val="203"/>
        </w:trPr>
        <w:tc>
          <w:tcPr>
            <w:tcW w:w="36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 (depreciation) 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cash and debt</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9,419,695</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7,092,320</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19,081,794</w:t>
            </w:r>
          </w:p>
        </w:tc>
      </w:tr>
      <w:tr>
        <w:trPr>
          <w:trHeight w:val="203"/>
        </w:trPr>
        <w:tc>
          <w:tcPr>
            <w:tcW w:w="36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gain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investments and debt</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39,654,960</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24,779,531</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6,283,759</w:t>
            </w:r>
          </w:p>
        </w:tc>
      </w:tr>
      <w:tr>
        <w:trPr>
          <w:trHeight w:val="203"/>
        </w:trPr>
        <w:tc>
          <w:tcPr>
            <w:tcW w:w="36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$110,983,477</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$ 91,777,652</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$ 63,353,100</w:t>
            </w:r>
          </w:p>
        </w:tc>
      </w:tr>
      <w:tr>
        <w:trPr>
          <w:trHeight w:val="203"/>
        </w:trPr>
        <w:tc>
          <w:tcPr>
            <w:tcW w:w="36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 per</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36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36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w:t>
      </w:r>
    </w:p>
    <w:p>
      <w:pPr>
        <w:sectPr>
          <w:pgSz w:w="11900" w:h="16838" w:orient="portrait"/>
          <w:cols w:equalWidth="0" w:num="1">
            <w:col w:w="11220"/>
          </w:cols>
          <w:pgMar w:left="320" w:top="136" w:right="359" w:bottom="0" w:gutter="0" w:footer="0" w:header="0"/>
        </w:sectPr>
      </w:pPr>
    </w:p>
    <w:bookmarkStart w:id="7" w:name="page8"/>
    <w:bookmarkEnd w:id="7"/>
    <w:p>
      <w:pPr>
        <w:ind w:right="500"/>
        <w:spacing w:after="0" w:line="251" w:lineRule="auto"/>
        <w:rPr>
          <w:sz w:val="20"/>
          <w:szCs w:val="20"/>
          <w:color w:val="auto"/>
        </w:rPr>
      </w:pPr>
      <w:r>
        <w:rPr>
          <w:rFonts w:ascii="Arial" w:cs="Arial" w:eastAsia="Arial" w:hAnsi="Arial"/>
          <w:sz w:val="22"/>
          <w:szCs w:val="22"/>
          <w:color w:val="auto"/>
        </w:rPr>
        <w:t>from time to time in filings with the SEC. The Company undertakes no duty to update any forward-looking statement made herein. All forward-looking statements speak only as of the date of this press release.</w:t>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 "believes, " "expects, " "intends, " "seeks, " "plans, "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180"/>
      </w:cols>
      <w:pgMar w:left="320" w:top="11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2020-05-05T15:07:27Z</dcterms:created>
  <dcterms:modified xsi:type="dcterms:W3CDTF">2020-05-05T15:07:27Z</dcterms:modified>
</cp:coreProperties>
</file>