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right"/>
        <w:ind w:right="10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line="237" w:lineRule="auto"/>
        <w:rPr>
          <w:sz w:val="20"/>
          <w:szCs w:val="20"/>
          <w:color w:val="auto"/>
        </w:rPr>
      </w:pPr>
      <w:r>
        <w:rPr>
          <w:rFonts w:ascii="Times New Roman" w:cs="Times New Roman" w:eastAsia="Times New Roman" w:hAnsi="Times New Roman"/>
          <w:sz w:val="32"/>
          <w:szCs w:val="32"/>
          <w:b w:val="1"/>
          <w:bCs w:val="1"/>
          <w:color w:val="auto"/>
        </w:rPr>
        <w:t>Washington, D.C. 20549</w:t>
      </w:r>
    </w:p>
    <w:p>
      <w:pPr>
        <w:ind w:left="3840"/>
        <w:spacing w:after="0" w:line="238" w:lineRule="auto"/>
        <w:rPr>
          <w:sz w:val="20"/>
          <w:szCs w:val="20"/>
          <w:color w:val="auto"/>
        </w:rPr>
      </w:pPr>
      <w:r>
        <w:rPr>
          <w:rFonts w:ascii="Times New Roman" w:cs="Times New Roman" w:eastAsia="Times New Roman" w:hAnsi="Times New Roman"/>
          <w:sz w:val="32"/>
          <w:szCs w:val="32"/>
          <w:b w:val="1"/>
          <w:bCs w:val="1"/>
          <w:color w:val="auto"/>
        </w:rPr>
        <w:t>———————————</w:t>
      </w:r>
    </w:p>
    <w:p>
      <w:pPr>
        <w:ind w:left="4380"/>
        <w:spacing w:after="0" w:line="239" w:lineRule="auto"/>
        <w:rPr>
          <w:sz w:val="20"/>
          <w:szCs w:val="20"/>
          <w:color w:val="auto"/>
        </w:rPr>
      </w:pPr>
      <w:r>
        <w:rPr>
          <w:rFonts w:ascii="Times New Roman" w:cs="Times New Roman" w:eastAsia="Times New Roman" w:hAnsi="Times New Roman"/>
          <w:sz w:val="32"/>
          <w:szCs w:val="32"/>
          <w:b w:val="1"/>
          <w:bCs w:val="1"/>
          <w:color w:val="auto"/>
        </w:rPr>
        <w:t>SCHEDULE 14A</w:t>
      </w:r>
    </w:p>
    <w:p>
      <w:pPr>
        <w:jc w:val="center"/>
        <w:ind w:right="-1060"/>
        <w:spacing w:after="0" w:line="231"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73" w:lineRule="exact"/>
        <w:rPr>
          <w:sz w:val="24"/>
          <w:szCs w:val="24"/>
          <w:color w:val="auto"/>
        </w:rPr>
      </w:pPr>
    </w:p>
    <w:p>
      <w:pPr>
        <w:ind w:left="20"/>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7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14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121"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320675</wp:posOffset>
            </wp:positionV>
            <wp:extent cx="6489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551815</wp:posOffset>
            </wp:positionV>
            <wp:extent cx="2185670"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85670" cy="522605"/>
                    </a:xfrm>
                    <a:prstGeom prst="rect">
                      <a:avLst/>
                    </a:prstGeom>
                    <a:noFill/>
                  </pic:spPr>
                </pic:pic>
              </a:graphicData>
            </a:graphic>
          </wp:anchor>
        </w:drawing>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Stockholders (the “Annual Meeting”) of PennantPark Investment Corporation, a Maryland corporation (“PNNT” or the “Company”), to be held on February 6, 2024 at 9:30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www.virtualshareholdermeeting.com/PNNT2024 and using the Control Number included in the Notice of Internet Availability of Proxy Materials.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consider and vote upon: (1) the election of two directors to the board of directors of the Company and (2) the ratification of the selection of RSM US LLP to serve as the Company’s independent registered public accounting firm for the fiscal year ending September 30, 2024.</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11555"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www.virtualshareholdermeeting.com/PNNT2024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February 6, 2024</w:t>
      </w:r>
    </w:p>
    <w:p>
      <w:pPr>
        <w:spacing w:after="0" w:line="234"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13, 2023</w:t>
      </w:r>
    </w:p>
    <w:p>
      <w:pPr>
        <w:spacing w:after="0" w:line="22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(the “Stockholders”) of PennantPark Investment Corporation, a Maryland corporation (“PNNT” or the “Company”), that:</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2024 Annual Meeting of Stockholders of the Company (the “Annual Meeting”) will be held virtually on February 6, 2024 at 9:30 a.m., Eastern Time, at www.virtualshareholdermeeting.com/PNNT2024 for the following purposes:</w:t>
      </w:r>
    </w:p>
    <w:p>
      <w:pPr>
        <w:spacing w:after="0" w:line="54" w:lineRule="exact"/>
        <w:rPr>
          <w:sz w:val="20"/>
          <w:szCs w:val="20"/>
          <w:color w:val="auto"/>
        </w:rPr>
      </w:pPr>
    </w:p>
    <w:p>
      <w:pPr>
        <w:ind w:left="1040" w:right="36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of Directors of the Company who will each serve for a term of three years until the 2027 annual meeting of Stockholders and until his successor is duly elected and qualifies;</w:t>
      </w:r>
    </w:p>
    <w:p>
      <w:pPr>
        <w:spacing w:after="0" w:line="53" w:lineRule="exact"/>
        <w:rPr>
          <w:rFonts w:ascii="Times New Roman" w:cs="Times New Roman" w:eastAsia="Times New Roman" w:hAnsi="Times New Roman"/>
          <w:sz w:val="18"/>
          <w:szCs w:val="18"/>
          <w:color w:val="auto"/>
        </w:rPr>
      </w:pPr>
    </w:p>
    <w:p>
      <w:pPr>
        <w:ind w:left="1040" w:right="70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to serve as the Company’s independent registered public accounting firm for the fiscal year ending September 30, 2024; and</w:t>
      </w:r>
    </w:p>
    <w:p>
      <w:pPr>
        <w:spacing w:after="0" w:line="53" w:lineRule="exact"/>
        <w:rPr>
          <w:rFonts w:ascii="Times New Roman" w:cs="Times New Roman" w:eastAsia="Times New Roman" w:hAnsi="Times New Roman"/>
          <w:sz w:val="18"/>
          <w:szCs w:val="18"/>
          <w:color w:val="auto"/>
        </w:rPr>
      </w:pPr>
    </w:p>
    <w:p>
      <w:pPr>
        <w:ind w:left="1040" w:right="60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www.virtualshareholdermeeting.com/PNNT2024.</w:t>
      </w:r>
    </w:p>
    <w:p>
      <w:pPr>
        <w:spacing w:after="0" w:line="11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of the Company at the close of business on December 6, 2023.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71" w:lineRule="exact"/>
        <w:rPr>
          <w:sz w:val="20"/>
          <w:szCs w:val="20"/>
          <w:color w:val="auto"/>
        </w:rPr>
      </w:pPr>
    </w:p>
    <w:p>
      <w:pPr>
        <w:ind w:right="128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INCLUDING EACH OF THE INDEPENDENT DIRECTORS, UNANIMOUSLY RECOMMENDS THAT YOU VOTE “FOR” EACH OF THE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96925" cy="248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6925" cy="2482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36130" cy="586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86740"/>
                    </a:xfrm>
                    <a:prstGeom prst="rect">
                      <a:avLst/>
                    </a:prstGeom>
                    <a:noFill/>
                  </pic:spPr>
                </pic:pic>
              </a:graphicData>
            </a:graphic>
          </wp:anchor>
        </w:drawing>
        <w:t>This is an important meeting. To ensure proper representation at the Annual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499110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387" w:right="479" w:bottom="1440" w:gutter="0" w:footer="0" w:header="0"/>
        </w:sectPr>
      </w:pPr>
    </w:p>
    <w:bookmarkStart w:id="4" w:name="page5"/>
    <w:bookmarkEnd w:id="4"/>
    <w:p>
      <w:pPr>
        <w:ind w:left="3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786) 297-9500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Virtual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www.virtualshareholdermeeting.com/PNNT2024</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February 6, 2024</w:t>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w:t>
      </w:r>
      <w:r>
        <w:rPr>
          <w:rFonts w:ascii="Times New Roman" w:cs="Times New Roman" w:eastAsia="Times New Roman" w:hAnsi="Times New Roman"/>
          <w:sz w:val="16"/>
          <w:szCs w:val="16"/>
          <w:color w:val="auto"/>
        </w:rPr>
        <w:t>786-297-9500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Investment Corporation, a Maryland corporation (“PNNT,” the “Company,” “we,” “us” or “our”), for use at the Company’s 2024 Virtual Annual Meeting of Stockholders (the “Annual Meeting”) to be held on Tuesday February 6, 2024, at 9:30 a.m., Eastern Time, at www.virtualshareholdermeeting.com/PNNT2024 and at any postponements or adjournments thereof. To participate in the Annual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2023 (the “Annual Report”) are being provided to the stockholders thereof (the “Stockholders”) via the Internet on or about December 27, 2023. In addition, a Notice of Annual Meeting and a Notice of Internet Availability of Proxy Materials are being sent to Stockholders of record of the Company as of the close of business on December 6, 2023 (the “Record Date”).</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(virtually) at the Annual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Annual Meeting, your shares will be voted at the proxyholder’s discretion unless you specifically state otherwise on your proxy.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(virtually) at the virtual Annual Meeting and voting online. Participating in the virtual Annual Meeting does not revoke your proxy unless you also vote online at the Annual Meeting. Any Stockholder entitled to vote at the Annual Meeting may attend the Annual Meeting and vote in person (virtually), whether or not he or she has previously voted his or her shares via proxy or wishes to change a previous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will be eligible to authorize your proxy electronically via the Internet, by telephone or by mail.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you want to submit a question during the Annual Meeting, log into the live webcast at www.virtualshareholdermeeting.com/PNNT2024, type your question into the “Ask a Question” field, and click “Submit.”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Only questions submitted via the live webcast that are pertinent to Annual Meeting matters will be answered during the Annual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490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117" w:lineRule="exact"/>
        <w:rPr>
          <w:sz w:val="20"/>
          <w:szCs w:val="20"/>
          <w:color w:val="auto"/>
        </w:rPr>
      </w:pPr>
    </w:p>
    <w:p>
      <w:pPr>
        <w:ind w:left="1040" w:right="460" w:hanging="523"/>
        <w:spacing w:after="0" w:line="282" w:lineRule="auto"/>
        <w:tabs>
          <w:tab w:leader="none" w:pos="10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who will each serve for a term of three years until the 2027 annual meeting of Stockholders and until his successor is duly elected and qualifies (“Proposal 1”);</w:t>
      </w:r>
    </w:p>
    <w:p>
      <w:pPr>
        <w:spacing w:after="0" w:line="53" w:lineRule="exact"/>
        <w:rPr>
          <w:rFonts w:ascii="Times New Roman" w:cs="Times New Roman" w:eastAsia="Times New Roman" w:hAnsi="Times New Roman"/>
          <w:sz w:val="18"/>
          <w:szCs w:val="18"/>
          <w:color w:val="auto"/>
        </w:rPr>
      </w:pPr>
    </w:p>
    <w:p>
      <w:pPr>
        <w:ind w:left="1040" w:right="480" w:hanging="52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(“RSM”) to serve as the Company’s independent registered public accounting firm for the fiscal year ending September 30, 2024 (“Proposal 2”); and</w:t>
      </w:r>
    </w:p>
    <w:p>
      <w:pPr>
        <w:spacing w:after="0" w:line="53" w:lineRule="exact"/>
        <w:rPr>
          <w:rFonts w:ascii="Times New Roman" w:cs="Times New Roman" w:eastAsia="Times New Roman" w:hAnsi="Times New Roman"/>
          <w:sz w:val="18"/>
          <w:szCs w:val="18"/>
          <w:color w:val="auto"/>
        </w:rPr>
      </w:pPr>
    </w:p>
    <w:p>
      <w:pPr>
        <w:ind w:left="1040" w:right="600" w:hanging="52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You may vote your shares at the Annual Meeting only if you were a Stockholder of record of the Company at the close of business on the Record Date. There were 65,224,500 shares of the Company’s common stock, par value $0.001 per share (the “Common Stock”), outstanding on the Record Date. Stockholders are entitled to one vote for each share of Common Stock held.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Company to conduct business at the Annual Meeting, a quorum of Stockholders for the Company must be present (virtually) at the Annual Meeting. The presence at the Annual Meeting, in person (virtually) or by proxy, of the holders of a majority of the shares of Common Stock outstanding on the Record Date will constitute a quorum for the conduct of business at the Annual Meeting. Those Stockholders who have not otherwise submitted a proxy accessing the Annual Meeting via the listen-only conference call will not be deemed to be “present” for purposes of determining a quorum for the Annual Meeting. Abstentions and Broker Non-Votes (as defined below) will be treated as shares present at the Annual Meeting for quorum purposes. If there are not enough votes for a quorum for the Annual Meeting, the chairman of the Annual Meeting will adjourn the Annual Meeting to permit the further solicitation of proxies.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an election where the number of nominees is equal to the number of directors to be elected, as is the case at the Annual Meeting, the election of a director to the Board requires the affirmative vote of a majority of the total votes cast for and against such nominee at the Annual Meeting in person (virtually) or by proxy. If you vote “Against” with respect to a nominee, your shares will be voted against the person indicated. Abstentions and Broker Non-Votes will have no effect on the result of the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Common Stock in street name, your Broker will not be permitted to exercise voting discretion with respect to Proposal 1.</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Annual Meeting.</w:t>
      </w:r>
    </w:p>
    <w:p>
      <w:pPr>
        <w:spacing w:after="0" w:line="17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and you do not vote or provide your Broker with proxy instructions, your Broker will be able to vote your shares for you on Proposal 2 in its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Annual Meeting, the chairman of the Annual Meeting may adjourn the Annual Meeting to permit further solicitation of proxies.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5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Annual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1691 Michigan Avenue, Miami Beach, Florida 33139 or </w:t>
      </w:r>
      <w:r>
        <w:rPr>
          <w:rFonts w:ascii="Times New Roman" w:cs="Times New Roman" w:eastAsia="Times New Roman" w:hAnsi="Times New Roman"/>
          <w:sz w:val="16"/>
          <w:szCs w:val="16"/>
          <w:color w:val="auto"/>
        </w:rPr>
        <w:t>786-297-9500</w:t>
      </w:r>
      <w:r>
        <w:rPr>
          <w:rFonts w:ascii="Times New Roman" w:cs="Times New Roman" w:eastAsia="Times New Roman" w:hAnsi="Times New Roman"/>
          <w:sz w:val="18"/>
          <w:szCs w:val="18"/>
          <w:color w:val="auto"/>
        </w:rPr>
        <w:t>.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1691 Michigan Avenue, Miami Beach, Florida 33139.</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both"/>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If a Stockholder wishes to participate in person (virtually) at the Annual Meeting, but does not wish to give a proxy by Internet, the Stockholder may attend the Annual Meeting in person (virtually) or request and submit a proxy card by following the instructions on the Notice of Internet Availability of Proxy Materials.</w:t>
      </w:r>
    </w:p>
    <w:p>
      <w:pPr>
        <w:spacing w:after="0" w:line="176"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Annual Meeting, (ii) attending the Annual Meeting and voting in person (virtually) or (iii) delivering a notice, provided in writing and signed by the Stockholder, delivered to the Company’s Secretary on any business day before the date of the Annual Meeting.</w:t>
      </w:r>
    </w:p>
    <w:p>
      <w:pPr>
        <w:spacing w:after="0" w:line="17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Our Board consists of two interested directors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Common Stock for those persons who directly or indirectly own, control or hold with the power to vote, five percent or more of the Company’s outstanding Common Stock and all officers and directors of the Company, as a group.</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4160" w:type="dxa"/>
            <w:vAlign w:val="bottom"/>
          </w:tcPr>
          <w:p>
            <w:pPr>
              <w:spacing w:after="0"/>
              <w:rPr>
                <w:sz w:val="15"/>
                <w:szCs w:val="15"/>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 of ownership</w:t>
            </w:r>
            <w:r>
              <w:rPr>
                <w:rFonts w:ascii="Times New Roman" w:cs="Times New Roman" w:eastAsia="Times New Roman" w:hAnsi="Times New Roman"/>
                <w:sz w:val="19"/>
                <w:szCs w:val="19"/>
                <w:b w:val="1"/>
                <w:bCs w:val="1"/>
                <w:color w:val="auto"/>
                <w:w w:val="98"/>
                <w:vertAlign w:val="superscript"/>
              </w:rPr>
              <w:t>(3)</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00" w:type="dxa"/>
            <w:vAlign w:val="bottom"/>
            <w:tcBorders>
              <w:bottom w:val="single" w:sz="8" w:color="auto"/>
            </w:tcBorders>
            <w:vMerge w:val="continue"/>
          </w:tcPr>
          <w:p>
            <w:pPr>
              <w:spacing w:after="0"/>
              <w:rPr>
                <w:sz w:val="9"/>
                <w:szCs w:val="9"/>
                <w:color w:val="auto"/>
              </w:rPr>
            </w:pPr>
          </w:p>
        </w:tc>
        <w:tc>
          <w:tcPr>
            <w:tcW w:w="4160" w:type="dxa"/>
            <w:vAlign w:val="bottom"/>
            <w:vMerge w:val="restart"/>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160" w:type="dxa"/>
            <w:vAlign w:val="bottom"/>
            <w:vMerge w:val="continue"/>
          </w:tcPr>
          <w:p>
            <w:pPr>
              <w:spacing w:after="0"/>
              <w:rPr>
                <w:sz w:val="4"/>
                <w:szCs w:val="4"/>
                <w:color w:val="auto"/>
              </w:rPr>
            </w:pPr>
          </w:p>
        </w:tc>
        <w:tc>
          <w:tcPr>
            <w:tcW w:w="276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4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Adam K. Bernstein</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31,166</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54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Marshall Brozost</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Jeffrey Flug</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299,560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54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Samuel L. Katz</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252,291</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400" w:type="dxa"/>
            <w:vAlign w:val="bottom"/>
            <w:gridSpan w:val="3"/>
          </w:tcPr>
          <w:p>
            <w:pPr>
              <w:ind w:left="180"/>
              <w:spacing w:after="0" w:line="267"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1,306,833</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250,551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Richard T. Allorto, Jr.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 as a group (7 persons)</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2,172,079</w:t>
            </w:r>
          </w:p>
        </w:tc>
        <w:tc>
          <w:tcPr>
            <w:tcW w:w="220" w:type="dxa"/>
            <w:vAlign w:val="bottom"/>
            <w:gridSpan w:val="2"/>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1,113,423 shares held by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Less than 1 percent.</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Floating Rate Capital, Ltd., a business development company managed by the Adviser (“PFLT”).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22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2880" w:type="dxa"/>
            <w:vAlign w:val="bottom"/>
          </w:tcPr>
          <w:p>
            <w:pPr>
              <w:spacing w:after="0"/>
              <w:rPr>
                <w:sz w:val="15"/>
                <w:szCs w:val="15"/>
                <w:color w:val="auto"/>
              </w:rPr>
            </w:pPr>
          </w:p>
        </w:tc>
        <w:tc>
          <w:tcPr>
            <w:tcW w:w="30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34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43"/>
        </w:trPr>
        <w:tc>
          <w:tcPr>
            <w:tcW w:w="4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Adam K. Bernstein</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36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Marshall Brozost</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36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Jeffrey Flug</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Samuel L. Katz</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1"/>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line="245"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22"/>
                <w:szCs w:val="22"/>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20" w:right="860" w:hanging="512"/>
        <w:spacing w:after="0" w:line="26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its bylaws, the Company currently has six members on the Board. Directors are divided into three classes and are elected for staggered terms of three years each, with a term of office of one of the three classes of directors expiring each year. After this election, the terms of Class I,</w:t>
      </w:r>
    </w:p>
    <w:p>
      <w:pPr>
        <w:ind w:firstLine="8"/>
        <w:spacing w:after="0" w:line="260" w:lineRule="auto"/>
        <w:tabs>
          <w:tab w:leader="none" w:pos="1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directors will expire at the annual meetings of stockholders in 2026, 2027 and 2025, respectively. Each director will hold office for the term to which he is elected and until a successor is duly elected and qualifies.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any nominees will be unable or unwilling to serve.</w:t>
      </w:r>
    </w:p>
    <w:p>
      <w:pPr>
        <w:spacing w:after="0" w:line="1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with respect to the nominees for election at the Annual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Each of Mr. Adam Bernstein and Mr. Jeffrey Flug has been nominated for election as a Class II director of PNNT for a three-year term expiring at the annual meeting of stockholders in 2027. Neither Mr. Bernstein nor Mr. Flug is being proposed for election pursuant to any agreement or understanding between either Mr. Bernstein nor Mr. Flug and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Companies in</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Directorships</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2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Fund</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of Office</w:t>
            </w:r>
          </w:p>
        </w:tc>
        <w:tc>
          <w:tcPr>
            <w:tcW w:w="12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Complex</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Nominee for</w:t>
            </w:r>
          </w:p>
        </w:tc>
      </w:tr>
      <w:tr>
        <w:trPr>
          <w:trHeight w:val="196"/>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Position(s) held</w:t>
            </w:r>
          </w:p>
        </w:tc>
        <w:tc>
          <w:tcPr>
            <w:tcW w:w="12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and Length of Time</w:t>
            </w:r>
          </w:p>
        </w:tc>
        <w:tc>
          <w:tcPr>
            <w:tcW w:w="120" w:type="dxa"/>
            <w:vAlign w:val="bottom"/>
          </w:tcPr>
          <w:p>
            <w:pPr>
              <w:spacing w:after="0"/>
              <w:rPr>
                <w:sz w:val="17"/>
                <w:szCs w:val="17"/>
                <w:color w:val="auto"/>
              </w:rPr>
            </w:pPr>
          </w:p>
        </w:tc>
        <w:tc>
          <w:tcPr>
            <w:tcW w:w="3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During, at least,</w:t>
            </w: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Overseen by</w:t>
            </w:r>
          </w:p>
        </w:tc>
        <w:tc>
          <w:tcPr>
            <w:tcW w:w="10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Director During</w:t>
            </w:r>
          </w:p>
        </w:tc>
      </w:tr>
      <w:tr>
        <w:trPr>
          <w:trHeight w:val="272"/>
        </w:trPr>
        <w:tc>
          <w:tcPr>
            <w:tcW w:w="2160" w:type="dxa"/>
            <w:vAlign w:val="bottom"/>
            <w:tcBorders>
              <w:bottom w:val="single" w:sz="8" w:color="auto"/>
            </w:tcBorders>
          </w:tcPr>
          <w:p>
            <w:pPr>
              <w:ind w:left="100"/>
              <w:spacing w:after="0" w:line="272" w:lineRule="exact"/>
              <w:rPr>
                <w:sz w:val="20"/>
                <w:szCs w:val="20"/>
                <w:color w:val="auto"/>
              </w:rPr>
            </w:pPr>
            <w:r>
              <w:rPr>
                <w:rFonts w:ascii="Times New Roman" w:cs="Times New Roman" w:eastAsia="Times New Roman" w:hAnsi="Times New Roman"/>
                <w:sz w:val="18"/>
                <w:szCs w:val="18"/>
                <w:b w:val="1"/>
                <w:bCs w:val="1"/>
                <w:color w:val="auto"/>
              </w:rPr>
              <w:t>Name, Address and Age</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3"/>
                <w:szCs w:val="23"/>
                <w:color w:val="auto"/>
              </w:rPr>
            </w:pP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with Company</w:t>
            </w:r>
          </w:p>
        </w:tc>
        <w:tc>
          <w:tcPr>
            <w:tcW w:w="120" w:type="dxa"/>
            <w:vAlign w:val="bottom"/>
          </w:tcPr>
          <w:p>
            <w:pPr>
              <w:spacing w:after="0"/>
              <w:rPr>
                <w:sz w:val="23"/>
                <w:szCs w:val="23"/>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Served</w:t>
            </w:r>
          </w:p>
        </w:tc>
        <w:tc>
          <w:tcPr>
            <w:tcW w:w="120" w:type="dxa"/>
            <w:vAlign w:val="bottom"/>
          </w:tcPr>
          <w:p>
            <w:pPr>
              <w:spacing w:after="0"/>
              <w:rPr>
                <w:sz w:val="23"/>
                <w:szCs w:val="23"/>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Past 5 Years</w:t>
            </w:r>
          </w:p>
        </w:tc>
        <w:tc>
          <w:tcPr>
            <w:tcW w:w="100" w:type="dxa"/>
            <w:vAlign w:val="bottom"/>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00" w:type="dxa"/>
            <w:vAlign w:val="bottom"/>
          </w:tcPr>
          <w:p>
            <w:pPr>
              <w:spacing w:after="0"/>
              <w:rPr>
                <w:sz w:val="23"/>
                <w:szCs w:val="23"/>
                <w:color w:val="auto"/>
              </w:rPr>
            </w:pPr>
          </w:p>
        </w:tc>
        <w:tc>
          <w:tcPr>
            <w:tcW w:w="1420" w:type="dxa"/>
            <w:vAlign w:val="bottom"/>
            <w:tcBorders>
              <w:bottom w:val="single" w:sz="8" w:color="auto"/>
            </w:tcBorders>
          </w:tcPr>
          <w:p>
            <w:pPr>
              <w:ind w:left="20"/>
              <w:spacing w:after="0" w:line="272" w:lineRule="exact"/>
              <w:rPr>
                <w:sz w:val="20"/>
                <w:szCs w:val="20"/>
                <w:color w:val="auto"/>
              </w:rPr>
            </w:pPr>
            <w:r>
              <w:rPr>
                <w:rFonts w:ascii="Times New Roman" w:cs="Times New Roman" w:eastAsia="Times New Roman" w:hAnsi="Times New Roman"/>
                <w:sz w:val="18"/>
                <w:szCs w:val="18"/>
                <w:b w:val="1"/>
                <w:bCs w:val="1"/>
                <w:color w:val="auto"/>
                <w:w w:val="96"/>
              </w:rPr>
              <w:t>the Past 5 Years</w:t>
            </w:r>
            <w:r>
              <w:rPr>
                <w:rFonts w:ascii="Times New Roman" w:cs="Times New Roman" w:eastAsia="Times New Roman" w:hAnsi="Times New Roman"/>
                <w:sz w:val="24"/>
                <w:szCs w:val="24"/>
                <w:b w:val="1"/>
                <w:bCs w:val="1"/>
                <w:color w:val="auto"/>
                <w:w w:val="96"/>
                <w:vertAlign w:val="superscript"/>
              </w:rPr>
              <w:t>(2)</w:t>
            </w:r>
          </w:p>
        </w:tc>
      </w:tr>
      <w:tr>
        <w:trPr>
          <w:trHeight w:val="46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K. Bernstein (60)</w:t>
            </w:r>
          </w:p>
        </w:tc>
        <w:tc>
          <w:tcPr>
            <w:tcW w:w="1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PNNT - Class II</w:t>
            </w:r>
          </w:p>
        </w:tc>
        <w:tc>
          <w:tcPr>
            <w:tcW w:w="12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The Bernstein Companies, a</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0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Advisory Board</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Nominee</w:t>
            </w: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D.C.-based real estate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2007;</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development firm, since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University</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expires, if</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1995 and President and Chief Executive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elected, 2027</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Officer of Consortium Atlantic Realty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since</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Trust, Inc., a private real estate investment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trust operating in the Mid-Atlantic region,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from 2006. Also, Mr. Bernstein has served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on the Board of Overseers of the School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Arts and Sciences at the University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from 2012 to 2021 and the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Board of Trustees of the School of Arts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and Sciences at the University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from 2018 to 2022.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590" w:right="339" w:bottom="1440" w:gutter="0" w:footer="0" w:header="0"/>
        </w:sectPr>
      </w:pP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Marshall Brozost (56)</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PNNT - Class I</w:t>
            </w: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Partner at Allen Matkins Leck Gamble</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 since</w:t>
            </w: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Mallory &amp; Natsis LLP, where he serves as</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2007;</w:t>
            </w: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co-chair of the New York real estate</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expires 2026</w:t>
            </w: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group, since September 2023. Prior to</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Allen Matkins Leck Gamble Mallory &amp;</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Natsis LLP, Mr. Brozost practiced law at</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McDermott Will &amp; Emery LLP, From</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2022 to September 2023; Orrick,</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Herrington &amp; Sutcliffe LLP, from July</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2016 to April 2022; at Schulte Roth &amp;</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Zabel LLP from May 2012 to July 2016;</w:t>
            </w:r>
          </w:p>
        </w:tc>
      </w:tr>
      <w:tr>
        <w:trPr>
          <w:trHeight w:val="216"/>
        </w:trPr>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at Dewey &amp; LeBoeuf LLP from 2005</w:t>
            </w:r>
          </w:p>
        </w:tc>
      </w:tr>
      <w:tr>
        <w:trPr>
          <w:trHeight w:val="234"/>
        </w:trPr>
        <w:tc>
          <w:tcPr>
            <w:tcW w:w="1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2012.</w:t>
            </w:r>
          </w:p>
        </w:tc>
      </w:tr>
      <w:tr>
        <w:trPr>
          <w:trHeight w:val="4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Jeffrey Flug (61)</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PNNT - Class II</w:t>
            </w: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Mr. Flug was President of Union Square</w:t>
            </w:r>
          </w:p>
        </w:tc>
      </w:tr>
      <w:tr>
        <w:trPr>
          <w:trHeight w:val="234"/>
        </w:trPr>
        <w:tc>
          <w:tcPr>
            <w:tcW w:w="1940" w:type="dxa"/>
            <w:vAlign w:val="bottom"/>
          </w:tcPr>
          <w:p>
            <w:pPr>
              <w:spacing w:after="0"/>
              <w:rPr>
                <w:sz w:val="20"/>
                <w:szCs w:val="20"/>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Nominee</w:t>
            </w: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 since</w:t>
            </w: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Hospitality</w:t>
            </w:r>
          </w:p>
        </w:tc>
      </w:tr>
      <w:tr>
        <w:trPr>
          <w:trHeight w:val="405"/>
        </w:trPr>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Two</w:t>
      </w:r>
      <w:r>
        <w:rPr>
          <w:sz w:val="20"/>
          <w:szCs w:val="20"/>
          <w:color w:val="auto"/>
        </w:rPr>
        <w:tab/>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Director of Shake</w:t>
      </w:r>
    </w:p>
    <w:p>
      <w:pPr>
        <w:spacing w:after="0" w:line="4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Shack</w:t>
      </w:r>
    </w:p>
    <w:p>
      <w:pPr>
        <w:sectPr>
          <w:pgSz w:w="11900" w:h="16838" w:orient="portrait"/>
          <w:cols w:equalWidth="0" w:num="2">
            <w:col w:w="8400" w:space="580"/>
            <w:col w:w="2260"/>
          </w:cols>
          <w:pgMar w:left="320" w:top="590"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2007;</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Group, an exclusive chain of restaurants,</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expires, if</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2009 to June 2015. Mr. Flug served</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elected, 2027</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Chief Executive Officer and Executive</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of Millennium Promise Alliance,</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 a non-profit organization whose</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mission is to eradicate extreme global</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poverty, from 2006 to 2008. From 2000 to</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2006, Mr. Flug was a Managing Director</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Head of North American Institutional</w:t>
            </w:r>
          </w:p>
        </w:tc>
      </w:tr>
      <w:tr>
        <w:trPr>
          <w:trHeight w:val="234"/>
        </w:trPr>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at JP Morgan’s Investment Bank.</w:t>
            </w:r>
          </w:p>
        </w:tc>
      </w:tr>
      <w:tr>
        <w:trPr>
          <w:trHeight w:val="45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Samuel L. Katz (58)</w:t>
            </w:r>
          </w:p>
        </w:tc>
        <w:tc>
          <w:tcPr>
            <w:tcW w:w="1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PNNT - Class I</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Managing Partner of TZP Group LLC, a</w:t>
            </w:r>
          </w:p>
        </w:tc>
      </w:tr>
      <w:tr>
        <w:trPr>
          <w:trHeight w:val="216"/>
        </w:trPr>
        <w:tc>
          <w:tcPr>
            <w:tcW w:w="1880" w:type="dxa"/>
            <w:vAlign w:val="bottom"/>
          </w:tcPr>
          <w:p>
            <w:pPr>
              <w:spacing w:after="0"/>
              <w:rPr>
                <w:sz w:val="18"/>
                <w:szCs w:val="18"/>
                <w:color w:val="auto"/>
              </w:rPr>
            </w:pPr>
          </w:p>
        </w:tc>
        <w:tc>
          <w:tcPr>
            <w:tcW w:w="1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Nominee</w:t>
            </w: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 since</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equity fund, since 2007. Chief</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2007;</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Officer and director of TZP</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expires 2026</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Strategies Acquisition Corp. (Nasdaq:</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TZPS), a special purpose acquisition</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Before joining TZP Group, Mr.</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Katz was Chief Executive Officer of</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MacAndrews &amp; Forbes Acquisition</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Holdings, Inc. from 2006 to 2007. Prior to</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that position, Mr. Katz was Chairman and</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of the Cendant</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Travel Distribution Services Division from</w:t>
            </w:r>
          </w:p>
        </w:tc>
      </w:tr>
      <w:tr>
        <w:trPr>
          <w:trHeight w:val="234"/>
        </w:trPr>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2001 to 2005.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p>
      <w:pPr>
        <w:spacing w:after="0" w:line="200" w:lineRule="exact"/>
        <w:rPr>
          <w:sz w:val="20"/>
          <w:szCs w:val="20"/>
          <w:color w:val="auto"/>
        </w:rPr>
      </w:pPr>
    </w:p>
    <w:p>
      <w:pPr>
        <w:spacing w:after="0" w:line="24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Times New Roman" w:cs="Times New Roman" w:eastAsia="Times New Roman" w:hAnsi="Times New Roman"/>
          <w:sz w:val="18"/>
          <w:szCs w:val="18"/>
          <w:color w:val="auto"/>
        </w:rPr>
        <w:t>Inc., since</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September 2014;</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Tender Greens, a</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private company,</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since 2015; Sears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Hometown and</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Outlet Stores, Inc.,</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from October 2012</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 September</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2015.</w:t>
      </w:r>
    </w:p>
    <w:p>
      <w:pPr>
        <w:spacing w:after="0" w:line="24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Two</w:t>
      </w:r>
      <w:r>
        <w:rPr>
          <w:sz w:val="20"/>
          <w:szCs w:val="20"/>
          <w:color w:val="auto"/>
        </w:rPr>
        <w:tab/>
      </w:r>
      <w:r>
        <w:rPr>
          <w:rFonts w:ascii="Times New Roman" w:cs="Times New Roman" w:eastAsia="Times New Roman" w:hAnsi="Times New Roman"/>
          <w:sz w:val="18"/>
          <w:szCs w:val="18"/>
          <w:color w:val="auto"/>
        </w:rPr>
        <w:t>Director of TZP</w:t>
      </w:r>
    </w:p>
    <w:p>
      <w:pPr>
        <w:spacing w:after="0" w:line="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Strategies</w:t>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Acquisition Corp.;</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BQ Resorts, LLC;</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Lift Brands, Inc.;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HomeRiver</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Group; Pyramid</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Hotel Group;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Triangle Home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Fashions Holdings,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LLC; Whitestone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Home Furnishings,</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LLC (d/b/a The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Saatva Company);</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Dwellworks;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Rebath Member:</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Executive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Committee of YRF</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Darca; Board of</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Advisors of</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Columbia</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University Irving</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Medical Center</w:t>
      </w:r>
    </w:p>
    <w:p>
      <w:pPr>
        <w:sectPr>
          <w:pgSz w:w="11900" w:h="16838" w:orient="portrait"/>
          <w:cols w:equalWidth="0" w:num="2">
            <w:col w:w="8440" w:space="520"/>
            <w:col w:w="2240"/>
          </w:cols>
          <w:pgMar w:left="340" w:top="337" w:right="359" w:bottom="1440" w:gutter="0" w:footer="0" w:header="0"/>
        </w:sectPr>
      </w:pPr>
    </w:p>
    <w:bookmarkStart w:id="12" w:name="page13"/>
    <w:bookmarkEnd w:id="12"/>
    <w:tbl>
      <w:tblPr>
        <w:tblLayout w:type="fixed"/>
        <w:tblInd w:w="12" w:type="dxa"/>
        <w:tblCellMar>
          <w:top w:w="0" w:type="dxa"/>
          <w:left w:w="0" w:type="dxa"/>
          <w:bottom w:w="0" w:type="dxa"/>
          <w:right w:w="0" w:type="dxa"/>
        </w:tblCellMar>
      </w:tblPr>
      <w:tr>
        <w:trPr>
          <w:trHeight w:val="27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 (60)</w:t>
            </w:r>
            <w:r>
              <w:rPr>
                <w:rFonts w:ascii="Times New Roman" w:cs="Times New Roman" w:eastAsia="Times New Roman" w:hAnsi="Times New Roman"/>
                <w:sz w:val="24"/>
                <w:szCs w:val="24"/>
                <w:color w:val="auto"/>
                <w:vertAlign w:val="superscript"/>
              </w:rPr>
              <w:t>(3)</w:t>
            </w: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PNNT - Class III</w:t>
            </w: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Founder, Chairman and Chief Executive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since</w:t>
            </w: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 of the Company from its inception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 and</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2007;</w:t>
            </w: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2007. Mr. Penn also is the Founder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of the</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expires 2025</w:t>
            </w: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Managing Member of the Adviser. Before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of</w:t>
            </w: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founding the Company, Mr. Penn was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Co-Founder of Apollo Investment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where he was a Managing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 from 2004 to 2006. He also served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Chief Operating Officer of Apollo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Corporation from inception in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2004 to 2006 and served as President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Operating Officer in 2006. 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formerly was a Managing Partner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Apollo Value Fund L.P. (formerly Apollo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Distressed Investment Fund, L.P.) from</w:t>
            </w:r>
          </w:p>
        </w:tc>
        <w:tc>
          <w:tcPr>
            <w:tcW w:w="0" w:type="dxa"/>
            <w:vAlign w:val="bottom"/>
          </w:tcPr>
          <w:p>
            <w:pPr>
              <w:spacing w:after="0"/>
              <w:rPr>
                <w:sz w:val="1"/>
                <w:szCs w:val="1"/>
                <w:color w:val="auto"/>
              </w:rPr>
            </w:pPr>
          </w:p>
        </w:tc>
      </w:tr>
      <w:tr>
        <w:trPr>
          <w:trHeight w:val="230"/>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José A. Briones, Jr. (53)</w:t>
            </w:r>
            <w:r>
              <w:rPr>
                <w:rFonts w:ascii="Times New Roman" w:cs="Times New Roman" w:eastAsia="Times New Roman" w:hAnsi="Times New Roman"/>
                <w:sz w:val="24"/>
                <w:szCs w:val="24"/>
                <w:color w:val="auto"/>
                <w:vertAlign w:val="superscript"/>
              </w:rPr>
              <w:t>(4)</w:t>
            </w:r>
          </w:p>
        </w:tc>
        <w:tc>
          <w:tcPr>
            <w:tcW w:w="1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2003 to 2006.</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PNNT - Class III</w:t>
            </w: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Briones joined the Adviser in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since</w:t>
            </w: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2009 and is a Senior Partner.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2022;</w:t>
            </w: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joining the Adviser, Mr. Briones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expires 2025</w:t>
            </w: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 a Partner of Apollo Investment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L.P. and a member of its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committee since 2006. Before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that, he was a Managing Director with</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UBS Securities LLC in the Financial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Sponsors and Leveraged Finance Group</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2001 to 2006. Before joining UBS,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he was a Vice President with JP Morgan in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Global Leveraged Finance Group from</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1999 to 2001. From 1992 to 1999, Mr.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Briones was a Vice President at BT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and BT Alex Brown Inc. in the</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Finance Department.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12" w:hanging="512"/>
        <w:spacing w:after="0"/>
        <w:tabs>
          <w:tab w:leader="none" w:pos="51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each officer and director is c/o PennantPark, 1691 Michigan Avenue, Miami Beach, Florida 33139.</w:t>
      </w:r>
    </w:p>
    <w:p>
      <w:pPr>
        <w:spacing w:after="0" w:line="38"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Briones is an interested director due to his position as an officer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-550545</wp:posOffset>
            </wp:positionV>
            <wp:extent cx="1663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60"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Two</w:t>
      </w:r>
      <w:r>
        <w:rPr>
          <w:sz w:val="20"/>
          <w:szCs w:val="20"/>
          <w:color w:val="auto"/>
        </w:rPr>
        <w:tab/>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None</w:t>
      </w:r>
    </w:p>
    <w:p>
      <w:pPr>
        <w:sectPr>
          <w:pgSz w:w="11900" w:h="16838" w:orient="portrait"/>
          <w:cols w:equalWidth="0" w:num="2">
            <w:col w:w="8812" w:space="160"/>
            <w:col w:w="1740"/>
          </w:cols>
          <w:pgMar w:left="328" w:top="277" w:right="8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New York Stock Exchange ("NYSE") corporate governance rules require listed companies to have a board of directors with at least a majority of independent directors.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Under NYSE corporate governance rules, in order for a director to be deemed independent, the Board must affirmatively determine that the individual does not have a material relationship with the Company, either directly or as a partner, shareholder or officer of an organization that has a relationship with the Company. On an annual basis, each director is required to complete an independence questionnaire designed to provide information to assist the Board in determining whether the director is independent under NYSE corporate governance rules, the 1940 Act and applicable corporate governance guidelines. The Board has determined that each of its directors, other than Messrs. Penn and Briones, is independent under the applicable listing standards of NYSE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191"/>
        </w:trPr>
        <w:tc>
          <w:tcPr>
            <w:tcW w:w="3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5"/>
              </w:rPr>
              <w:t>(1)</w:t>
            </w:r>
          </w:p>
        </w:tc>
        <w:tc>
          <w:tcPr>
            <w:tcW w:w="1086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The listing of the common stock of the Company transferred from Nasdaq to NYSE effective April 14,  2022. Prior to such transfer, the Company's</w:t>
            </w:r>
          </w:p>
        </w:tc>
      </w:tr>
      <w:tr>
        <w:trPr>
          <w:trHeight w:val="234"/>
        </w:trPr>
        <w:tc>
          <w:tcPr>
            <w:tcW w:w="360" w:type="dxa"/>
            <w:vAlign w:val="bottom"/>
          </w:tcPr>
          <w:p>
            <w:pPr>
              <w:spacing w:after="0"/>
              <w:rPr>
                <w:sz w:val="20"/>
                <w:szCs w:val="20"/>
                <w:color w:val="auto"/>
              </w:rPr>
            </w:pPr>
          </w:p>
        </w:tc>
        <w:tc>
          <w:tcPr>
            <w:tcW w:w="10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practices complied with the applicable Nasdaq listing requirements.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six directors on the Board are Independent Directors.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two-thirds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From 2012 to 2021, Mr. Bernstein was appointed to the Board of Overseers of the School of Arts and Sciences at the University of Pennsylvania and has served on the Board of Trustees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of the School of Arts and Sciences at the University of Pennsylvania from 2018 to 2022 and on the Advisory Board of University Research Corporation since 2020.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José A. Briones, Jr.</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Briones brings to the Board 30 years of business leadership and experience and knowledge of senior lending, mezzanine lending, leveraged finance, distressed debt and private equity businesses, as well as diverse management practices. He is responsible for and oversees originating, underwriting, executing, and monitoring investments for the Adviser, as well as overseeing various strategic initiatives and serves as a Portfolio Manager. Before joining the Adviser, Mr. Briones was a Partner of Apollo Investment Management, L.P. and a member of its investment committee. Before that, Mr. Briones was a Managing Director with UBS Securities LLC in the Financial Sponsors and Leveraged Finance Group from 2001 to 2006. Before joining UBS, Mr. Briones was a Vice President with JP Morgan in the Global Leveraged Finance Group from 1999 to 2001. From 1992 to 1999, Mr. Briones was a Vice President at BT Securities and BT Alex Brown Inc. in the Corporate Finance Department.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Mr. Brozost brings to the Board 25 years of experience in the areas of finance, private equity, mergers and acquisitions and restructurings. Since September 2023, Mr. Brozost has been a Partner at Allen Matkins Leck Gamble Mallory &amp; Natsis LLP, where he serves as co-chair of the New York real estate group. Prior to Allen Matkins Leck Gamble Mallory &amp; Natsis LLP, Mr. Brozost practiced law at McDermott Will &amp; Emery LLP from April 2022 to September 2023, at Orrick, Herrington &amp; Sutcliffe LLP from July 2016 to April 2022,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BQ Resorts, LLC; Lift Brands, Inc.; HomeRiver Group; Pyramid Hotel Group; Triangle Home Fashions Holdings, LLC; Whitestone Home Furnishings, LLC (d/b/a The Saatva Company); Dwellworks Investors; Rebath and YRF Darca; and he currently serves on the Board of Advisors of Columbia University Irving Medical Center.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2023, the Board held four Board meetings, four Audit Committee meetings, one Nominating and Corporate Governance Committee meetings and one Compensation Committee meetings.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by audio webcast the annual Stockholders’ meeting that was held virtually.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Board are Messrs. Bernstein, Brozost, Flug and Katz, each of whom is independent for purposes of the 1940 Act and the NYSE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Board are Messrs. Bernstein, Brozost, Flug and Katz, each of whom is independent for purposes of the 1940 Act and the NYSE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1691 Michigan Avenue Miami Beach, Florida 33139.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NYSE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NYSE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Stockholders with questions about the Company are encouraged to contact our Investor Relations Department at 1691 Michigan Avenue, Miami Beach, Florida 33139 or by visiting the investor relations web page on our website (http://www.pennantpark.com). However, if Stockholders believe that their questions have not been addressed, they may communicate with the Board by sending their communications to Thomas J. Friedmann, Secretary, c/o PennantPark, 1691 Michigan Avenue, Miami Beach, Florida 33139. All Stockholder communications received in this manner will be delivered to one or more members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3"/>
                <w:szCs w:val="13"/>
                <w:color w:val="auto"/>
              </w:rPr>
            </w:pPr>
          </w:p>
        </w:tc>
        <w:tc>
          <w:tcPr>
            <w:tcW w:w="6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87"/>
        </w:trPr>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6"/>
                <w:szCs w:val="16"/>
                <w:color w:val="auto"/>
              </w:rPr>
            </w:pPr>
          </w:p>
        </w:tc>
        <w:tc>
          <w:tcPr>
            <w:tcW w:w="6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Richard T. Allorto, Jr. (51)</w:t>
            </w:r>
          </w:p>
        </w:tc>
        <w:tc>
          <w:tcPr>
            <w:tcW w:w="120" w:type="dxa"/>
            <w:vAlign w:val="bottom"/>
          </w:tcPr>
          <w:p>
            <w:pPr>
              <w:spacing w:after="0"/>
              <w:rPr>
                <w:sz w:val="17"/>
                <w:szCs w:val="17"/>
                <w:color w:val="auto"/>
              </w:rPr>
            </w:pPr>
          </w:p>
        </w:tc>
        <w:tc>
          <w:tcPr>
            <w:tcW w:w="22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20" w:type="dxa"/>
            <w:vAlign w:val="bottom"/>
          </w:tcPr>
          <w:p>
            <w:pPr>
              <w:spacing w:after="0"/>
              <w:rPr>
                <w:sz w:val="17"/>
                <w:szCs w:val="17"/>
                <w:color w:val="auto"/>
              </w:rPr>
            </w:pPr>
          </w:p>
        </w:tc>
        <w:tc>
          <w:tcPr>
            <w:tcW w:w="6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Financial Officer and Treasurer of the Company and PFLT since June 2, 2022.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Allorto was most recently the Chief Financial Officer of Medley Management Inc.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served as the Chief Financial Officer of Sierra Income Corporation and before that Medley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Corporation. Before that, he was a Managing Director at GSC Group from 2001 to</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540" w:right="2120" w:hanging="5532"/>
        <w:spacing w:after="0" w:line="501" w:lineRule="auto"/>
        <w:tabs>
          <w:tab w:leader="none" w:pos="5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1691 Michigan Avenue, Miami Beach, Florida 33139.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1663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70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87"/>
        </w:trPr>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6"/>
                <w:szCs w:val="16"/>
                <w:color w:val="auto"/>
              </w:rPr>
            </w:pPr>
          </w:p>
        </w:tc>
        <w:tc>
          <w:tcPr>
            <w:tcW w:w="6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Frank Galea (55)</w:t>
            </w:r>
          </w:p>
        </w:tc>
        <w:tc>
          <w:tcPr>
            <w:tcW w:w="120" w:type="dxa"/>
            <w:vAlign w:val="bottom"/>
          </w:tcPr>
          <w:p>
            <w:pPr>
              <w:spacing w:after="0"/>
              <w:rPr>
                <w:sz w:val="17"/>
                <w:szCs w:val="17"/>
                <w:color w:val="auto"/>
              </w:rPr>
            </w:pPr>
          </w:p>
        </w:tc>
        <w:tc>
          <w:tcPr>
            <w:tcW w:w="220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7"/>
                <w:szCs w:val="17"/>
                <w:color w:val="auto"/>
              </w:rPr>
            </w:pPr>
          </w:p>
        </w:tc>
        <w:tc>
          <w:tcPr>
            <w:tcW w:w="6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Compliance Officer of the Company and PFLT from May 2023. Mr. Galea joined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Company’s outsourced Compliance service provider, ACA Group, in 2022 serving 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deputy to the Company’s previous Chief Compliance Officer. Prior to joining ACA,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Galea worked for TIAA and its Nuveen subsidiary since 2010 in various Compliance roles,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including Chief Compliance Officer for its agribusiness investment adviser. Mr. Galea has</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been a Chartered Financial Analyst (CFA) charterholder since 2006.</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1691 Michigan Avenue, Miami Beach, Florida 33139.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3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December 8, 2023.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2023. No compensation is paid directly by the Company to any interested director or executive officer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32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5"/>
                <w:szCs w:val="15"/>
                <w:color w:val="auto"/>
              </w:rPr>
            </w:pPr>
          </w:p>
        </w:tc>
        <w:tc>
          <w:tcPr>
            <w:tcW w:w="14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20" w:type="dxa"/>
            <w:vAlign w:val="bottom"/>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expense</w:t>
            </w:r>
            <w:r>
              <w:rPr>
                <w:rFonts w:ascii="Times New Roman" w:cs="Times New Roman" w:eastAsia="Times New Roman" w:hAnsi="Times New Roman"/>
                <w:sz w:val="19"/>
                <w:szCs w:val="19"/>
                <w:b w:val="1"/>
                <w:bCs w:val="1"/>
                <w:color w:val="auto"/>
                <w:w w:val="94"/>
                <w:vertAlign w:val="superscript"/>
              </w:rPr>
              <w:t>(1)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from the Company</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344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1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174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320" w:type="dxa"/>
            <w:vAlign w:val="bottom"/>
            <w:tcBorders>
              <w:top w:val="single" w:sz="8" w:color="CFF0FC"/>
            </w:tcBorders>
          </w:tcPr>
          <w:p>
            <w:pPr>
              <w:spacing w:after="0"/>
              <w:rPr>
                <w:sz w:val="20"/>
                <w:szCs w:val="20"/>
                <w:color w:val="auto"/>
              </w:rPr>
            </w:pPr>
          </w:p>
        </w:tc>
        <w:tc>
          <w:tcPr>
            <w:tcW w:w="1820" w:type="dxa"/>
            <w:vAlign w:val="bottom"/>
            <w:tcBorders>
              <w:top w:val="single" w:sz="8" w:color="CFF0FC"/>
            </w:tcBorders>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54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223,750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Marshall Brozost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320" w:type="dxa"/>
            <w:vAlign w:val="bottom"/>
            <w:shd w:val="clear" w:color="auto" w:fill="CFF0FC"/>
          </w:tcPr>
          <w:p>
            <w:pPr>
              <w:spacing w:after="0"/>
              <w:rPr>
                <w:sz w:val="21"/>
                <w:szCs w:val="21"/>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Jeffrey Flug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320" w:type="dxa"/>
            <w:vAlign w:val="bottom"/>
          </w:tcPr>
          <w:p>
            <w:pPr>
              <w:spacing w:after="0"/>
              <w:rPr>
                <w:sz w:val="20"/>
                <w:szCs w:val="20"/>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Samuel L. Katz</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320" w:type="dxa"/>
            <w:vAlign w:val="bottom"/>
            <w:shd w:val="clear" w:color="auto" w:fill="CFF0FC"/>
          </w:tcPr>
          <w:p>
            <w:pPr>
              <w:spacing w:after="0"/>
              <w:rPr>
                <w:sz w:val="21"/>
                <w:szCs w:val="21"/>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46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Arthur H. Penn</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FF0FC"/>
          </w:tcPr>
          <w:p>
            <w:pPr>
              <w:spacing w:after="0"/>
              <w:rPr>
                <w:sz w:val="21"/>
                <w:szCs w:val="21"/>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9"/>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José A. Briones, Jr.</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20"/>
                <w:szCs w:val="20"/>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Executive officer</w:t>
            </w:r>
          </w:p>
        </w:tc>
        <w:tc>
          <w:tcPr>
            <w:tcW w:w="2140" w:type="dxa"/>
            <w:vAlign w:val="bottom"/>
            <w:tcBorders>
              <w:bottom w:val="single" w:sz="8" w:color="CFF0FC"/>
            </w:tcBorders>
            <w:gridSpan w:val="3"/>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Richard T. Allorto, Jr.</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24"/>
                <w:szCs w:val="24"/>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Allorto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663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14"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As a result of an error in the classification and presentation of cash in the Company’s financial statements for the fiscal year ended September 30, 2023, the Company conducted an analysis to determine whether incentive-based compensation was erroneously awarded, thereby necessitating recovery under the Clawback Policy the Company adopted effective December 1, 2023. Because the Company does not pay or otherwise award incentive-based compensation to its executives, the Company concluded that error did not result in erroneously-awarded incentive-based compensation, and therefore no compensation recovery was required.</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two-thirds of the members are Independent Directors. The Company’s Investment Advisory Management Agreement with the Adviser (the “Investment Management Agreement”) was most recently amended and restated in April 2019 and re-approved by the Board, including a majority of the Independent Directors, in February 2023.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2023, the Adviser earned a base management fee of $16.5 million and an incentive fee of $13.9 million from the Company.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February 2023 and was amended (as amended, the "Administration Agreement") with Board approval, including a majority of the Independent Directors, on July 1, 2022.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Corporate Counsel and their respective staffs. The Company’s Chief Financial Officer is a Managing Director of the Administrator. For the fiscal year ended September 30, 2023, the Adviser and the Administrator, collectively, were reimbursed $1.8 million from the Company for the services described above.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Administration Agreement, the Administrator provides the Company with the office facilities and administrative services necessary to conduct its day-to-day operations. Arthur H. Penn is the managing member of the Adviser and the Administrator.</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in consultation with the Company’s Chief Executive Officer, CCO and legal counsel, has established a written policy to govern the review of potential related party transactions. The Audit Committee of the Board conducts quarterly reviews of any potential related party transactions and, during these reviews, it also considers any conflicts of interest brought to its attention pursuant to the Company’s Code of Conduct or Joint Code of Ethics.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INDEPENDENT REGISTERED PUBLIC ACCOUNTING FIRM</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RSM has been selected as the independent registered public accounting firm to audit the consolidated financial statements of the Company and its subsidiaries on and during the Company’s fiscal year ending September 30, 2024.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Annual Meeting and will have the opportunity to make a statement if they desire to do so and will be available to answer questions.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118745</wp:posOffset>
            </wp:positionV>
            <wp:extent cx="939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118745</wp:posOffset>
            </wp:positionV>
            <wp:extent cx="939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262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3160" w:type="dxa"/>
            <w:vAlign w:val="bottom"/>
            <w:tcBorders>
              <w:top w:val="single" w:sz="8" w:color="auto"/>
              <w:bottom w:val="single" w:sz="8" w:color="auto"/>
            </w:tcBorders>
          </w:tcPr>
          <w:p>
            <w:pPr>
              <w:jc w:val="right"/>
              <w:ind w:right="12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r>
      <w:tr>
        <w:trPr>
          <w:trHeight w:val="23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620" w:type="dxa"/>
            <w:vAlign w:val="bottom"/>
            <w:shd w:val="clear" w:color="auto" w:fill="CFF0FC"/>
          </w:tcPr>
          <w:p>
            <w:pPr>
              <w:jc w:val="right"/>
              <w:ind w:right="24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382,500</w:t>
            </w:r>
          </w:p>
        </w:tc>
        <w:tc>
          <w:tcPr>
            <w:tcW w:w="110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384,205</w:t>
            </w: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p>
        </w:tc>
        <w:tc>
          <w:tcPr>
            <w:tcW w:w="2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6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100" w:type="dxa"/>
            <w:vAlign w:val="bottom"/>
          </w:tcPr>
          <w:p>
            <w:pPr>
              <w:spacing w:after="0"/>
              <w:rPr>
                <w:sz w:val="20"/>
                <w:szCs w:val="20"/>
                <w:color w:val="auto"/>
              </w:rPr>
            </w:pPr>
          </w:p>
        </w:tc>
      </w:tr>
      <w:tr>
        <w:trPr>
          <w:trHeight w:val="241"/>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shd w:val="clear" w:color="auto" w:fill="CFF0FC"/>
          </w:tcPr>
          <w:p>
            <w:pPr>
              <w:jc w:val="right"/>
              <w:ind w:right="24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403,100</w:t>
            </w:r>
          </w:p>
        </w:tc>
        <w:tc>
          <w:tcPr>
            <w:tcW w:w="110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483,480</w:t>
            </w:r>
          </w:p>
        </w:tc>
        <w:tc>
          <w:tcPr>
            <w:tcW w:w="100" w:type="dxa"/>
            <w:vAlign w:val="bottom"/>
            <w:shd w:val="clear" w:color="auto" w:fill="CFF0FC"/>
          </w:tcPr>
          <w:p>
            <w:pPr>
              <w:spacing w:after="0"/>
              <w:rPr>
                <w:sz w:val="20"/>
                <w:szCs w:val="20"/>
                <w:color w:val="auto"/>
              </w:rPr>
            </w:pPr>
          </w:p>
        </w:tc>
      </w:tr>
    </w:tbl>
    <w:p>
      <w:pPr>
        <w:spacing w:after="0" w:line="22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2023 were approved by the Audit Committee in accordance with such policy.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24"/>
          <w:szCs w:val="24"/>
          <w:b w:val="1"/>
          <w:bCs w:val="1"/>
          <w:i w:val="1"/>
          <w:iCs w:val="1"/>
          <w:color w:val="auto"/>
          <w:vertAlign w:val="superscript"/>
        </w:rPr>
        <w:t>(1)</w:t>
      </w:r>
    </w:p>
    <w:p>
      <w:pPr>
        <w:spacing w:after="0" w:line="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2023.</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ind w:left="520" w:right="1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6630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Annual Meeting or that may properly come before the Annual Meeting, apart from the consideration of an adjournment or postponement. If any other matter properly comes before the Annual Meeting, however, the persons named in the proxies will vote on such matter in their discretion.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sufficient number of shares are not present to establish a quorum for the Annual Meeting or there are not sufficient votes to approve a proposal at the Annual Meeting, the chairman of the Annual Meeting may adjourn the Annual Meeting with respect to the Company to permit the further solicitation of proxies.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1691 Michigan Avenue Miami Beach, Florida 33139. Copies of such reports are also posted via the SEC’s Electronic Data Gathering, Analysis, and Retrieval system available on the SEC’s website (http://www.sec.gov).</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Whether or not you expect to participate in the virtual Annual Meeting, please follow the instructions on the Notice of Internet Availability of Proxy Materials to authorize your proxy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www.virtualshareholdermeeting.com/PNNT2024, and enter the 16-digit Control Number included in your Notice of Internet Availability of Proxy Materials. Online check-in will begin at 9:15 a.m., Eastern Time. Please allow time for online check-in procedures. For questions regarding the virtual Annual Meeting please call the support number that will be posted on the virtual Annual Meeting platform log-in page atwww.virtualshareholdermeeting.com/PNNT2024.</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hold its 2025 Annual Meeting of Stockholders in February 2025,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1691 Michigan Avenue, Miami Beach, Florida 33139.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2025 Annual Meeting of Stockholders must be received by the Company between July 23, 2024 and August 22, 2024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8"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The Audit Committee of the Board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involving the CCO, may submit complaints directly to the Audit Committee’s Co-Chairs. Complaints may be submitted on an anonymous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0" w:lineRule="exact"/>
        <w:rPr>
          <w:sz w:val="20"/>
          <w:szCs w:val="20"/>
          <w:color w:val="auto"/>
        </w:rPr>
      </w:pPr>
    </w:p>
    <w:p>
      <w:pPr>
        <w:spacing w:after="0" w:line="22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(virtually). Whether or not you plan to attend the Annual Meeting, you are requested to vote in accordance with the voting instructions in the Notice of Internet Availability of Proxy Materials, or by requesting and promptly returning a completed, dated and signed proxy card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020" cy="403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0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2023</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57720" cy="71964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7196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7196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7196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72053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7205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72053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7205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upperLetter"/>
      <w:start w:val="35"/>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2023-12-13T15:20:20Z</dcterms:created>
  <dcterms:modified xsi:type="dcterms:W3CDTF">2023-12-13T15:20:20Z</dcterms:modified>
</cp:coreProperties>
</file>