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(Amendment No. 2)</w:t>
      </w:r>
      <w:r>
        <w:rPr>
          <w:rFonts w:ascii="Arial" w:cs="Arial" w:eastAsia="Arial" w:hAnsi="Arial"/>
          <w:sz w:val="36"/>
          <w:szCs w:val="36"/>
          <w:b w:val="1"/>
          <w:bCs w:val="1"/>
          <w:color w:val="auto"/>
          <w:vertAlign w:val="superscript"/>
        </w:rPr>
        <w:t>*</w:t>
      </w:r>
    </w:p>
    <w:p>
      <w:pPr>
        <w:spacing w:after="0" w:line="200" w:lineRule="exact"/>
        <w:rPr>
          <w:sz w:val="24"/>
          <w:szCs w:val="24"/>
          <w:color w:val="auto"/>
        </w:rPr>
      </w:pPr>
    </w:p>
    <w:p>
      <w:pPr>
        <w:spacing w:after="0" w:line="382"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Pennantpark Investment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504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708062104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840"/>
        <w:spacing w:after="0"/>
        <w:rPr>
          <w:sz w:val="20"/>
          <w:szCs w:val="20"/>
          <w:color w:val="auto"/>
        </w:rPr>
      </w:pPr>
      <w:r>
        <w:rPr>
          <w:rFonts w:ascii="Arial" w:cs="Arial" w:eastAsia="Arial" w:hAnsi="Arial"/>
          <w:sz w:val="22"/>
          <w:szCs w:val="22"/>
          <w:color w:val="auto"/>
        </w:rPr>
        <w:t>December 31, 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723265</wp:posOffset>
            </wp:positionH>
            <wp:positionV relativeFrom="paragraph">
              <wp:posOffset>142240</wp:posOffset>
            </wp:positionV>
            <wp:extent cx="581850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18505" cy="21590"/>
                    </a:xfrm>
                    <a:prstGeom prst="rect">
                      <a:avLst/>
                    </a:prstGeom>
                    <a:noFill/>
                  </pic:spPr>
                </pic:pic>
              </a:graphicData>
            </a:graphic>
          </wp:anchor>
        </w:drawing>
      </w:r>
    </w:p>
    <w:p>
      <w:pPr>
        <w:spacing w:after="0" w:line="321" w:lineRule="exact"/>
        <w:rPr>
          <w:sz w:val="24"/>
          <w:szCs w:val="24"/>
          <w:color w:val="auto"/>
        </w:rPr>
      </w:pPr>
    </w:p>
    <w:p>
      <w:pPr>
        <w:ind w:left="32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660" w:firstLine="2"/>
        <w:spacing w:after="0" w:line="385" w:lineRule="auto"/>
        <w:tabs>
          <w:tab w:leader="none" w:pos="479"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0" w:lineRule="auto"/>
        <w:rPr>
          <w:rFonts w:ascii="Arial" w:cs="Arial" w:eastAsia="Arial" w:hAnsi="Arial"/>
          <w:sz w:val="19"/>
          <w:szCs w:val="19"/>
          <w:color w:val="auto"/>
        </w:rPr>
      </w:pPr>
      <w:r>
        <w:rPr>
          <w:rFonts w:ascii="Arial" w:cs="Arial" w:eastAsia="Arial" w:hAnsi="Arial"/>
          <w:sz w:val="36"/>
          <w:szCs w:val="36"/>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7" w:lineRule="exact"/>
        <w:rPr>
          <w:sz w:val="24"/>
          <w:szCs w:val="24"/>
          <w:color w:val="auto"/>
        </w:rPr>
      </w:pPr>
    </w:p>
    <w:p>
      <w:pPr>
        <w:jc w:val="both"/>
        <w:ind w:right="10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3765" cy="8890"/>
                    </a:xfrm>
                    <a:prstGeom prst="rect">
                      <a:avLst/>
                    </a:prstGeom>
                    <a:noFill/>
                  </pic:spPr>
                </pic:pic>
              </a:graphicData>
            </a:graphic>
          </wp:anchor>
        </w:drawing>
        <w:t>CUSIP No. 708062104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170180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tbl>
      <w:tblPr>
        <w:tblLayout w:type="fixed"/>
        <w:tblInd w:w="80" w:type="dxa"/>
        <w:tblCellMar>
          <w:top w:w="0" w:type="dxa"/>
          <w:left w:w="0" w:type="dxa"/>
          <w:bottom w:w="0" w:type="dxa"/>
          <w:right w:w="0" w:type="dxa"/>
        </w:tblCellMar>
      </w:tblPr>
      <w:tr>
        <w:trPr>
          <w:trHeight w:val="253"/>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1.</w:t>
            </w:r>
          </w:p>
        </w:tc>
        <w:tc>
          <w:tcPr>
            <w:tcW w:w="7360" w:type="dxa"/>
            <w:vAlign w:val="bottom"/>
          </w:tcPr>
          <w:p>
            <w:pPr>
              <w:ind w:left="780"/>
              <w:spacing w:after="0"/>
              <w:rPr>
                <w:sz w:val="20"/>
                <w:szCs w:val="20"/>
                <w:color w:val="auto"/>
              </w:rPr>
            </w:pPr>
            <w:r>
              <w:rPr>
                <w:rFonts w:ascii="Arial" w:cs="Arial" w:eastAsia="Arial" w:hAnsi="Arial"/>
                <w:sz w:val="22"/>
                <w:szCs w:val="22"/>
                <w:color w:val="auto"/>
              </w:rPr>
              <w:t>NAMES OF REPORTING PERSONS</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w w:val="93"/>
              </w:rPr>
              <w:t>I.R.S. IDENTIFICATION NO. OF ABOVE PERSONS (ENTITIES ONLY)</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Wellington Management Company, LLP</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04-2683227</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2.</w:t>
            </w:r>
          </w:p>
        </w:tc>
        <w:tc>
          <w:tcPr>
            <w:tcW w:w="7360" w:type="dxa"/>
            <w:vAlign w:val="bottom"/>
          </w:tcPr>
          <w:p>
            <w:pPr>
              <w:ind w:left="780"/>
              <w:spacing w:after="0"/>
              <w:rPr>
                <w:sz w:val="20"/>
                <w:szCs w:val="20"/>
                <w:color w:val="auto"/>
              </w:rPr>
            </w:pPr>
            <w:r>
              <w:rPr>
                <w:rFonts w:ascii="Arial" w:cs="Arial" w:eastAsia="Arial" w:hAnsi="Arial"/>
                <w:sz w:val="22"/>
                <w:szCs w:val="22"/>
                <w:color w:val="auto"/>
              </w:rPr>
              <w:t>CHECK THE APPROPRIATE BOX IF A MEMBER OF A GROUP</w:t>
            </w:r>
          </w:p>
        </w:tc>
      </w:tr>
      <w:tr>
        <w:trPr>
          <w:trHeight w:val="455"/>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(a) [ ]</w:t>
            </w:r>
          </w:p>
        </w:tc>
      </w:tr>
      <w:tr>
        <w:trPr>
          <w:trHeight w:val="275"/>
        </w:trPr>
        <w:tc>
          <w:tcPr>
            <w:tcW w:w="920" w:type="dxa"/>
            <w:vAlign w:val="bottom"/>
          </w:tcPr>
          <w:p>
            <w:pPr>
              <w:spacing w:after="0"/>
              <w:rPr>
                <w:sz w:val="23"/>
                <w:szCs w:val="23"/>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3.</w:t>
            </w:r>
          </w:p>
        </w:tc>
        <w:tc>
          <w:tcPr>
            <w:tcW w:w="7360" w:type="dxa"/>
            <w:vAlign w:val="bottom"/>
          </w:tcPr>
          <w:p>
            <w:pPr>
              <w:ind w:left="780"/>
              <w:spacing w:after="0"/>
              <w:rPr>
                <w:sz w:val="20"/>
                <w:szCs w:val="20"/>
                <w:color w:val="auto"/>
              </w:rPr>
            </w:pPr>
            <w:r>
              <w:rPr>
                <w:rFonts w:ascii="Arial" w:cs="Arial" w:eastAsia="Arial" w:hAnsi="Arial"/>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Arial" w:cs="Arial" w:eastAsia="Arial" w:hAnsi="Arial"/>
                <w:sz w:val="22"/>
                <w:szCs w:val="22"/>
                <w:color w:val="auto"/>
                <w:w w:val="76"/>
              </w:rPr>
              <w:t>4.</w:t>
            </w:r>
          </w:p>
        </w:tc>
        <w:tc>
          <w:tcPr>
            <w:tcW w:w="7360" w:type="dxa"/>
            <w:vAlign w:val="bottom"/>
          </w:tcPr>
          <w:p>
            <w:pPr>
              <w:ind w:left="780"/>
              <w:spacing w:after="0"/>
              <w:rPr>
                <w:sz w:val="20"/>
                <w:szCs w:val="20"/>
                <w:color w:val="auto"/>
              </w:rPr>
            </w:pPr>
            <w:r>
              <w:rPr>
                <w:rFonts w:ascii="Arial" w:cs="Arial" w:eastAsia="Arial" w:hAnsi="Arial"/>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7360" w:type="dxa"/>
            <w:vAlign w:val="bottom"/>
          </w:tcPr>
          <w:p>
            <w:pPr>
              <w:ind w:left="780"/>
              <w:spacing w:after="0"/>
              <w:rPr>
                <w:sz w:val="20"/>
                <w:szCs w:val="20"/>
                <w:color w:val="auto"/>
              </w:rPr>
            </w:pPr>
            <w:r>
              <w:rPr>
                <w:rFonts w:ascii="Arial" w:cs="Arial" w:eastAsia="Arial" w:hAnsi="Arial"/>
                <w:sz w:val="22"/>
                <w:szCs w:val="22"/>
                <w:color w:val="auto"/>
              </w:rPr>
              <w:t>Massachusetts</w:t>
            </w:r>
          </w:p>
        </w:tc>
      </w:tr>
    </w:tbl>
    <w:p>
      <w:pPr>
        <w:spacing w:after="0" w:line="185" w:lineRule="exact"/>
        <w:rPr>
          <w:sz w:val="20"/>
          <w:szCs w:val="20"/>
          <w:color w:val="auto"/>
        </w:rPr>
      </w:pPr>
    </w:p>
    <w:tbl>
      <w:tblPr>
        <w:tblLayout w:type="fixed"/>
        <w:tblInd w:w="80" w:type="dxa"/>
        <w:tblCellMar>
          <w:top w:w="0" w:type="dxa"/>
          <w:left w:w="0" w:type="dxa"/>
          <w:bottom w:w="0" w:type="dxa"/>
          <w:right w:w="0" w:type="dxa"/>
        </w:tblCellMar>
      </w:tblPr>
      <w:tr>
        <w:trPr>
          <w:trHeight w:val="275"/>
        </w:trPr>
        <w:tc>
          <w:tcPr>
            <w:tcW w:w="1620" w:type="dxa"/>
            <w:vAlign w:val="bottom"/>
            <w:vMerge w:val="restart"/>
          </w:tcPr>
          <w:p>
            <w:pPr>
              <w:spacing w:after="0"/>
              <w:rPr>
                <w:sz w:val="20"/>
                <w:szCs w:val="20"/>
                <w:color w:val="auto"/>
              </w:rPr>
            </w:pPr>
            <w:r>
              <w:rPr>
                <w:rFonts w:ascii="Arial" w:cs="Arial" w:eastAsia="Arial" w:hAnsi="Arial"/>
                <w:sz w:val="22"/>
                <w:szCs w:val="22"/>
                <w:color w:val="auto"/>
              </w:rPr>
              <w:t>NUMBER OF</w:t>
            </w:r>
          </w:p>
        </w:tc>
        <w:tc>
          <w:tcPr>
            <w:tcW w:w="420" w:type="dxa"/>
            <w:vAlign w:val="bottom"/>
          </w:tcPr>
          <w:p>
            <w:pPr>
              <w:spacing w:after="0"/>
              <w:rPr>
                <w:sz w:val="23"/>
                <w:szCs w:val="23"/>
                <w:color w:val="auto"/>
              </w:rPr>
            </w:pPr>
          </w:p>
        </w:tc>
        <w:tc>
          <w:tcPr>
            <w:tcW w:w="5320" w:type="dxa"/>
            <w:vAlign w:val="bottom"/>
          </w:tcPr>
          <w:p>
            <w:pPr>
              <w:ind w:left="220"/>
              <w:spacing w:after="0"/>
              <w:rPr>
                <w:sz w:val="20"/>
                <w:szCs w:val="20"/>
                <w:color w:val="auto"/>
              </w:rPr>
            </w:pPr>
            <w:r>
              <w:rPr>
                <w:rFonts w:ascii="Arial" w:cs="Arial" w:eastAsia="Arial" w:hAnsi="Arial"/>
                <w:sz w:val="22"/>
                <w:szCs w:val="22"/>
                <w:color w:val="auto"/>
              </w:rPr>
              <w:t>5. SOLE VOTING POWER</w:t>
            </w:r>
          </w:p>
        </w:tc>
        <w:tc>
          <w:tcPr>
            <w:tcW w:w="2720" w:type="dxa"/>
            <w:vAlign w:val="bottom"/>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50"/>
        </w:trPr>
        <w:tc>
          <w:tcPr>
            <w:tcW w:w="16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53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1620" w:type="dxa"/>
            <w:vAlign w:val="bottom"/>
          </w:tcPr>
          <w:p>
            <w:pPr>
              <w:spacing w:after="0" w:line="243" w:lineRule="exact"/>
              <w:rPr>
                <w:sz w:val="20"/>
                <w:szCs w:val="20"/>
                <w:color w:val="auto"/>
              </w:rPr>
            </w:pPr>
            <w:r>
              <w:rPr>
                <w:rFonts w:ascii="Arial" w:cs="Arial" w:eastAsia="Arial" w:hAnsi="Arial"/>
                <w:sz w:val="22"/>
                <w:szCs w:val="22"/>
                <w:color w:val="auto"/>
              </w:rPr>
              <w:t>SHARES</w:t>
            </w:r>
          </w:p>
        </w:tc>
        <w:tc>
          <w:tcPr>
            <w:tcW w:w="420" w:type="dxa"/>
            <w:vAlign w:val="bottom"/>
          </w:tcPr>
          <w:p>
            <w:pPr>
              <w:spacing w:after="0"/>
              <w:rPr>
                <w:sz w:val="21"/>
                <w:szCs w:val="21"/>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6. SHARED VOTING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1,649,350</w:t>
            </w:r>
          </w:p>
        </w:tc>
        <w:tc>
          <w:tcPr>
            <w:tcW w:w="0" w:type="dxa"/>
            <w:vAlign w:val="bottom"/>
          </w:tcPr>
          <w:p>
            <w:pPr>
              <w:spacing w:after="0"/>
              <w:rPr>
                <w:sz w:val="1"/>
                <w:szCs w:val="1"/>
                <w:color w:val="auto"/>
              </w:rPr>
            </w:pPr>
          </w:p>
        </w:tc>
      </w:tr>
      <w:tr>
        <w:trPr>
          <w:trHeight w:val="166"/>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BENEFICIALLY</w:t>
            </w:r>
          </w:p>
        </w:tc>
        <w:tc>
          <w:tcPr>
            <w:tcW w:w="420" w:type="dxa"/>
            <w:vAlign w:val="bottom"/>
          </w:tcPr>
          <w:p>
            <w:pPr>
              <w:spacing w:after="0"/>
              <w:rPr>
                <w:sz w:val="14"/>
                <w:szCs w:val="14"/>
                <w:color w:val="auto"/>
              </w:rPr>
            </w:pPr>
          </w:p>
        </w:tc>
        <w:tc>
          <w:tcPr>
            <w:tcW w:w="5320" w:type="dxa"/>
            <w:vAlign w:val="bottom"/>
            <w:vMerge w:val="continue"/>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5320" w:type="dxa"/>
            <w:vAlign w:val="bottom"/>
          </w:tcPr>
          <w:p>
            <w:pPr>
              <w:spacing w:after="0"/>
              <w:rPr>
                <w:sz w:val="6"/>
                <w:szCs w:val="6"/>
                <w:color w:val="auto"/>
              </w:rPr>
            </w:pPr>
          </w:p>
        </w:tc>
        <w:tc>
          <w:tcPr>
            <w:tcW w:w="2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40" w:type="dxa"/>
            <w:vAlign w:val="bottom"/>
            <w:gridSpan w:val="2"/>
          </w:tcPr>
          <w:p>
            <w:pPr>
              <w:spacing w:after="0" w:line="243" w:lineRule="exact"/>
              <w:rPr>
                <w:sz w:val="20"/>
                <w:szCs w:val="20"/>
                <w:color w:val="auto"/>
              </w:rPr>
            </w:pPr>
            <w:r>
              <w:rPr>
                <w:rFonts w:ascii="Arial" w:cs="Arial" w:eastAsia="Arial" w:hAnsi="Arial"/>
                <w:sz w:val="22"/>
                <w:szCs w:val="22"/>
                <w:color w:val="auto"/>
              </w:rPr>
              <w:t>OWNED BY EACH</w:t>
            </w: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7. SOLE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139"/>
        </w:trPr>
        <w:tc>
          <w:tcPr>
            <w:tcW w:w="1620" w:type="dxa"/>
            <w:vAlign w:val="bottom"/>
            <w:vMerge w:val="restart"/>
          </w:tcPr>
          <w:p>
            <w:pPr>
              <w:spacing w:after="0" w:line="243" w:lineRule="exact"/>
              <w:rPr>
                <w:sz w:val="20"/>
                <w:szCs w:val="20"/>
                <w:color w:val="auto"/>
              </w:rPr>
            </w:pPr>
            <w:r>
              <w:rPr>
                <w:rFonts w:ascii="Arial" w:cs="Arial" w:eastAsia="Arial" w:hAnsi="Arial"/>
                <w:sz w:val="22"/>
                <w:szCs w:val="22"/>
                <w:color w:val="auto"/>
              </w:rPr>
              <w:t>REPORTING</w:t>
            </w:r>
          </w:p>
        </w:tc>
        <w:tc>
          <w:tcPr>
            <w:tcW w:w="420" w:type="dxa"/>
            <w:vAlign w:val="bottom"/>
          </w:tcPr>
          <w:p>
            <w:pPr>
              <w:spacing w:after="0"/>
              <w:rPr>
                <w:sz w:val="12"/>
                <w:szCs w:val="12"/>
                <w:color w:val="auto"/>
              </w:rPr>
            </w:pPr>
          </w:p>
        </w:tc>
        <w:tc>
          <w:tcPr>
            <w:tcW w:w="5320" w:type="dxa"/>
            <w:vAlign w:val="bottom"/>
            <w:vMerge w:val="continue"/>
          </w:tcPr>
          <w:p>
            <w:pPr>
              <w:spacing w:after="0"/>
              <w:rPr>
                <w:sz w:val="12"/>
                <w:szCs w:val="12"/>
                <w:color w:val="auto"/>
              </w:rPr>
            </w:pPr>
          </w:p>
        </w:tc>
        <w:tc>
          <w:tcPr>
            <w:tcW w:w="2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16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5"/>
        </w:trPr>
        <w:tc>
          <w:tcPr>
            <w:tcW w:w="1620" w:type="dxa"/>
            <w:vAlign w:val="bottom"/>
          </w:tcPr>
          <w:p>
            <w:pPr>
              <w:spacing w:after="0"/>
              <w:rPr>
                <w:sz w:val="20"/>
                <w:szCs w:val="20"/>
                <w:color w:val="auto"/>
              </w:rPr>
            </w:pPr>
            <w:r>
              <w:rPr>
                <w:rFonts w:ascii="Arial" w:cs="Arial" w:eastAsia="Arial" w:hAnsi="Arial"/>
                <w:sz w:val="22"/>
                <w:szCs w:val="22"/>
                <w:color w:val="auto"/>
              </w:rPr>
              <w:t>PERSON WITH</w:t>
            </w:r>
          </w:p>
        </w:tc>
        <w:tc>
          <w:tcPr>
            <w:tcW w:w="420" w:type="dxa"/>
            <w:vAlign w:val="bottom"/>
          </w:tcPr>
          <w:p>
            <w:pPr>
              <w:spacing w:after="0"/>
              <w:rPr>
                <w:sz w:val="23"/>
                <w:szCs w:val="23"/>
                <w:color w:val="auto"/>
              </w:rPr>
            </w:pPr>
          </w:p>
        </w:tc>
        <w:tc>
          <w:tcPr>
            <w:tcW w:w="5320" w:type="dxa"/>
            <w:vAlign w:val="bottom"/>
            <w:vMerge w:val="restart"/>
          </w:tcPr>
          <w:p>
            <w:pPr>
              <w:ind w:left="220"/>
              <w:spacing w:after="0"/>
              <w:rPr>
                <w:sz w:val="20"/>
                <w:szCs w:val="20"/>
                <w:color w:val="auto"/>
              </w:rPr>
            </w:pPr>
            <w:r>
              <w:rPr>
                <w:rFonts w:ascii="Arial" w:cs="Arial" w:eastAsia="Arial" w:hAnsi="Arial"/>
                <w:sz w:val="22"/>
                <w:szCs w:val="22"/>
                <w:color w:val="auto"/>
              </w:rPr>
              <w:t>8. SHARED DISPOSITIVE POWER</w:t>
            </w:r>
          </w:p>
        </w:tc>
        <w:tc>
          <w:tcPr>
            <w:tcW w:w="2720" w:type="dxa"/>
            <w:vAlign w:val="bottom"/>
            <w:vMerge w:val="restart"/>
          </w:tcPr>
          <w:p>
            <w:pPr>
              <w:ind w:left="1840"/>
              <w:spacing w:after="0"/>
              <w:rPr>
                <w:sz w:val="20"/>
                <w:szCs w:val="20"/>
                <w:color w:val="auto"/>
              </w:rPr>
            </w:pPr>
            <w:r>
              <w:rPr>
                <w:rFonts w:ascii="Arial" w:cs="Arial" w:eastAsia="Arial" w:hAnsi="Arial"/>
                <w:sz w:val="22"/>
                <w:szCs w:val="22"/>
                <w:color w:val="auto"/>
                <w:w w:val="87"/>
              </w:rPr>
              <w:t>2,306,337</w:t>
            </w:r>
          </w:p>
        </w:tc>
        <w:tc>
          <w:tcPr>
            <w:tcW w:w="0" w:type="dxa"/>
            <w:vAlign w:val="bottom"/>
          </w:tcPr>
          <w:p>
            <w:pPr>
              <w:spacing w:after="0"/>
              <w:rPr>
                <w:sz w:val="1"/>
                <w:szCs w:val="1"/>
                <w:color w:val="auto"/>
              </w:rPr>
            </w:pPr>
          </w:p>
        </w:tc>
      </w:tr>
      <w:tr>
        <w:trPr>
          <w:trHeight w:val="81"/>
        </w:trPr>
        <w:tc>
          <w:tcPr>
            <w:tcW w:w="1620" w:type="dxa"/>
            <w:vAlign w:val="bottom"/>
          </w:tcPr>
          <w:p>
            <w:pPr>
              <w:spacing w:after="0"/>
              <w:rPr>
                <w:sz w:val="7"/>
                <w:szCs w:val="7"/>
                <w:color w:val="auto"/>
              </w:rPr>
            </w:pPr>
          </w:p>
        </w:tc>
        <w:tc>
          <w:tcPr>
            <w:tcW w:w="420" w:type="dxa"/>
            <w:vAlign w:val="bottom"/>
          </w:tcPr>
          <w:p>
            <w:pPr>
              <w:spacing w:after="0"/>
              <w:rPr>
                <w:sz w:val="7"/>
                <w:szCs w:val="7"/>
                <w:color w:val="auto"/>
              </w:rPr>
            </w:pPr>
          </w:p>
        </w:tc>
        <w:tc>
          <w:tcPr>
            <w:tcW w:w="5320" w:type="dxa"/>
            <w:vAlign w:val="bottom"/>
            <w:vMerge w:val="continue"/>
          </w:tcPr>
          <w:p>
            <w:pPr>
              <w:spacing w:after="0"/>
              <w:rPr>
                <w:sz w:val="7"/>
                <w:szCs w:val="7"/>
                <w:color w:val="auto"/>
              </w:rPr>
            </w:pPr>
          </w:p>
        </w:tc>
        <w:tc>
          <w:tcPr>
            <w:tcW w:w="2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620" w:type="dxa"/>
            <w:vAlign w:val="bottom"/>
          </w:tcPr>
          <w:p>
            <w:pPr>
              <w:spacing w:after="0"/>
              <w:rPr>
                <w:sz w:val="20"/>
                <w:szCs w:val="20"/>
                <w:color w:val="auto"/>
              </w:rPr>
            </w:pPr>
            <w:r>
              <w:rPr>
                <w:rFonts w:ascii="Arial" w:cs="Arial" w:eastAsia="Arial" w:hAnsi="Arial"/>
                <w:sz w:val="22"/>
                <w:szCs w:val="22"/>
                <w:color w:val="auto"/>
              </w:rPr>
              <w:t>9.</w:t>
            </w:r>
          </w:p>
        </w:tc>
        <w:tc>
          <w:tcPr>
            <w:tcW w:w="8460" w:type="dxa"/>
            <w:vAlign w:val="bottom"/>
            <w:gridSpan w:val="3"/>
          </w:tcPr>
          <w:p>
            <w:pPr>
              <w:ind w:left="8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2,306,337</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1"/>
          <w:szCs w:val="21"/>
          <w:color w:val="auto"/>
        </w:rPr>
        <w:t>10.</w:t>
      </w:r>
      <w:r>
        <w:rPr>
          <w:sz w:val="20"/>
          <w:szCs w:val="20"/>
          <w:color w:val="auto"/>
        </w:rPr>
        <w:tab/>
      </w:r>
      <w:r>
        <w:rPr>
          <w:rFonts w:ascii="Arial" w:cs="Arial" w:eastAsia="Arial" w:hAnsi="Arial"/>
          <w:sz w:val="21"/>
          <w:szCs w:val="21"/>
          <w:color w:val="auto"/>
        </w:rPr>
        <w:t>CHECK IF THE AGGREGATE AMOUNT IN ROW (9) EXCLUDES CERTAIN SHARES</w:t>
      </w:r>
    </w:p>
    <w:p>
      <w:pPr>
        <w:spacing w:after="0" w:line="245"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 ]</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22"/>
          <w:szCs w:val="22"/>
          <w:color w:val="auto"/>
        </w:rPr>
        <w:t>PERCENT OF CLASS REPRESENTED BY AMOUNT IN ROW (9)</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10.95%</w:t>
      </w:r>
    </w:p>
    <w:p>
      <w:pPr>
        <w:spacing w:after="0" w:line="206" w:lineRule="exact"/>
        <w:rPr>
          <w:sz w:val="20"/>
          <w:szCs w:val="20"/>
          <w:color w:val="auto"/>
        </w:rPr>
      </w:pPr>
    </w:p>
    <w:p>
      <w:pPr>
        <w:ind w:left="80"/>
        <w:spacing w:after="0"/>
        <w:tabs>
          <w:tab w:leader="none" w:pos="176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22"/>
          <w:szCs w:val="22"/>
          <w:color w:val="auto"/>
        </w:rPr>
        <w:t>TYPE OF REPORTING PERSON</w:t>
      </w:r>
    </w:p>
    <w:p>
      <w:pPr>
        <w:spacing w:after="0" w:line="233" w:lineRule="exact"/>
        <w:rPr>
          <w:sz w:val="20"/>
          <w:szCs w:val="20"/>
          <w:color w:val="auto"/>
        </w:rPr>
      </w:pPr>
    </w:p>
    <w:p>
      <w:pPr>
        <w:ind w:left="178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79"/>
          </w:cols>
          <w:pgMar w:left="280" w:top="388" w:right="1440"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1.</w:t>
      </w:r>
    </w:p>
    <w:p>
      <w:pPr>
        <w:spacing w:after="0" w:line="125" w:lineRule="exact"/>
        <w:rPr>
          <w:sz w:val="20"/>
          <w:szCs w:val="20"/>
          <w:color w:val="auto"/>
        </w:rPr>
      </w:pPr>
    </w:p>
    <w:p>
      <w:pPr>
        <w:ind w:left="1780" w:hanging="407"/>
        <w:spacing w:after="0"/>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Pennantpark Investment Corporation</w:t>
      </w:r>
    </w:p>
    <w:p>
      <w:pPr>
        <w:spacing w:after="0" w:line="101" w:lineRule="exact"/>
        <w:rPr>
          <w:rFonts w:ascii="Arial" w:cs="Arial" w:eastAsia="Arial" w:hAnsi="Arial"/>
          <w:sz w:val="22"/>
          <w:szCs w:val="22"/>
          <w:b w:val="1"/>
          <w:bCs w:val="1"/>
          <w:color w:val="auto"/>
        </w:rPr>
      </w:pPr>
    </w:p>
    <w:p>
      <w:pPr>
        <w:ind w:left="1780" w:right="5180" w:hanging="407"/>
        <w:spacing w:after="0" w:line="242" w:lineRule="auto"/>
        <w:tabs>
          <w:tab w:leader="none" w:pos="1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Issuer's Principal Executive Offices </w:t>
      </w:r>
      <w:r>
        <w:rPr>
          <w:rFonts w:ascii="Arial" w:cs="Arial" w:eastAsia="Arial" w:hAnsi="Arial"/>
          <w:sz w:val="22"/>
          <w:szCs w:val="22"/>
          <w:color w:val="auto"/>
        </w:rPr>
        <w:t>590 Madison Avenue</w:t>
      </w:r>
    </w:p>
    <w:p>
      <w:pPr>
        <w:ind w:left="1780"/>
        <w:spacing w:after="0" w:line="230" w:lineRule="auto"/>
        <w:rPr>
          <w:rFonts w:ascii="Arial" w:cs="Arial" w:eastAsia="Arial" w:hAnsi="Arial"/>
          <w:sz w:val="22"/>
          <w:szCs w:val="22"/>
          <w:b w:val="1"/>
          <w:bCs w:val="1"/>
          <w:color w:val="auto"/>
        </w:rPr>
      </w:pPr>
      <w:r>
        <w:rPr>
          <w:rFonts w:ascii="Arial" w:cs="Arial" w:eastAsia="Arial" w:hAnsi="Arial"/>
          <w:sz w:val="22"/>
          <w:szCs w:val="22"/>
          <w:color w:val="auto"/>
        </w:rPr>
        <w:t>15th Floor</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New York, NY 10022</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780" w:hanging="407"/>
        <w:spacing w:after="0"/>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Wellington Management Company, LLP (''Wellington Management'')</w:t>
      </w:r>
    </w:p>
    <w:p>
      <w:pPr>
        <w:spacing w:after="0" w:line="101" w:lineRule="exact"/>
        <w:rPr>
          <w:rFonts w:ascii="Arial" w:cs="Arial" w:eastAsia="Arial" w:hAnsi="Arial"/>
          <w:sz w:val="22"/>
          <w:szCs w:val="22"/>
          <w:b w:val="1"/>
          <w:bCs w:val="1"/>
          <w:color w:val="auto"/>
        </w:rPr>
      </w:pPr>
    </w:p>
    <w:p>
      <w:pPr>
        <w:ind w:left="1780" w:right="4080" w:hanging="407"/>
        <w:spacing w:after="0" w:line="242" w:lineRule="auto"/>
        <w:tabs>
          <w:tab w:leader="none" w:pos="178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75 State Street</w:t>
      </w:r>
    </w:p>
    <w:p>
      <w:pPr>
        <w:ind w:left="1780"/>
        <w:spacing w:after="0"/>
        <w:rPr>
          <w:rFonts w:ascii="Arial" w:cs="Arial" w:eastAsia="Arial" w:hAnsi="Arial"/>
          <w:sz w:val="22"/>
          <w:szCs w:val="22"/>
          <w:b w:val="1"/>
          <w:bCs w:val="1"/>
          <w:color w:val="auto"/>
        </w:rPr>
      </w:pPr>
      <w:r>
        <w:rPr>
          <w:rFonts w:ascii="Arial" w:cs="Arial" w:eastAsia="Arial" w:hAnsi="Arial"/>
          <w:sz w:val="22"/>
          <w:szCs w:val="22"/>
          <w:color w:val="auto"/>
        </w:rPr>
        <w:t>Boston, MA 02109</w:t>
      </w:r>
    </w:p>
    <w:p>
      <w:pPr>
        <w:spacing w:after="0" w:line="101" w:lineRule="exact"/>
        <w:rPr>
          <w:rFonts w:ascii="Arial" w:cs="Arial" w:eastAsia="Arial" w:hAnsi="Arial"/>
          <w:sz w:val="22"/>
          <w:szCs w:val="22"/>
          <w:b w:val="1"/>
          <w:bCs w:val="1"/>
          <w:color w:val="auto"/>
        </w:rPr>
      </w:pPr>
    </w:p>
    <w:p>
      <w:pPr>
        <w:ind w:left="1780" w:right="8240" w:hanging="407"/>
        <w:spacing w:after="0" w:line="360" w:lineRule="auto"/>
        <w:tabs>
          <w:tab w:leader="none" w:pos="17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w:t>
      </w:r>
      <w:r>
        <w:rPr>
          <w:rFonts w:ascii="Arial" w:cs="Arial" w:eastAsia="Arial" w:hAnsi="Arial"/>
          <w:sz w:val="18"/>
          <w:szCs w:val="18"/>
          <w:color w:val="auto"/>
        </w:rPr>
        <w:t>Massachusetts</w:t>
      </w:r>
    </w:p>
    <w:p>
      <w:pPr>
        <w:ind w:left="1780" w:right="708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1" w:lineRule="exact"/>
        <w:rPr>
          <w:rFonts w:ascii="Arial" w:cs="Arial" w:eastAsia="Arial" w:hAnsi="Arial"/>
          <w:sz w:val="19"/>
          <w:szCs w:val="19"/>
          <w:b w:val="1"/>
          <w:bCs w:val="1"/>
          <w:color w:val="auto"/>
        </w:rPr>
      </w:pPr>
    </w:p>
    <w:p>
      <w:pPr>
        <w:ind w:left="1780" w:right="8020" w:hanging="407"/>
        <w:spacing w:after="0" w:line="335" w:lineRule="auto"/>
        <w:tabs>
          <w:tab w:leader="none" w:pos="178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708062104</w:t>
      </w:r>
    </w:p>
    <w:p>
      <w:pPr>
        <w:spacing w:after="0" w:line="11" w:lineRule="exact"/>
        <w:rPr>
          <w:sz w:val="20"/>
          <w:szCs w:val="20"/>
          <w:color w:val="auto"/>
        </w:rPr>
      </w:pPr>
    </w:p>
    <w:p>
      <w:pPr>
        <w:ind w:left="1380" w:hanging="1363"/>
        <w:spacing w:after="0" w:line="256" w:lineRule="auto"/>
        <w:tabs>
          <w:tab w:leader="none" w:pos="136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22"/>
          <w:szCs w:val="22"/>
          <w:b w:val="1"/>
          <w:bCs w:val="1"/>
          <w:color w:val="auto"/>
        </w:rPr>
        <w:t>If This Statement is Filed Pursuant to Rule 13d-1(b), or 13d-2(b) or (c), Check Whether the Person Filing is a:</w:t>
      </w:r>
    </w:p>
    <w:p>
      <w:pPr>
        <w:spacing w:after="0" w:line="88" w:lineRule="exact"/>
        <w:rPr>
          <w:sz w:val="20"/>
          <w:szCs w:val="20"/>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Broker or dealer registered under Section 15 of the Act (15 U.S.C. 78o).</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Bank as defined in Section 3(a)(6) of the Act (15 U.S.C. 78c).</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Insurance Company as defined in Section 3(a)(19) of the Act (15 U.S.C. 78c).</w:t>
      </w:r>
    </w:p>
    <w:p>
      <w:pPr>
        <w:spacing w:after="0" w:line="125" w:lineRule="exact"/>
        <w:rPr>
          <w:rFonts w:ascii="Arial" w:cs="Arial" w:eastAsia="Arial" w:hAnsi="Arial"/>
          <w:sz w:val="22"/>
          <w:szCs w:val="22"/>
          <w:color w:val="auto"/>
        </w:rPr>
      </w:pPr>
    </w:p>
    <w:p>
      <w:pPr>
        <w:ind w:left="2240" w:right="3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Investment Company registered under Section 8 of the Investment Company Act of 1940 (15 U.S.C. 80a-8).</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[X]  An investment adviser in accordance with Rule 240.13d-1(b)(1)(ii)(E);</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An employee benefit plan or endowment fund in accordance with Rule 240.13d-1(b)(1)(ii)(F);</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parent holding company or control person in accordance with Rule 240.13d-1(b)(1)(ii)(G);</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159" w:lineRule="exact"/>
        <w:rPr>
          <w:rFonts w:ascii="Arial" w:cs="Arial" w:eastAsia="Arial" w:hAnsi="Arial"/>
          <w:sz w:val="19"/>
          <w:szCs w:val="19"/>
          <w:color w:val="auto"/>
        </w:rPr>
      </w:pPr>
    </w:p>
    <w:p>
      <w:pPr>
        <w:ind w:left="2240" w:right="120" w:hanging="867"/>
        <w:spacing w:after="0" w:line="251" w:lineRule="auto"/>
        <w:tabs>
          <w:tab w:leader="none" w:pos="1781" w:val="left"/>
        </w:tabs>
        <w:numPr>
          <w:ilvl w:val="0"/>
          <w:numId w:val="4"/>
        </w:numPr>
        <w:rPr>
          <w:rFonts w:ascii="Arial" w:cs="Arial" w:eastAsia="Arial" w:hAnsi="Arial"/>
          <w:sz w:val="22"/>
          <w:szCs w:val="22"/>
          <w:color w:val="auto"/>
        </w:rPr>
      </w:pPr>
      <w:r>
        <w:rPr>
          <w:rFonts w:ascii="Arial" w:cs="Arial" w:eastAsia="Arial" w:hAnsi="Arial"/>
          <w:sz w:val="22"/>
          <w:szCs w:val="22"/>
          <w:color w:val="auto"/>
        </w:rPr>
        <w:t>[ ] A church plan that is excluded from the definition of an investment company under Section 3(c)(14) of the Investment Company Act of 1940 (15 U.S.C. 80a-3);</w:t>
      </w:r>
    </w:p>
    <w:p>
      <w:pPr>
        <w:spacing w:after="0" w:line="92" w:lineRule="exact"/>
        <w:rPr>
          <w:rFonts w:ascii="Arial" w:cs="Arial" w:eastAsia="Arial" w:hAnsi="Arial"/>
          <w:sz w:val="22"/>
          <w:szCs w:val="22"/>
          <w:color w:val="auto"/>
        </w:rPr>
      </w:pPr>
    </w:p>
    <w:p>
      <w:pPr>
        <w:ind w:left="1780" w:hanging="407"/>
        <w:spacing w:after="0"/>
        <w:tabs>
          <w:tab w:leader="none" w:pos="1780" w:val="left"/>
        </w:tabs>
        <w:numPr>
          <w:ilvl w:val="0"/>
          <w:numId w:val="4"/>
        </w:numPr>
        <w:rPr>
          <w:rFonts w:ascii="Arial" w:cs="Arial" w:eastAsia="Arial" w:hAnsi="Arial"/>
          <w:sz w:val="22"/>
          <w:szCs w:val="22"/>
          <w:color w:val="auto"/>
        </w:rPr>
      </w:pPr>
      <w:r>
        <w:rPr>
          <w:rFonts w:ascii="Arial" w:cs="Arial" w:eastAsia="Arial" w:hAnsi="Arial"/>
          <w:sz w:val="22"/>
          <w:szCs w:val="22"/>
          <w:color w:val="auto"/>
        </w:rPr>
        <w:t>[ ]   Group, in accordance with Rule 240.13d-1(b)(1)(ii)(J).</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If this statement is filed pursuant to Rule 13d-1(c), check this box [ ]</w:t>
      </w:r>
    </w:p>
    <w:p>
      <w:pPr>
        <w:spacing w:after="0" w:line="119"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131"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2" w:lineRule="exact"/>
        <w:rPr>
          <w:sz w:val="20"/>
          <w:szCs w:val="20"/>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780" w:right="20"/>
        <w:spacing w:after="0" w:line="274" w:lineRule="auto"/>
        <w:rPr>
          <w:rFonts w:ascii="Arial" w:cs="Arial" w:eastAsia="Arial" w:hAnsi="Arial"/>
          <w:sz w:val="22"/>
          <w:szCs w:val="22"/>
          <w:color w:val="auto"/>
        </w:rPr>
      </w:pPr>
      <w:r>
        <w:rPr>
          <w:rFonts w:ascii="Arial" w:cs="Arial" w:eastAsia="Arial" w:hAnsi="Arial"/>
          <w:sz w:val="21"/>
          <w:szCs w:val="21"/>
          <w:color w:val="auto"/>
        </w:rPr>
        <w:t>Wellington Management, in its capacity as investment adviser, may be deemed to beneficially own 2,306,337 shares of the Issuer which are held of record by clients of Wellington Management.</w:t>
      </w:r>
    </w:p>
    <w:p>
      <w:pPr>
        <w:spacing w:after="0" w:line="69"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780"/>
        <w:spacing w:after="0"/>
        <w:rPr>
          <w:rFonts w:ascii="Arial" w:cs="Arial" w:eastAsia="Arial" w:hAnsi="Arial"/>
          <w:sz w:val="22"/>
          <w:szCs w:val="22"/>
          <w:color w:val="auto"/>
        </w:rPr>
      </w:pPr>
      <w:r>
        <w:rPr>
          <w:rFonts w:ascii="Arial" w:cs="Arial" w:eastAsia="Arial" w:hAnsi="Arial"/>
          <w:sz w:val="22"/>
          <w:szCs w:val="22"/>
          <w:color w:val="auto"/>
        </w:rPr>
        <w:t>10.95%</w:t>
      </w:r>
    </w:p>
    <w:p>
      <w:pPr>
        <w:spacing w:after="0" w:line="125" w:lineRule="exact"/>
        <w:rPr>
          <w:rFonts w:ascii="Arial" w:cs="Arial" w:eastAsia="Arial" w:hAnsi="Arial"/>
          <w:sz w:val="22"/>
          <w:szCs w:val="22"/>
          <w:color w:val="auto"/>
        </w:rPr>
      </w:pPr>
    </w:p>
    <w:p>
      <w:pPr>
        <w:ind w:left="1780" w:hanging="407"/>
        <w:spacing w:after="0"/>
        <w:tabs>
          <w:tab w:leader="none" w:pos="1780" w:val="left"/>
        </w:tabs>
        <w:numPr>
          <w:ilvl w:val="0"/>
          <w:numId w:val="5"/>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sz w:val="20"/>
          <w:szCs w:val="20"/>
          <w:color w:val="auto"/>
        </w:rPr>
      </w:pPr>
    </w:p>
    <w:tbl>
      <w:tblPr>
        <w:tblLayout w:type="fixed"/>
        <w:tblInd w:w="1780" w:type="dxa"/>
        <w:tblCellMar>
          <w:top w:w="0" w:type="dxa"/>
          <w:left w:w="0" w:type="dxa"/>
          <w:bottom w:w="0" w:type="dxa"/>
          <w:right w:w="0" w:type="dxa"/>
        </w:tblCellMar>
      </w:tblPr>
      <w:tr>
        <w:trPr>
          <w:trHeight w:val="275"/>
        </w:trPr>
        <w:tc>
          <w:tcPr>
            <w:tcW w:w="380" w:type="dxa"/>
            <w:vAlign w:val="bottom"/>
          </w:tcPr>
          <w:p>
            <w:pPr>
              <w:spacing w:after="0"/>
              <w:rPr>
                <w:sz w:val="20"/>
                <w:szCs w:val="20"/>
                <w:color w:val="auto"/>
              </w:rPr>
            </w:pPr>
            <w:r>
              <w:rPr>
                <w:rFonts w:ascii="Arial" w:cs="Arial" w:eastAsia="Arial" w:hAnsi="Arial"/>
                <w:sz w:val="22"/>
                <w:szCs w:val="22"/>
                <w:color w:val="auto"/>
              </w:rPr>
              <w:t>(i)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vote or to direct the vote</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1,649,350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(iii)</w:t>
            </w:r>
          </w:p>
        </w:tc>
        <w:tc>
          <w:tcPr>
            <w:tcW w:w="6180" w:type="dxa"/>
            <w:vAlign w:val="bottom"/>
          </w:tcPr>
          <w:p>
            <w:pPr>
              <w:ind w:left="80"/>
              <w:spacing w:after="0"/>
              <w:rPr>
                <w:sz w:val="20"/>
                <w:szCs w:val="20"/>
                <w:color w:val="auto"/>
              </w:rPr>
            </w:pPr>
            <w:r>
              <w:rPr>
                <w:rFonts w:ascii="Arial" w:cs="Arial" w:eastAsia="Arial" w:hAnsi="Arial"/>
                <w:sz w:val="22"/>
                <w:szCs w:val="22"/>
                <w:color w:val="auto"/>
              </w:rPr>
              <w:t>sole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rPr>
              <w:t>0</w:t>
            </w:r>
          </w:p>
        </w:tc>
      </w:tr>
      <w:tr>
        <w:trPr>
          <w:trHeight w:val="378"/>
        </w:trPr>
        <w:tc>
          <w:tcPr>
            <w:tcW w:w="380" w:type="dxa"/>
            <w:vAlign w:val="bottom"/>
          </w:tcPr>
          <w:p>
            <w:pPr>
              <w:spacing w:after="0"/>
              <w:rPr>
                <w:sz w:val="20"/>
                <w:szCs w:val="20"/>
                <w:color w:val="auto"/>
              </w:rPr>
            </w:pPr>
            <w:r>
              <w:rPr>
                <w:rFonts w:ascii="Arial" w:cs="Arial" w:eastAsia="Arial" w:hAnsi="Arial"/>
                <w:sz w:val="22"/>
                <w:szCs w:val="22"/>
                <w:color w:val="auto"/>
              </w:rPr>
              <w:t>(iv)</w:t>
            </w:r>
          </w:p>
        </w:tc>
        <w:tc>
          <w:tcPr>
            <w:tcW w:w="6180" w:type="dxa"/>
            <w:vAlign w:val="bottom"/>
          </w:tcPr>
          <w:p>
            <w:pPr>
              <w:ind w:left="80"/>
              <w:spacing w:after="0"/>
              <w:rPr>
                <w:sz w:val="20"/>
                <w:szCs w:val="20"/>
                <w:color w:val="auto"/>
              </w:rPr>
            </w:pPr>
            <w:r>
              <w:rPr>
                <w:rFonts w:ascii="Arial" w:cs="Arial" w:eastAsia="Arial" w:hAnsi="Arial"/>
                <w:sz w:val="22"/>
                <w:szCs w:val="22"/>
                <w:color w:val="auto"/>
              </w:rPr>
              <w:t>shared power to dispose or to direct the disposition of</w:t>
            </w:r>
          </w:p>
        </w:tc>
        <w:tc>
          <w:tcPr>
            <w:tcW w:w="2340" w:type="dxa"/>
            <w:vAlign w:val="bottom"/>
          </w:tcPr>
          <w:p>
            <w:pPr>
              <w:ind w:left="1480"/>
              <w:spacing w:after="0"/>
              <w:rPr>
                <w:sz w:val="20"/>
                <w:szCs w:val="20"/>
                <w:color w:val="auto"/>
              </w:rPr>
            </w:pPr>
            <w:r>
              <w:rPr>
                <w:rFonts w:ascii="Arial" w:cs="Arial" w:eastAsia="Arial" w:hAnsi="Arial"/>
                <w:sz w:val="22"/>
                <w:szCs w:val="22"/>
                <w:color w:val="auto"/>
                <w:w w:val="85"/>
              </w:rPr>
              <w:t>2,306,337</w:t>
            </w:r>
          </w:p>
        </w:tc>
      </w:tr>
    </w:tbl>
    <w:p>
      <w:pPr>
        <w:spacing w:after="0" w:line="98"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ectPr>
          <w:pgSz w:w="11900" w:h="16838" w:orient="portrait"/>
          <w:cols w:equalWidth="0" w:num="1">
            <w:col w:w="11260"/>
          </w:cols>
          <w:pgMar w:left="320" w:top="409" w:right="319" w:bottom="0" w:gutter="0" w:footer="0" w:header="0"/>
        </w:sectPr>
      </w:pPr>
    </w:p>
    <w:bookmarkStart w:id="3" w:name="page4"/>
    <w:bookmarkEnd w:id="3"/>
    <w:p>
      <w:pPr>
        <w:ind w:left="1380" w:right="6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240"/>
          </w:cols>
          <w:pgMar w:left="320" w:top="118" w:right="339" w:bottom="1440" w:gutter="0" w:footer="0" w:header="0"/>
        </w:sectPr>
      </w:pPr>
    </w:p>
    <w:p>
      <w:pPr>
        <w:spacing w:after="0" w:line="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Ownership of More than Five Percent on Behalf of Another Person.</w:t>
      </w:r>
    </w:p>
    <w:p>
      <w:pPr>
        <w:spacing w:after="0" w:line="166"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ind w:left="1380"/>
        <w:spacing w:after="0" w:line="287" w:lineRule="auto"/>
        <w:rPr>
          <w:sz w:val="20"/>
          <w:szCs w:val="20"/>
          <w:color w:val="auto"/>
        </w:rPr>
      </w:pPr>
      <w:r>
        <w:rPr>
          <w:rFonts w:ascii="Arial" w:cs="Arial" w:eastAsia="Arial" w:hAnsi="Arial"/>
          <w:sz w:val="19"/>
          <w:szCs w:val="19"/>
          <w:color w:val="auto"/>
        </w:rPr>
        <w:t>The securities as to which this Schedule is filed by Wellington Management, in its capacity as investment adviser, are owned of record by clients of Wellington Management. Those clients have the right to receive, or the power to direct the receipt of, dividends from, or the proceeds from the sale of, such securities. No such client is known to have such right or power with respect to more than five percent of this class of securities, except as follows:</w:t>
      </w:r>
    </w:p>
    <w:p>
      <w:pPr>
        <w:spacing w:after="0" w:line="170" w:lineRule="exact"/>
        <w:rPr>
          <w:sz w:val="20"/>
          <w:szCs w:val="20"/>
          <w:color w:val="auto"/>
        </w:rPr>
      </w:pPr>
    </w:p>
    <w:p>
      <w:pPr>
        <w:ind w:left="13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7.</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p>
    <w:p>
      <w:pPr>
        <w:ind w:right="140"/>
        <w:spacing w:after="0" w:line="256" w:lineRule="auto"/>
        <w:rPr>
          <w:sz w:val="20"/>
          <w:szCs w:val="20"/>
          <w:color w:val="auto"/>
        </w:rPr>
      </w:pPr>
      <w:r>
        <w:rPr>
          <w:rFonts w:ascii="Arial" w:cs="Arial" w:eastAsia="Arial" w:hAnsi="Arial"/>
          <w:sz w:val="22"/>
          <w:szCs w:val="22"/>
          <w:b w:val="1"/>
          <w:bCs w:val="1"/>
          <w:color w:val="auto"/>
        </w:rPr>
        <w:t>Identification and Classification of the Subsidiary Which Acquired the Security Being Reported on by the Parent Holding Company.</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131"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8.</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Identification and Classification of Members of the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Notice of Dissolution of Group.</w:t>
      </w:r>
    </w:p>
    <w:p>
      <w:pPr>
        <w:spacing w:after="0" w:line="200" w:lineRule="exact"/>
        <w:rPr>
          <w:sz w:val="20"/>
          <w:szCs w:val="20"/>
          <w:color w:val="auto"/>
        </w:rPr>
      </w:pPr>
    </w:p>
    <w:p>
      <w:pPr>
        <w:sectPr>
          <w:pgSz w:w="11900" w:h="16838" w:orient="portrait"/>
          <w:cols w:equalWidth="0" w:num="2">
            <w:col w:w="660" w:space="720"/>
            <w:col w:w="9860"/>
          </w:cols>
          <w:pgMar w:left="320" w:top="118" w:right="339" w:bottom="1440" w:gutter="0" w:footer="0" w:header="0"/>
          <w:type w:val="continuous"/>
        </w:sectPr>
      </w:pPr>
    </w:p>
    <w:p>
      <w:pPr>
        <w:spacing w:after="0" w:line="74" w:lineRule="exact"/>
        <w:rPr>
          <w:sz w:val="20"/>
          <w:szCs w:val="20"/>
          <w:color w:val="auto"/>
        </w:rPr>
      </w:pPr>
    </w:p>
    <w:p>
      <w:pPr>
        <w:ind w:left="1380"/>
        <w:spacing w:after="0"/>
        <w:rPr>
          <w:sz w:val="20"/>
          <w:szCs w:val="20"/>
          <w:color w:val="auto"/>
        </w:rPr>
      </w:pPr>
      <w:r>
        <w:rPr>
          <w:rFonts w:ascii="Arial" w:cs="Arial" w:eastAsia="Arial" w:hAnsi="Arial"/>
          <w:sz w:val="19"/>
          <w:szCs w:val="19"/>
          <w:color w:val="auto"/>
        </w:rPr>
        <w:t>Not Applicable.</w:t>
      </w:r>
    </w:p>
    <w:p>
      <w:pPr>
        <w:sectPr>
          <w:pgSz w:w="11900" w:h="16838" w:orient="portrait"/>
          <w:cols w:equalWidth="0" w:num="1">
            <w:col w:w="11240"/>
          </w:cols>
          <w:pgMar w:left="320" w:top="118" w:right="339" w:bottom="1440" w:gutter="0" w:footer="0" w:header="0"/>
          <w:type w:val="continuous"/>
        </w:sectPr>
      </w:pP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10.</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Certification.</w:t>
      </w:r>
    </w:p>
    <w:p>
      <w:pPr>
        <w:spacing w:after="0" w:line="200" w:lineRule="exact"/>
        <w:rPr>
          <w:sz w:val="20"/>
          <w:szCs w:val="20"/>
          <w:color w:val="auto"/>
        </w:rPr>
      </w:pPr>
    </w:p>
    <w:p>
      <w:pPr>
        <w:sectPr>
          <w:pgSz w:w="11900" w:h="16838" w:orient="portrait"/>
          <w:cols w:equalWidth="0" w:num="2">
            <w:col w:w="760" w:space="620"/>
            <w:col w:w="9860"/>
          </w:cols>
          <w:pgMar w:left="320" w:top="118" w:right="339" w:bottom="1440" w:gutter="0" w:footer="0" w:header="0"/>
          <w:type w:val="continuous"/>
        </w:sectPr>
      </w:pPr>
    </w:p>
    <w:p>
      <w:pPr>
        <w:spacing w:after="0" w:line="74" w:lineRule="exact"/>
        <w:rPr>
          <w:sz w:val="20"/>
          <w:szCs w:val="20"/>
          <w:color w:val="auto"/>
        </w:rPr>
      </w:pPr>
    </w:p>
    <w:p>
      <w:pPr>
        <w:ind w:left="1380" w:right="4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SIGNATURE</w:t>
      </w:r>
    </w:p>
    <w:p>
      <w:pPr>
        <w:spacing w:after="0" w:line="334" w:lineRule="exact"/>
        <w:rPr>
          <w:sz w:val="20"/>
          <w:szCs w:val="20"/>
          <w:color w:val="auto"/>
        </w:rPr>
      </w:pPr>
    </w:p>
    <w:p>
      <w:pPr>
        <w:ind w:left="1120" w:right="1360"/>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By: /s/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Name: Robert J. Toner</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Title: Vice President</w:t>
      </w:r>
    </w:p>
    <w:p>
      <w:pPr>
        <w:spacing w:after="0" w:line="44" w:lineRule="exact"/>
        <w:rPr>
          <w:sz w:val="20"/>
          <w:szCs w:val="20"/>
          <w:color w:val="auto"/>
        </w:rPr>
      </w:pPr>
    </w:p>
    <w:p>
      <w:pPr>
        <w:ind w:left="4140"/>
        <w:spacing w:after="0"/>
        <w:rPr>
          <w:sz w:val="20"/>
          <w:szCs w:val="20"/>
          <w:color w:val="auto"/>
        </w:rPr>
      </w:pPr>
      <w:r>
        <w:rPr>
          <w:rFonts w:ascii="Arial" w:cs="Arial" w:eastAsia="Arial" w:hAnsi="Arial"/>
          <w:sz w:val="22"/>
          <w:szCs w:val="22"/>
          <w:color w:val="auto"/>
        </w:rPr>
        <w:t>Date: February 17, 2009</w:t>
      </w:r>
    </w:p>
    <w:sectPr>
      <w:pgSz w:w="11900" w:h="16838" w:orient="portrait"/>
      <w:cols w:equalWidth="0" w:num="1">
        <w:col w:w="11240"/>
      </w:cols>
      <w:pgMar w:left="320" w:top="11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2]"/>
      <w:numFmt w:val="upperLetter"/>
      <w:start w:val="24"/>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2019-12-11T02:40:46Z</dcterms:created>
  <dcterms:modified xsi:type="dcterms:W3CDTF">2019-12-11T02:40:46Z</dcterms:modified>
</cp:coreProperties>
</file>