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May 9,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40"/>
          </w:cols>
          <w:pgMar w:left="320" w:top="724"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320"/>
          </w:cols>
          <w:pgMar w:left="320" w:top="724" w:right="3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8"/>
        </w:trPr>
        <w:tc>
          <w:tcPr>
            <w:tcW w:w="45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1"/>
              </w:rPr>
              <w:t>Trading Symbol(s)</w:t>
            </w:r>
          </w:p>
        </w:tc>
        <w:tc>
          <w:tcPr>
            <w:tcW w:w="4380" w:type="dxa"/>
            <w:vAlign w:val="bottom"/>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5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3"/>
              </w:rPr>
              <w:t>PNNT</w:t>
            </w:r>
          </w:p>
        </w:tc>
        <w:tc>
          <w:tcPr>
            <w:tcW w:w="4380" w:type="dxa"/>
            <w:vAlign w:val="bottom"/>
          </w:tcPr>
          <w:p>
            <w:pPr>
              <w:jc w:val="center"/>
              <w:ind w:right="10"/>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5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r>
        <w:trPr>
          <w:trHeight w:val="244"/>
        </w:trPr>
        <w:tc>
          <w:tcPr>
            <w:tcW w:w="45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4380" w:type="dxa"/>
            <w:vAlign w:val="bottom"/>
            <w:tcBorders>
              <w:bottom w:val="single" w:sz="8" w:color="auto"/>
            </w:tcBorders>
          </w:tcPr>
          <w:p>
            <w:pPr>
              <w:spacing w:after="0"/>
              <w:rPr>
                <w:sz w:val="21"/>
                <w:szCs w:val="21"/>
                <w:color w:val="auto"/>
              </w:rPr>
            </w:pPr>
          </w:p>
        </w:tc>
      </w:tr>
      <w:tr>
        <w:trPr>
          <w:trHeight w:val="361"/>
        </w:trPr>
        <w:tc>
          <w:tcPr>
            <w:tcW w:w="45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9, 2019, PennantPark Investment Corporation issued a press release announcing its financial results for the second fiscal quarter ended March 31, 2019.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9, 2019</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2019</w:t>
      </w:r>
    </w:p>
    <w:p>
      <w:pPr>
        <w:spacing w:after="0" w:line="212"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NEW YORK, May 09, 2019 (GLOBE NEWSWIRE) -- PennantPark Investment Corporation (NASDAQ: PNNT) announced today financial results for the second fiscal quarter ended March 31,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0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8"/>
        </w:trPr>
        <w:tc>
          <w:tcPr>
            <w:tcW w:w="5000" w:type="dxa"/>
            <w:vAlign w:val="bottom"/>
          </w:tcPr>
          <w:p>
            <w:pPr>
              <w:spacing w:after="0"/>
              <w:rPr>
                <w:sz w:val="20"/>
                <w:szCs w:val="20"/>
                <w:color w:val="auto"/>
              </w:rPr>
            </w:pPr>
            <w:r>
              <w:rPr>
                <w:rFonts w:ascii="Arial" w:cs="Arial" w:eastAsia="Arial" w:hAnsi="Arial"/>
                <w:sz w:val="22"/>
                <w:szCs w:val="22"/>
                <w:color w:val="auto"/>
              </w:rPr>
              <w:t>Quarter ended March 31, 2019</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5000" w:type="dxa"/>
            <w:vAlign w:val="bottom"/>
          </w:tcPr>
          <w:p>
            <w:pPr>
              <w:spacing w:after="0"/>
              <w:rPr>
                <w:sz w:val="20"/>
                <w:szCs w:val="20"/>
                <w:color w:val="auto"/>
              </w:rPr>
            </w:pPr>
            <w:r>
              <w:rPr>
                <w:rFonts w:ascii="Arial" w:cs="Arial" w:eastAsia="Arial" w:hAnsi="Arial"/>
                <w:sz w:val="22"/>
                <w:szCs w:val="22"/>
                <w:color w:val="auto"/>
              </w:rPr>
              <w:t>($ in millions, except per share amounts)</w:t>
            </w: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68"/>
        </w:trPr>
        <w:tc>
          <w:tcPr>
            <w:tcW w:w="500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Investment portfolio</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w w:val="95"/>
              </w:rPr>
              <w:t>1,244.7</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592.1</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8.83</w:t>
            </w:r>
          </w:p>
        </w:tc>
      </w:tr>
      <w:tr>
        <w:trPr>
          <w:trHeight w:val="536"/>
        </w:trPr>
        <w:tc>
          <w:tcPr>
            <w:tcW w:w="5000" w:type="dxa"/>
            <w:vAlign w:val="bottom"/>
          </w:tcPr>
          <w:p>
            <w:pPr>
              <w:ind w:left="120"/>
              <w:spacing w:after="0"/>
              <w:rPr>
                <w:sz w:val="20"/>
                <w:szCs w:val="20"/>
                <w:color w:val="auto"/>
              </w:rPr>
            </w:pPr>
            <w:r>
              <w:rPr>
                <w:rFonts w:ascii="Arial" w:cs="Arial" w:eastAsia="Arial" w:hAnsi="Arial"/>
                <w:sz w:val="22"/>
                <w:szCs w:val="22"/>
                <w:color w:val="auto"/>
              </w:rPr>
              <w:t>SunTrust Credit Facility</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378.6</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BNP Credit Facility</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141.8</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SBA Debentures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145.9</w:t>
            </w:r>
          </w:p>
        </w:tc>
      </w:tr>
      <w:tr>
        <w:trPr>
          <w:trHeight w:val="540"/>
        </w:trPr>
        <w:tc>
          <w:tcPr>
            <w:tcW w:w="500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806"/>
        </w:trPr>
        <w:tc>
          <w:tcPr>
            <w:tcW w:w="5000" w:type="dxa"/>
            <w:vAlign w:val="bottom"/>
          </w:tcPr>
          <w:p>
            <w:pPr>
              <w:ind w:left="20"/>
              <w:spacing w:after="0"/>
              <w:rPr>
                <w:sz w:val="20"/>
                <w:szCs w:val="20"/>
                <w:color w:val="auto"/>
              </w:rPr>
            </w:pPr>
            <w:r>
              <w:rPr>
                <w:rFonts w:ascii="Arial" w:cs="Arial" w:eastAsia="Arial" w:hAnsi="Arial"/>
                <w:sz w:val="22"/>
                <w:szCs w:val="22"/>
                <w:color w:val="auto"/>
              </w:rPr>
              <w:t>Operating Results:</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10.8</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GAAP net investment income per share</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0.16</w:t>
            </w:r>
          </w:p>
        </w:tc>
      </w:tr>
      <w:tr>
        <w:trPr>
          <w:trHeight w:val="243"/>
        </w:trPr>
        <w:tc>
          <w:tcPr>
            <w:tcW w:w="5000" w:type="dxa"/>
            <w:vAlign w:val="bottom"/>
          </w:tcPr>
          <w:p>
            <w:pPr>
              <w:ind w:left="120"/>
              <w:spacing w:after="0" w:line="243" w:lineRule="exact"/>
              <w:rPr>
                <w:sz w:val="20"/>
                <w:szCs w:val="20"/>
                <w:color w:val="auto"/>
              </w:rPr>
            </w:pPr>
            <w:r>
              <w:rPr>
                <w:rFonts w:ascii="Arial" w:cs="Arial" w:eastAsia="Arial" w:hAnsi="Arial"/>
                <w:sz w:val="22"/>
                <w:szCs w:val="22"/>
                <w:color w:val="auto"/>
              </w:rPr>
              <w:t>Debt issuance costs and make-whole premium,</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4"/>
        </w:trPr>
        <w:tc>
          <w:tcPr>
            <w:tcW w:w="5000" w:type="dxa"/>
            <w:vAlign w:val="bottom"/>
          </w:tcPr>
          <w:p>
            <w:pPr>
              <w:ind w:left="240"/>
              <w:spacing w:after="0"/>
              <w:rPr>
                <w:sz w:val="20"/>
                <w:szCs w:val="20"/>
                <w:color w:val="auto"/>
              </w:rPr>
            </w:pPr>
            <w:r>
              <w:rPr>
                <w:rFonts w:ascii="Arial" w:cs="Arial" w:eastAsia="Arial" w:hAnsi="Arial"/>
                <w:sz w:val="22"/>
                <w:szCs w:val="22"/>
                <w:color w:val="auto"/>
              </w:rPr>
              <w:t>net of incentive fees per share</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0.03</w:t>
            </w:r>
          </w:p>
        </w:tc>
      </w:tr>
      <w:tr>
        <w:trPr>
          <w:trHeight w:val="744"/>
        </w:trPr>
        <w:tc>
          <w:tcPr>
            <w:tcW w:w="5000" w:type="dxa"/>
            <w:vAlign w:val="bottom"/>
          </w:tcPr>
          <w:p>
            <w:pPr>
              <w:ind w:left="120"/>
              <w:spacing w:after="0"/>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0.19</w:t>
            </w:r>
          </w:p>
        </w:tc>
      </w:tr>
      <w:tr>
        <w:trPr>
          <w:trHeight w:val="390"/>
        </w:trPr>
        <w:tc>
          <w:tcPr>
            <w:tcW w:w="500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0.18</w:t>
            </w:r>
          </w:p>
        </w:tc>
      </w:tr>
      <w:tr>
        <w:trPr>
          <w:trHeight w:val="536"/>
        </w:trPr>
        <w:tc>
          <w:tcPr>
            <w:tcW w:w="5000" w:type="dxa"/>
            <w:vAlign w:val="bottom"/>
          </w:tcPr>
          <w:p>
            <w:pPr>
              <w:ind w:left="20"/>
              <w:spacing w:after="0"/>
              <w:rPr>
                <w:sz w:val="20"/>
                <w:szCs w:val="20"/>
                <w:color w:val="auto"/>
              </w:rPr>
            </w:pPr>
            <w:r>
              <w:rPr>
                <w:rFonts w:ascii="Arial" w:cs="Arial" w:eastAsia="Arial" w:hAnsi="Arial"/>
                <w:sz w:val="22"/>
                <w:szCs w:val="22"/>
                <w:color w:val="auto"/>
              </w:rPr>
              <w:t>Portfolio Activity:</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183.9</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115.1</w:t>
            </w:r>
          </w:p>
        </w:tc>
      </w:tr>
      <w:tr>
        <w:trPr>
          <w:trHeight w:val="536"/>
        </w:trPr>
        <w:tc>
          <w:tcPr>
            <w:tcW w:w="500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80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9</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8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13</w:t>
            </w: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8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66</w:t>
            </w:r>
          </w:p>
        </w:tc>
      </w:tr>
    </w:tbl>
    <w:p>
      <w:pPr>
        <w:spacing w:after="0" w:line="200" w:lineRule="exact"/>
        <w:rPr>
          <w:sz w:val="20"/>
          <w:szCs w:val="20"/>
          <w:color w:val="auto"/>
        </w:rPr>
      </w:pPr>
    </w:p>
    <w:p>
      <w:pPr>
        <w:spacing w:after="0" w:line="322" w:lineRule="exact"/>
        <w:rPr>
          <w:sz w:val="20"/>
          <w:szCs w:val="20"/>
          <w:color w:val="auto"/>
        </w:rPr>
      </w:pPr>
    </w:p>
    <w:p>
      <w:pPr>
        <w:jc w:val="both"/>
        <w:ind w:firstLine="8"/>
        <w:spacing w:after="0" w:line="230" w:lineRule="auto"/>
        <w:tabs>
          <w:tab w:leader="none" w:pos="302" w:val="left"/>
        </w:tabs>
        <w:numPr>
          <w:ilvl w:val="0"/>
          <w:numId w:val="3"/>
        </w:numPr>
        <w:rPr>
          <w:rFonts w:ascii="Arial" w:cs="Arial" w:eastAsia="Arial" w:hAnsi="Arial"/>
          <w:sz w:val="33"/>
          <w:szCs w:val="33"/>
          <w:color w:val="auto"/>
          <w:vertAlign w:val="superscript"/>
        </w:rPr>
      </w:pPr>
      <w:r>
        <w:rPr>
          <w:rFonts w:ascii="Arial" w:cs="Arial" w:eastAsia="Arial" w:hAnsi="Arial"/>
          <w:sz w:val="20"/>
          <w:szCs w:val="20"/>
          <w:color w:val="auto"/>
        </w:rPr>
        <w:t>Core net investment income is a non-GAAP financial measure. The Company believes that core net investment income provides useful information to investors and management because it reflects the Company’s financial performance excluding expenses related to the make-whole premium on the repayment of the 4.50% notes due 2019, or 2019 Notes, and the debt issuance costs on the revolving credit facility with BNP Paribas, or the BNP Credit Facility. The presentation of this additional information is not meant to be considered in isolation or as a substitute for financial results prepared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10, 2019</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Investment Corporation (“we,” “our,” “us” or the “Company”) will host a conference call at 10:00 a.m. (Eastern Time) on Friday, May 10, 2019 to discuss its financial results. All interested parties are welcome to participate. You can access the conference call by dialing toll-free (888) 204-4368 approximately 5-10 minutes prior to the call. International callers should dial (929) 477-0402. All callers should reference PennantPark Investment Corporation. An archived replay of the call will be available through May 24, 2019 by calling toll-free (888) 203-1112. International callers please dial (719) 457-0820. For all phone replays, please reference conference ID #1553883.</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we have been making substantial progress positioning the company to having a more senior secured portfolio, which should result in even more steady and stable coverage of our dividend over time,” said Art Penn, Chairman and</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45" w:lineRule="auto"/>
        <w:rPr>
          <w:sz w:val="20"/>
          <w:szCs w:val="20"/>
          <w:color w:val="auto"/>
        </w:rPr>
      </w:pPr>
      <w:r>
        <w:rPr>
          <w:rFonts w:ascii="Arial" w:cs="Arial" w:eastAsia="Arial" w:hAnsi="Arial"/>
          <w:sz w:val="21"/>
          <w:szCs w:val="21"/>
          <w:color w:val="auto"/>
        </w:rPr>
        <w:t>CEO. “Additionally, our earnings stream should improve based on a gradual increase in our debt to equity ratio, while still maintaining a prudent debt profile.” As of March 31, 2019, our portfolio totaled $1,244.7 million and consisted of $686.6 million of first lien secured debt, $350.0 million of second lien secured debt, $49.9 million of subordinated debt and $158.2 million of preferred and common equity. Our debt portfolio consisted of 89% variable-rate investments and 11% fixed-rate investments. As of March 31, 2019, we had one portfolio company on non-accrual, representing 1.4% of our overall portfolio on both cost and fair value basis. Overall, the portfolio had net unrealized depreciation of $152.3 million as of March 31, 2019. Our overall portfolio consisted of 66 companies with an average investment size of $18.9 million, had a weighted average yield on interest bearing debt investments of 10.6% and was invested 55% in first lien secured debt, 28% in second lien secured debt, 4% in subordinated debt and 13% in preferred and common equity.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2019, we invested $183.9 million in nine new and 13 existing portfolio companies with a weighted average yield on debt investments of 9.1%. Sales and repayments of investments for the three months ended March 31, 2019 totaled $115.1 million. For the six months ended March 31, 2019, we invested $378.4 million in 15 new and 26 existing portfolio companies with a weighted average yield on debt investments of 9.3%. Sales and repayments of investments for the six months ended March 31, 2019 totaled $240.9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2018, we invested $97.0 million in three new and six existing portfolio companies with a weighted average yield on debt investments of 8.9%. Sales and repayments of investments for the three months ended March 31, 2018 totaled $246.4 million. For the six months ended March 31, 2018, we invested $235.4 million in eight new and 13 existing portfolio companies with a weighted average yield on debt investments of 10.0%. Sales and repayments of investments for the six months ended March 31, 2018 totaled $438.7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Investment income for the three and six months ended March 31, 2019 was $28.7 million and $56.1 million, respectively, and was attributable to $15.7 million and $29.0 million from first lien secured debt, $11.2 million and $23.5 million from second lien secured debt and $1.8 million and $3.6 million from subordinated debt, respectively. This compares to investment income for the three and six months ended March 31, 2018, which was $27.2 million and $55.9 million, respectively, and was attributable to $12.7 million and $25.4 million from first lien secured debt, $11.3 million and $24.2 million from second lien secured debt and $3.2 million and $6.3 million from subordinated debt, preferred and common equity. The increase in investment income compared to the same periods in the prior year was primarily due to the growth of our portfolio.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Expenses for the three and six months ended March 31, 2019 totaled $17.9 million and $32.7 million, respectively. Base management fee for the same periods totaled $4.5 million and $8.9 million, incentive fee totaled less than $0.1 million and $2.7 million, debt related interest and expenses totaled $11.9 million (including $2.2 million of make-whole premium on the repayment of the 2019 Notes and $2.7 million in debt issuance costs on the BNP Credit Facility) and $18.2 million (including $2.2 million of make-whole premium on the repayment of the 2019 Notes and $2.7 million in debt issuance costs on the BNP Credit Facility), general and administrative expenses totaled $1.2 million and $2.3 million and provision for taxes totaled $0.3 million and $0.6 million, respectively. This compares to net expenses for the three and six months ended March 31, 2018, which totaled $13.8 million and $28.3 million, respectively. Base management fee for the same periods totaled $3.9 million and $8.7 million (after a base management fee waiver of $0.9 million), incentive fee totaled $2.8 million and $5.5 million (after an incentive fee waiver of $0.5 million), debt related interest and expenses totaled $5.9 million and $11.8 million and general and administrative expenses totaled $1.2 million and $2.3 million, respectively. The increase in expenses compared to the same periods in the prior year was primarily due to the expenses related the make-whole premium on the repayment of the 2019 Notes and the debt issuance costs on the BNP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investment income totaled $10.8 million and $23.3 million, or $0.16 and $0.34 per share, for the three and six months ended March 31, 2019, respectively. Net investment income totaled $13.4 million and $27.6 million, or $0.19 and $0.39 per share, for the three and six months ended March 31, 2018, respectively. The decrease in net investment income compared to the same periods in the prior year was primarily due to the expenses related the make-whole premium on the repayment of the 2019 Notes and the debt issuance costs on the BNP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2019 totaled $115.1 million and $240.9 million, respectively, and net realized gains totaled $1.0 million and $9.5 million, respectively. Sales and repayments of investments for the three and six months ended March 31, 2018 totaled $246.4 million and $438.7 million, respectively, and net realized gains totaled $21.8 million and $25.5 million, respectively. The change in realized gains/losses was primarily due to changes in the market conditions of our investments and the values at which they were realized.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Facilities and the 2019 Notes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six months ended March 31, 2019, we reported net change in unrealized depreciation on investments of $20.1 million and $40.5 million, respectively. For the three and six months ended March 31, 2018, we reported net change in unrealized depreciation on investments of $29.5 million and $36.3 million, respectively. As of March 31, 2019 and September 30, 2018, our net unrealized depreciation on investments totaled $152.3 million and $111.8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six months ended March 31, 2019, our BNP Credit Facility and the multi-currency, senior secured revolving credit facility with SunTrust Bank, or the SunTrust Credit Facility (collectively, the Credit Facilities), and the 2019 Notes had a net change in unrealized depreciation of $3.7 million and $9.7 million, respectively. For the three and six months ended March 31, 2018, the SunTrust Credit Facility and the 2019 Notes had a net change in unrealized depreciation of $0.4 million and $1.5 million, respectively. As of March 31, 2019, the net unrealized depreciation on the Credit Facilities totaled $11.3 million. As of September 30, 2018, the net unrealized depreciation on the SunTrust Credit Facility and the 2019 Notes totaled $1.6 million. The net change in net unrealized depreciation compared to the same periods in the prior year was primarily due to changes in the capital markets.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change in net assets resulting from operations totaled $(4.7) million and $2.0 million, or $(0.07) and $0.03 per share, for the three and six months ended March 31, 2019. Net change in net assets resulting from operations totaled $6.0 million and $18.3 million, or $0.08 and $0.26 per share, for the three and six months ended March 31, 2018. The decrease in the net change in net assets from operations compared to the same periods in the prior year was primarily due to depreciation of the portfolio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annualized weighted average cost of debt for the six months ended March 31, 2019 and 2018, inclusive of the fee on the undrawn commitment under the SunTrust Credit Facility, debt issuance costs on the BNP Credit Facility, prepayment penalties on the 2019 Notes and amortized upfront fees on Small Business Administration, or SBA, debentures, was 6.97% and 4.58%, respectively (excluding debt issuance costs and prepayment penalties, amounts were 5.90% and 4.58%, respectively).</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2019, PennantPark Investment Funding I, LLC, or Funding I, had $142.5 million in outstanding borrowings under the BNP Credit Facility. The BNP Credit Facility had a weighted average interest rate of 5.10% as of March 31, 2019. As of March 31, 2019, Funding I had $107.5 million of unused borrowing capacity under the BNP Credit Facility, subject to the regulatory restrictions.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March 31, 2019 and September 30, 2018, we had $389.1 million and $80.5 million (including a $2.0 million temporary draw), respectively, in outstanding borrowings under the SunTrust Credit Facility. The SunTrust Credit Facility had a weighted average interest rate of 4.58% and 3.79%, respectively, exclusive of the fee on undrawn commitments of 0.375%, as of March 31, 2019 and September 30, 2018. As of the same periods, we had $55.9 million and $364.5 million of unused borrowing capacity under our SunTrust Credit Facility, respectively, subject to the regulatory restrictions.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2019 and September 30, 2018, we had zero and $250.0 million in aggregate principal amount of 2019 Notes outstanding, respectively, with a fixed interest rate of 4.50% per year. As of March 31, 2019 and September 30, 2018, we had $150.0 million and $180.0 million in SBA debentures outstanding,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2019 and September 30, 2018, we had cash and cash equivalents of $30.3 million and $19.5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$121.3 million for the six months ended March 31, 2019, and our financing activities provided cash of $132.0 million for the same period. Our operating activities used cash primarily for our investment activities and our financing activities provided cash primarily from net borrowings under the Credit Facilities.</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22"/>
          <w:szCs w:val="22"/>
          <w:color w:val="auto"/>
        </w:rPr>
        <w:t>Our operating activities provided cash of $196.1 million for the six months ended March 31, 2018, and our financing activities used cash of $64.2 million for the same period. Our operating activities provided cash from sales and repayments on our investments and our financing activities used cash primarily to pay distributions to stockholders and for net repayments under the SunTrust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and six months ended March 31, 2019, we repurchased 1.0 million and 2.0 million shares of common stock in open market transactions for an aggregate cost (including transaction costs) of $7.0 million and $14.5 million, respectively. During both the three and six months ended March 31, 2018, we did not make any repurchases of our common stock. Over the last four fiscal quarters ended March 31, 2019, we repurchased 4.0 million shares of common stock in open market transactions for an aggregate cost (including transaction costs) of $29.5 million.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and six months ended March 31, 2019, we declared distributions of $0.18 and $0.36 per share, for total distributions of $12.1 million and $24.3 million, respectively. For the same periods in the prior year, we declared distributions of $0.18 and $0.36 per share, for total distributions of $12.8 million and $25.6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April 12, 2019, we entered into an amended and restated investment advisory management agreement with the Investment Adviser, or the A&amp;R Investment Management Agreement. Pursuant to the A&amp;R Investment Management Agreement, we reduced our base management fee on gross assets that exceed 200% of our total net assets as of the immediately preceding quarter-end from 1.50% to 1.00%. The A&amp;R Investment Management Agreement is effective as of February 5, 2019, the date our stockholders approved the application of the modified asset coverage requirements set forth in Section 61(a)(2) of the Investment Company Act of 1940, as modified by Consolidated Appropriations Act of 2018 (which included the Small Business Credit Availability Act).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80" w:type="dxa"/>
            <w:vAlign w:val="bottom"/>
          </w:tcPr>
          <w:p>
            <w:pPr>
              <w:spacing w:after="0"/>
              <w:rPr>
                <w:sz w:val="21"/>
                <w:szCs w:val="21"/>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2"/>
              </w:rPr>
              <w:t>March 31,</w:t>
            </w:r>
          </w:p>
        </w:tc>
        <w:tc>
          <w:tcPr>
            <w:tcW w:w="154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w w:val="93"/>
              </w:rPr>
              <w:t>September 30,</w:t>
            </w:r>
          </w:p>
        </w:tc>
      </w:tr>
      <w:tr>
        <w:trPr>
          <w:trHeight w:val="270"/>
        </w:trPr>
        <w:tc>
          <w:tcPr>
            <w:tcW w:w="798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2019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452"/>
              <w:spacing w:after="0"/>
              <w:rPr>
                <w:sz w:val="20"/>
                <w:szCs w:val="20"/>
                <w:color w:val="auto"/>
              </w:rPr>
            </w:pPr>
            <w:r>
              <w:rPr>
                <w:rFonts w:ascii="Arial" w:cs="Arial" w:eastAsia="Arial" w:hAnsi="Arial"/>
                <w:sz w:val="22"/>
                <w:szCs w:val="22"/>
                <w:b w:val="1"/>
                <w:bCs w:val="1"/>
                <w:color w:val="auto"/>
              </w:rPr>
              <w:t>2018</w:t>
            </w:r>
          </w:p>
        </w:tc>
      </w:tr>
      <w:tr>
        <w:trPr>
          <w:trHeight w:val="280"/>
        </w:trPr>
        <w:tc>
          <w:tcPr>
            <w:tcW w:w="798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90"/>
              </w:rPr>
              <w:t>(unaudited)</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9"/>
        </w:trPr>
        <w:tc>
          <w:tcPr>
            <w:tcW w:w="79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w w:val="93"/>
              </w:rPr>
              <w:t>Non-controlled, non-affiliated investments (cost—$1,045,728,279 and $896,720,950,</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w w:val="86"/>
              </w:rPr>
              <w:t>$ 1,040,563,420</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905,271,258</w:t>
            </w: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(cost—$74,369,962 and $91,520,908,</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rPr>
              <w:t>35,304,585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78,078,331</w:t>
            </w:r>
          </w:p>
        </w:tc>
      </w:tr>
      <w:tr>
        <w:trPr>
          <w:trHeight w:val="274"/>
        </w:trPr>
        <w:tc>
          <w:tcPr>
            <w:tcW w:w="7980" w:type="dxa"/>
            <w:vAlign w:val="bottom"/>
          </w:tcPr>
          <w:p>
            <w:pPr>
              <w:ind w:left="260"/>
              <w:spacing w:after="0"/>
              <w:rPr>
                <w:sz w:val="20"/>
                <w:szCs w:val="20"/>
                <w:color w:val="auto"/>
              </w:rPr>
            </w:pPr>
            <w:r>
              <w:rPr>
                <w:rFonts w:ascii="Arial" w:cs="Arial" w:eastAsia="Arial" w:hAnsi="Arial"/>
                <w:sz w:val="22"/>
                <w:szCs w:val="22"/>
                <w:color w:val="auto"/>
                <w:w w:val="90"/>
              </w:rPr>
              <w:t>Controlled, affiliated investments (cost—$276,861,901 and $255,574,317, respectively)</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168,804,208</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148,735,885</w:t>
            </w:r>
          </w:p>
        </w:tc>
      </w:tr>
      <w:tr>
        <w:trPr>
          <w:trHeight w:val="259"/>
        </w:trPr>
        <w:tc>
          <w:tcPr>
            <w:tcW w:w="7980" w:type="dxa"/>
            <w:vAlign w:val="bottom"/>
          </w:tcPr>
          <w:p>
            <w:pPr>
              <w:ind w:left="260"/>
              <w:spacing w:after="0"/>
              <w:rPr>
                <w:sz w:val="20"/>
                <w:szCs w:val="20"/>
                <w:color w:val="auto"/>
              </w:rPr>
            </w:pPr>
            <w:r>
              <w:rPr>
                <w:rFonts w:ascii="Arial" w:cs="Arial" w:eastAsia="Arial" w:hAnsi="Arial"/>
                <w:sz w:val="22"/>
                <w:szCs w:val="22"/>
                <w:color w:val="auto"/>
              </w:rPr>
              <w:t>Total of investments (cost—$1,396,960,142 and $1,243,816,175, 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w w:val="98"/>
              </w:rPr>
              <w:t>1,244,672,213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w w:val="92"/>
              </w:rPr>
              <w:t>1,132,085,474</w:t>
            </w: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Cash and cash equivalents (cost—$30,313,035 and $19,543,625, 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rPr>
              <w:t>30,307,029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19,506,154</w:t>
            </w: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receivable</w:t>
            </w:r>
          </w:p>
        </w:tc>
        <w:tc>
          <w:tcPr>
            <w:tcW w:w="1400" w:type="dxa"/>
            <w:vAlign w:val="bottom"/>
          </w:tcPr>
          <w:p>
            <w:pPr>
              <w:jc w:val="right"/>
              <w:spacing w:after="0"/>
              <w:rPr>
                <w:sz w:val="20"/>
                <w:szCs w:val="20"/>
                <w:color w:val="auto"/>
              </w:rPr>
            </w:pPr>
            <w:r>
              <w:rPr>
                <w:rFonts w:ascii="Arial" w:cs="Arial" w:eastAsia="Arial" w:hAnsi="Arial"/>
                <w:sz w:val="22"/>
                <w:szCs w:val="22"/>
                <w:color w:val="auto"/>
              </w:rPr>
              <w:t>6,937,338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7,606,964</w:t>
            </w: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271,393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920,235</w:t>
            </w: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1,282,187,973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1,160,118,827</w:t>
            </w:r>
          </w:p>
        </w:tc>
      </w:tr>
      <w:tr>
        <w:trPr>
          <w:trHeight w:val="256"/>
        </w:trPr>
        <w:tc>
          <w:tcPr>
            <w:tcW w:w="79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0" w:type="dxa"/>
            <w:vAlign w:val="bottom"/>
          </w:tcPr>
          <w:p>
            <w:pPr>
              <w:jc w:val="right"/>
              <w:spacing w:after="0"/>
              <w:rPr>
                <w:sz w:val="20"/>
                <w:szCs w:val="20"/>
                <w:color w:val="auto"/>
              </w:rPr>
            </w:pPr>
            <w:r>
              <w:rPr>
                <w:rFonts w:ascii="Arial" w:cs="Arial" w:eastAsia="Arial" w:hAnsi="Arial"/>
                <w:sz w:val="22"/>
                <w:szCs w:val="22"/>
                <w:color w:val="auto"/>
              </w:rPr>
              <w:t>12,068,119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12,429,712</w:t>
            </w: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0" w:type="dxa"/>
            <w:vAlign w:val="bottom"/>
          </w:tcPr>
          <w:p>
            <w:pPr>
              <w:jc w:val="right"/>
              <w:spacing w:after="0"/>
              <w:rPr>
                <w:sz w:val="20"/>
                <w:szCs w:val="20"/>
                <w:color w:val="auto"/>
              </w:rPr>
            </w:pPr>
            <w:r>
              <w:rPr>
                <w:rFonts w:ascii="Arial" w:cs="Arial" w:eastAsia="Arial" w:hAnsi="Arial"/>
                <w:sz w:val="22"/>
                <w:szCs w:val="22"/>
                <w:color w:val="auto"/>
              </w:rPr>
              <w:t>4,480,173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080" w:type="dxa"/>
            <w:vAlign w:val="bottom"/>
            <w:gridSpan w:val="3"/>
          </w:tcPr>
          <w:p>
            <w:pPr>
              <w:spacing w:after="0"/>
              <w:rPr>
                <w:sz w:val="20"/>
                <w:szCs w:val="20"/>
                <w:color w:val="auto"/>
              </w:rPr>
            </w:pPr>
            <w:r>
              <w:rPr>
                <w:rFonts w:ascii="Arial" w:cs="Arial" w:eastAsia="Arial" w:hAnsi="Arial"/>
                <w:sz w:val="22"/>
                <w:szCs w:val="22"/>
                <w:color w:val="auto"/>
              </w:rPr>
              <w:t>BNP Credit Facility payable (cost—$142,500,000 and zero, respectively)</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w w:val="86"/>
              </w:rPr>
              <w:t>141,787,500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8300" w:type="dxa"/>
            <w:vAlign w:val="bottom"/>
            <w:gridSpan w:val="6"/>
          </w:tcPr>
          <w:p>
            <w:pPr>
              <w:spacing w:after="0"/>
              <w:rPr>
                <w:sz w:val="20"/>
                <w:szCs w:val="20"/>
                <w:color w:val="auto"/>
              </w:rPr>
            </w:pPr>
            <w:r>
              <w:rPr>
                <w:rFonts w:ascii="Arial" w:cs="Arial" w:eastAsia="Arial" w:hAnsi="Arial"/>
                <w:sz w:val="22"/>
                <w:szCs w:val="22"/>
                <w:color w:val="auto"/>
                <w:w w:val="99"/>
              </w:rPr>
              <w:t>SunTrust Credit Facility payable (cost—$389,136,000 and $80,520,000, respectively)</w:t>
            </w: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w w:val="86"/>
              </w:rPr>
              <w:t>378,569,195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77,645,830</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w w:val="89"/>
              </w:rPr>
              <w:t>2019 Notes payable (par— zero and $250,000,000, respectively)</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251,322,500</w:t>
            </w:r>
          </w:p>
        </w:tc>
        <w:tc>
          <w:tcPr>
            <w:tcW w:w="80" w:type="dxa"/>
            <w:vAlign w:val="bottom"/>
          </w:tcPr>
          <w:p>
            <w:pPr>
              <w:spacing w:after="0"/>
              <w:rPr>
                <w:sz w:val="23"/>
                <w:szCs w:val="23"/>
                <w:color w:val="auto"/>
              </w:rPr>
            </w:pPr>
          </w:p>
        </w:tc>
      </w:tr>
      <w:tr>
        <w:trPr>
          <w:trHeight w:val="270"/>
        </w:trPr>
        <w:tc>
          <w:tcPr>
            <w:tcW w:w="7260" w:type="dxa"/>
            <w:vAlign w:val="bottom"/>
            <w:gridSpan w:val="4"/>
          </w:tcPr>
          <w:p>
            <w:pPr>
              <w:spacing w:after="0"/>
              <w:rPr>
                <w:sz w:val="20"/>
                <w:szCs w:val="20"/>
                <w:color w:val="auto"/>
              </w:rPr>
            </w:pPr>
            <w:r>
              <w:rPr>
                <w:rFonts w:ascii="Arial" w:cs="Arial" w:eastAsia="Arial" w:hAnsi="Arial"/>
                <w:sz w:val="22"/>
                <w:szCs w:val="22"/>
                <w:color w:val="auto"/>
                <w:w w:val="89"/>
              </w:rPr>
              <w:t>SBA debentures payable, net (par—$150,000,000 and $180,000,000, respectively)</w:t>
            </w: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w w:val="86"/>
              </w:rPr>
              <w:t>145,894,687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175,373,229</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rPr>
              <w:t>4,510,829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4,086,831</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8,340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2,964,265</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rPr>
              <w:t>2,443,285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6,576,393</w:t>
            </w:r>
          </w:p>
        </w:tc>
        <w:tc>
          <w:tcPr>
            <w:tcW w:w="80" w:type="dxa"/>
            <w:vAlign w:val="bottom"/>
          </w:tcPr>
          <w:p>
            <w:pPr>
              <w:spacing w:after="0"/>
              <w:rPr>
                <w:sz w:val="23"/>
                <w:szCs w:val="23"/>
                <w:color w:val="auto"/>
              </w:rPr>
            </w:pPr>
          </w:p>
        </w:tc>
      </w:tr>
      <w:tr>
        <w:trPr>
          <w:trHeight w:val="274"/>
        </w:trPr>
        <w:tc>
          <w:tcPr>
            <w:tcW w:w="56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277,054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818,172</w:t>
            </w:r>
          </w:p>
        </w:tc>
        <w:tc>
          <w:tcPr>
            <w:tcW w:w="80" w:type="dxa"/>
            <w:vAlign w:val="bottom"/>
          </w:tcPr>
          <w:p>
            <w:pPr>
              <w:spacing w:after="0"/>
              <w:rPr>
                <w:sz w:val="23"/>
                <w:szCs w:val="23"/>
                <w:color w:val="auto"/>
              </w:rPr>
            </w:pPr>
          </w:p>
        </w:tc>
      </w:tr>
      <w:tr>
        <w:trPr>
          <w:trHeight w:val="267"/>
        </w:trPr>
        <w:tc>
          <w:tcPr>
            <w:tcW w:w="56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6"/>
              </w:rPr>
              <w:t>690,039,182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531,216,932</w:t>
            </w:r>
          </w:p>
        </w:tc>
        <w:tc>
          <w:tcPr>
            <w:tcW w:w="80" w:type="dxa"/>
            <w:vAlign w:val="bottom"/>
          </w:tcPr>
          <w:p>
            <w:pPr>
              <w:spacing w:after="0"/>
              <w:rPr>
                <w:sz w:val="23"/>
                <w:szCs w:val="23"/>
                <w:color w:val="auto"/>
              </w:rPr>
            </w:pPr>
          </w:p>
        </w:tc>
      </w:tr>
      <w:tr>
        <w:trPr>
          <w:trHeight w:val="250"/>
        </w:trPr>
        <w:tc>
          <w:tcPr>
            <w:tcW w:w="56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56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300" w:type="dxa"/>
            <w:vAlign w:val="bottom"/>
            <w:gridSpan w:val="6"/>
          </w:tcPr>
          <w:p>
            <w:pPr>
              <w:spacing w:after="0" w:line="243" w:lineRule="exact"/>
              <w:rPr>
                <w:sz w:val="20"/>
                <w:szCs w:val="20"/>
                <w:color w:val="auto"/>
              </w:rPr>
            </w:pPr>
            <w:r>
              <w:rPr>
                <w:rFonts w:ascii="Arial" w:cs="Arial" w:eastAsia="Arial" w:hAnsi="Arial"/>
                <w:sz w:val="22"/>
                <w:szCs w:val="22"/>
                <w:color w:val="auto"/>
                <w:w w:val="96"/>
              </w:rPr>
              <w:t>Common stock, 67,045,105 and 69,053,958 shares issued and outstanding, respectively</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5680" w:type="dxa"/>
            <w:vAlign w:val="bottom"/>
          </w:tcPr>
          <w:p>
            <w:pPr>
              <w:ind w:left="100"/>
              <w:spacing w:after="0"/>
              <w:rPr>
                <w:sz w:val="20"/>
                <w:szCs w:val="20"/>
                <w:color w:val="auto"/>
              </w:rPr>
            </w:pPr>
            <w:r>
              <w:rPr>
                <w:rFonts w:ascii="Arial" w:cs="Arial" w:eastAsia="Arial" w:hAnsi="Arial"/>
                <w:sz w:val="22"/>
                <w:szCs w:val="22"/>
                <w:color w:val="auto"/>
                <w:w w:val="90"/>
              </w:rPr>
              <w:t>Par value $0.001 per share and 100,000,000 shares authorized</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67,045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69,054</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w w:val="86"/>
              </w:rPr>
              <w:t>789,259,509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803,729,220</w:t>
            </w:r>
          </w:p>
        </w:tc>
        <w:tc>
          <w:tcPr>
            <w:tcW w:w="80" w:type="dxa"/>
            <w:vAlign w:val="bottom"/>
          </w:tcPr>
          <w:p>
            <w:pPr>
              <w:spacing w:after="0"/>
              <w:rPr>
                <w:sz w:val="23"/>
                <w:szCs w:val="23"/>
                <w:color w:val="auto"/>
              </w:rPr>
            </w:pPr>
          </w:p>
        </w:tc>
      </w:tr>
      <w:tr>
        <w:trPr>
          <w:trHeight w:val="274"/>
        </w:trPr>
        <w:tc>
          <w:tcPr>
            <w:tcW w:w="568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6"/>
          </w:tcPr>
          <w:p>
            <w:pPr>
              <w:jc w:val="right"/>
              <w:ind w:right="20"/>
              <w:spacing w:after="0"/>
              <w:rPr>
                <w:sz w:val="20"/>
                <w:szCs w:val="20"/>
                <w:color w:val="auto"/>
              </w:rPr>
            </w:pPr>
            <w:r>
              <w:rPr>
                <w:rFonts w:ascii="Arial" w:cs="Arial" w:eastAsia="Arial" w:hAnsi="Arial"/>
                <w:sz w:val="22"/>
                <w:szCs w:val="22"/>
                <w:color w:val="auto"/>
              </w:rPr>
              <w:t>(197,177,763 )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w w:val="95"/>
              </w:rPr>
              <w:t>(174,896,379 )</w:t>
            </w:r>
          </w:p>
        </w:tc>
      </w:tr>
      <w:tr>
        <w:trPr>
          <w:trHeight w:val="267"/>
        </w:trPr>
        <w:tc>
          <w:tcPr>
            <w:tcW w:w="56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86"/>
              </w:rPr>
              <w:t>592,148,791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628,901,895</w:t>
            </w:r>
          </w:p>
        </w:tc>
        <w:tc>
          <w:tcPr>
            <w:tcW w:w="80" w:type="dxa"/>
            <w:vAlign w:val="bottom"/>
          </w:tcPr>
          <w:p>
            <w:pPr>
              <w:spacing w:after="0"/>
              <w:rPr>
                <w:sz w:val="23"/>
                <w:szCs w:val="23"/>
                <w:color w:val="auto"/>
              </w:rPr>
            </w:pPr>
          </w:p>
        </w:tc>
      </w:tr>
      <w:tr>
        <w:trPr>
          <w:trHeight w:val="263"/>
        </w:trPr>
        <w:tc>
          <w:tcPr>
            <w:tcW w:w="56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 xml:space="preserve"> 1,282,187,973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1,160,118,827</w:t>
            </w:r>
          </w:p>
        </w:tc>
        <w:tc>
          <w:tcPr>
            <w:tcW w:w="80" w:type="dxa"/>
            <w:vAlign w:val="bottom"/>
          </w:tcPr>
          <w:p>
            <w:pPr>
              <w:spacing w:after="0"/>
              <w:rPr>
                <w:sz w:val="22"/>
                <w:szCs w:val="22"/>
                <w:color w:val="auto"/>
              </w:rPr>
            </w:pPr>
          </w:p>
        </w:tc>
      </w:tr>
      <w:tr>
        <w:trPr>
          <w:trHeight w:val="21"/>
        </w:trPr>
        <w:tc>
          <w:tcPr>
            <w:tcW w:w="5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56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8.83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9.11</w:t>
            </w:r>
          </w:p>
        </w:tc>
        <w:tc>
          <w:tcPr>
            <w:tcW w:w="80" w:type="dxa"/>
            <w:vAlign w:val="bottom"/>
          </w:tcPr>
          <w:p>
            <w:pPr>
              <w:spacing w:after="0"/>
              <w:rPr>
                <w:sz w:val="22"/>
                <w:szCs w:val="22"/>
                <w:color w:val="auto"/>
              </w:rPr>
            </w:pPr>
          </w:p>
        </w:tc>
      </w:tr>
      <w:tr>
        <w:trPr>
          <w:trHeight w:val="21"/>
        </w:trPr>
        <w:tc>
          <w:tcPr>
            <w:tcW w:w="69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4"/>
        </w:trPr>
        <w:tc>
          <w:tcPr>
            <w:tcW w:w="9480" w:type="dxa"/>
            <w:vAlign w:val="bottom"/>
            <w:gridSpan w:val="10"/>
          </w:tcPr>
          <w:p>
            <w:pPr>
              <w:jc w:val="center"/>
              <w:ind w:left="1612"/>
              <w:spacing w:after="0"/>
              <w:rPr>
                <w:sz w:val="20"/>
                <w:szCs w:val="20"/>
                <w:color w:val="auto"/>
              </w:rPr>
            </w:pPr>
            <w:r>
              <w:rPr>
                <w:rFonts w:ascii="Arial" w:cs="Arial" w:eastAsia="Arial" w:hAnsi="Arial"/>
                <w:sz w:val="22"/>
                <w:szCs w:val="22"/>
                <w:b w:val="1"/>
                <w:bCs w:val="1"/>
                <w:color w:val="auto"/>
                <w:w w:val="98"/>
              </w:rPr>
              <w:t>PENNANTPARK INVESTMENT CORPORATION AND SUBSIDIARIES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300" w:type="dxa"/>
            <w:vAlign w:val="bottom"/>
            <w:gridSpan w:val="6"/>
          </w:tcPr>
          <w:p>
            <w:pPr>
              <w:jc w:val="center"/>
              <w:ind w:left="281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0"/>
        </w:trPr>
        <w:tc>
          <w:tcPr>
            <w:tcW w:w="7080" w:type="dxa"/>
            <w:vAlign w:val="bottom"/>
            <w:gridSpan w:val="3"/>
          </w:tcPr>
          <w:p>
            <w:pPr>
              <w:jc w:val="center"/>
              <w:ind w:left="4012"/>
              <w:spacing w:after="0"/>
              <w:rPr>
                <w:sz w:val="20"/>
                <w:szCs w:val="20"/>
                <w:color w:val="auto"/>
              </w:rPr>
            </w:pPr>
            <w:r>
              <w:rPr>
                <w:rFonts w:ascii="Arial" w:cs="Arial" w:eastAsia="Arial" w:hAnsi="Arial"/>
                <w:sz w:val="22"/>
                <w:szCs w:val="22"/>
                <w:b w:val="1"/>
                <w:bCs w:val="1"/>
                <w:color w:val="auto"/>
                <w:w w:val="91"/>
              </w:rPr>
              <w:t>(Unaudited)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5"/>
        </w:trPr>
        <w:tc>
          <w:tcPr>
            <w:tcW w:w="5680" w:type="dxa"/>
            <w:vAlign w:val="bottom"/>
          </w:tcPr>
          <w:p>
            <w:pPr>
              <w:spacing w:after="0"/>
              <w:rPr>
                <w:sz w:val="24"/>
                <w:szCs w:val="24"/>
                <w:color w:val="auto"/>
              </w:rPr>
            </w:pPr>
          </w:p>
        </w:tc>
        <w:tc>
          <w:tcPr>
            <w:tcW w:w="2620" w:type="dxa"/>
            <w:vAlign w:val="bottom"/>
            <w:gridSpan w:val="5"/>
          </w:tcPr>
          <w:p>
            <w:pPr>
              <w:jc w:val="right"/>
              <w:ind w:right="212"/>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8"/>
          </w:tcPr>
          <w:p>
            <w:pPr>
              <w:jc w:val="right"/>
              <w:ind w:right="540"/>
              <w:spacing w:after="0"/>
              <w:rPr>
                <w:sz w:val="20"/>
                <w:szCs w:val="20"/>
                <w:color w:val="auto"/>
              </w:rPr>
            </w:pPr>
            <w:r>
              <w:rPr>
                <w:rFonts w:ascii="Arial" w:cs="Arial" w:eastAsia="Arial" w:hAnsi="Arial"/>
                <w:sz w:val="22"/>
                <w:szCs w:val="22"/>
                <w:b w:val="1"/>
                <w:bCs w:val="1"/>
                <w:color w:val="auto"/>
              </w:rPr>
              <w:t>Six Months Ended</w:t>
            </w:r>
          </w:p>
        </w:tc>
      </w:tr>
      <w:tr>
        <w:trPr>
          <w:trHeight w:val="282"/>
        </w:trPr>
        <w:tc>
          <w:tcPr>
            <w:tcW w:w="5680" w:type="dxa"/>
            <w:vAlign w:val="bottom"/>
          </w:tcPr>
          <w:p>
            <w:pPr>
              <w:spacing w:after="0"/>
              <w:rPr>
                <w:sz w:val="24"/>
                <w:szCs w:val="24"/>
                <w:color w:val="auto"/>
              </w:rPr>
            </w:pPr>
          </w:p>
        </w:tc>
        <w:tc>
          <w:tcPr>
            <w:tcW w:w="2620" w:type="dxa"/>
            <w:vAlign w:val="bottom"/>
            <w:gridSpan w:val="5"/>
          </w:tcPr>
          <w:p>
            <w:pPr>
              <w:jc w:val="right"/>
              <w:ind w:right="732"/>
              <w:spacing w:after="0"/>
              <w:rPr>
                <w:sz w:val="20"/>
                <w:szCs w:val="20"/>
                <w:color w:val="auto"/>
              </w:rPr>
            </w:pPr>
            <w:r>
              <w:rPr>
                <w:rFonts w:ascii="Arial" w:cs="Arial" w:eastAsia="Arial" w:hAnsi="Arial"/>
                <w:sz w:val="22"/>
                <w:szCs w:val="22"/>
                <w:b w:val="1"/>
                <w:bCs w:val="1"/>
                <w:color w:val="auto"/>
              </w:rPr>
              <w:t>March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8"/>
          </w:tcPr>
          <w:p>
            <w:pPr>
              <w:jc w:val="right"/>
              <w:ind w:right="920"/>
              <w:spacing w:after="0"/>
              <w:rPr>
                <w:sz w:val="20"/>
                <w:szCs w:val="20"/>
                <w:color w:val="auto"/>
              </w:rPr>
            </w:pPr>
            <w:r>
              <w:rPr>
                <w:rFonts w:ascii="Arial" w:cs="Arial" w:eastAsia="Arial" w:hAnsi="Arial"/>
                <w:sz w:val="22"/>
                <w:szCs w:val="22"/>
                <w:b w:val="1"/>
                <w:bCs w:val="1"/>
                <w:color w:val="auto"/>
              </w:rPr>
              <w:t>March 31,</w:t>
            </w:r>
          </w:p>
        </w:tc>
      </w:tr>
      <w:tr>
        <w:trPr>
          <w:trHeight w:val="265"/>
        </w:trPr>
        <w:tc>
          <w:tcPr>
            <w:tcW w:w="5680" w:type="dxa"/>
            <w:vAlign w:val="bottom"/>
          </w:tcPr>
          <w:p>
            <w:pPr>
              <w:spacing w:after="0"/>
              <w:rPr>
                <w:sz w:val="23"/>
                <w:szCs w:val="23"/>
                <w:color w:val="auto"/>
              </w:rPr>
            </w:pPr>
          </w:p>
        </w:tc>
        <w:tc>
          <w:tcPr>
            <w:tcW w:w="1220" w:type="dxa"/>
            <w:vAlign w:val="bottom"/>
            <w:tcBorders>
              <w:top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1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rPr>
              <w:t>2018</w:t>
            </w:r>
          </w:p>
        </w:tc>
        <w:tc>
          <w:tcPr>
            <w:tcW w:w="3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$ 22,938,612</w:t>
            </w:r>
          </w:p>
        </w:tc>
        <w:tc>
          <w:tcPr>
            <w:tcW w:w="1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w w:val="92"/>
              </w:rPr>
              <w:t>19,734,120</w:t>
            </w: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w w:val="94"/>
              </w:rPr>
              <w:t>46,447,193</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w w:val="98"/>
              </w:rPr>
              <w:t>$ 41,117,339</w:t>
            </w: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220" w:type="dxa"/>
            <w:vAlign w:val="bottom"/>
          </w:tcPr>
          <w:p>
            <w:pPr>
              <w:jc w:val="right"/>
              <w:spacing w:after="0"/>
              <w:rPr>
                <w:sz w:val="20"/>
                <w:szCs w:val="20"/>
                <w:color w:val="auto"/>
              </w:rPr>
            </w:pPr>
            <w:r>
              <w:rPr>
                <w:rFonts w:ascii="Arial" w:cs="Arial" w:eastAsia="Arial" w:hAnsi="Arial"/>
                <w:sz w:val="22"/>
                <w:szCs w:val="22"/>
                <w:color w:val="auto"/>
              </w:rPr>
              <w:t>2,626,193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1,675,075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3,872,209</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2,959,984</w:t>
            </w: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20" w:type="dxa"/>
            <w:vAlign w:val="bottom"/>
          </w:tcPr>
          <w:p>
            <w:pPr>
              <w:jc w:val="right"/>
              <w:spacing w:after="0"/>
              <w:rPr>
                <w:sz w:val="20"/>
                <w:szCs w:val="20"/>
                <w:color w:val="auto"/>
              </w:rPr>
            </w:pPr>
            <w:r>
              <w:rPr>
                <w:rFonts w:ascii="Arial" w:cs="Arial" w:eastAsia="Arial" w:hAnsi="Arial"/>
                <w:sz w:val="22"/>
                <w:szCs w:val="22"/>
                <w:color w:val="auto"/>
              </w:rPr>
              <w:t>1,016,381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2,486,424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1,634,452</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4,073,066</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rPr>
              <w:t>3,798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1,376,065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108,903</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2,591,899</w:t>
            </w: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4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234,349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108,625</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1,807,655</w:t>
            </w:r>
          </w:p>
        </w:tc>
        <w:tc>
          <w:tcPr>
            <w:tcW w:w="80" w:type="dxa"/>
            <w:vAlign w:val="bottom"/>
          </w:tcPr>
          <w:p>
            <w:pPr>
              <w:spacing w:after="0"/>
              <w:rPr>
                <w:sz w:val="23"/>
                <w:szCs w:val="23"/>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rPr>
              <w:t>2,048,653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970,264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3,837,256</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1,450,694</w:t>
            </w:r>
          </w:p>
        </w:tc>
        <w:tc>
          <w:tcPr>
            <w:tcW w:w="80" w:type="dxa"/>
            <w:vAlign w:val="bottom"/>
          </w:tcPr>
          <w:p>
            <w:pPr>
              <w:spacing w:after="0"/>
              <w:rPr>
                <w:sz w:val="23"/>
                <w:szCs w:val="23"/>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Payment-in-kind</w:t>
            </w:r>
          </w:p>
        </w:tc>
        <w:tc>
          <w:tcPr>
            <w:tcW w:w="1220" w:type="dxa"/>
            <w:vAlign w:val="bottom"/>
          </w:tcPr>
          <w:p>
            <w:pPr>
              <w:jc w:val="right"/>
              <w:spacing w:after="0"/>
              <w:rPr>
                <w:sz w:val="20"/>
                <w:szCs w:val="20"/>
                <w:color w:val="auto"/>
              </w:rPr>
            </w:pPr>
            <w:r>
              <w:rPr>
                <w:rFonts w:ascii="Arial" w:cs="Arial" w:eastAsia="Arial" w:hAnsi="Arial"/>
                <w:sz w:val="22"/>
                <w:szCs w:val="22"/>
                <w:color w:val="auto"/>
              </w:rPr>
              <w:t>54,116</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749,312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59,116</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1,893,397</w:t>
            </w:r>
          </w:p>
        </w:tc>
        <w:tc>
          <w:tcPr>
            <w:tcW w:w="80" w:type="dxa"/>
            <w:vAlign w:val="bottom"/>
          </w:tcPr>
          <w:p>
            <w:pPr>
              <w:spacing w:after="0"/>
              <w:rPr>
                <w:sz w:val="23"/>
                <w:szCs w:val="23"/>
                <w:color w:val="auto"/>
              </w:rPr>
            </w:pPr>
          </w:p>
        </w:tc>
      </w:tr>
      <w:tr>
        <w:trPr>
          <w:trHeight w:val="267"/>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28,687,753</w:t>
            </w:r>
          </w:p>
        </w:tc>
        <w:tc>
          <w:tcPr>
            <w:tcW w:w="1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2"/>
              </w:rPr>
              <w:t>27,225,609</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22"/>
                <w:szCs w:val="22"/>
                <w:color w:val="auto"/>
                <w:w w:val="94"/>
              </w:rPr>
              <w:t>56,067,754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55,894,034</w:t>
            </w:r>
          </w:p>
        </w:tc>
        <w:tc>
          <w:tcPr>
            <w:tcW w:w="80" w:type="dxa"/>
            <w:vAlign w:val="bottom"/>
          </w:tcPr>
          <w:p>
            <w:pPr>
              <w:spacing w:after="0"/>
              <w:rPr>
                <w:sz w:val="23"/>
                <w:szCs w:val="23"/>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220" w:type="dxa"/>
            <w:vAlign w:val="bottom"/>
          </w:tcPr>
          <w:p>
            <w:pPr>
              <w:jc w:val="right"/>
              <w:spacing w:after="0"/>
              <w:rPr>
                <w:sz w:val="20"/>
                <w:szCs w:val="20"/>
                <w:color w:val="auto"/>
              </w:rPr>
            </w:pPr>
            <w:r>
              <w:rPr>
                <w:rFonts w:ascii="Arial" w:cs="Arial" w:eastAsia="Arial" w:hAnsi="Arial"/>
                <w:sz w:val="22"/>
                <w:szCs w:val="22"/>
                <w:color w:val="auto"/>
              </w:rPr>
              <w:t>4,510,830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3,873,739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8,930,092</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9,608,876</w:t>
            </w: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220" w:type="dxa"/>
            <w:vAlign w:val="bottom"/>
          </w:tcPr>
          <w:p>
            <w:pPr>
              <w:jc w:val="right"/>
              <w:spacing w:after="0"/>
              <w:rPr>
                <w:sz w:val="20"/>
                <w:szCs w:val="20"/>
                <w:color w:val="auto"/>
              </w:rPr>
            </w:pPr>
            <w:r>
              <w:rPr>
                <w:rFonts w:ascii="Arial" w:cs="Arial" w:eastAsia="Arial" w:hAnsi="Arial"/>
                <w:sz w:val="22"/>
                <w:szCs w:val="22"/>
                <w:color w:val="auto"/>
              </w:rPr>
              <w:t>8,340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2,845,616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2,675,610</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6,030,820</w:t>
            </w: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220" w:type="dxa"/>
            <w:vAlign w:val="bottom"/>
          </w:tcPr>
          <w:p>
            <w:pPr>
              <w:jc w:val="right"/>
              <w:spacing w:after="0"/>
              <w:rPr>
                <w:sz w:val="20"/>
                <w:szCs w:val="20"/>
                <w:color w:val="auto"/>
              </w:rPr>
            </w:pPr>
            <w:r>
              <w:rPr>
                <w:rFonts w:ascii="Arial" w:cs="Arial" w:eastAsia="Arial" w:hAnsi="Arial"/>
                <w:sz w:val="22"/>
                <w:szCs w:val="22"/>
                <w:color w:val="auto"/>
              </w:rPr>
              <w:t>7,032,019</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5,940,893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w w:val="94"/>
              </w:rPr>
              <w:t>13,310,866</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11,798,271</w:t>
            </w: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220" w:type="dxa"/>
            <w:vAlign w:val="bottom"/>
          </w:tcPr>
          <w:p>
            <w:pPr>
              <w:jc w:val="right"/>
              <w:spacing w:after="0"/>
              <w:rPr>
                <w:sz w:val="20"/>
                <w:szCs w:val="20"/>
                <w:color w:val="auto"/>
              </w:rPr>
            </w:pPr>
            <w:r>
              <w:rPr>
                <w:rFonts w:ascii="Arial" w:cs="Arial" w:eastAsia="Arial" w:hAnsi="Arial"/>
                <w:sz w:val="22"/>
                <w:szCs w:val="22"/>
                <w:color w:val="auto"/>
              </w:rPr>
              <w:t>532,625</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521,625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1,054,250</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1,043,250</w:t>
            </w:r>
          </w:p>
        </w:tc>
        <w:tc>
          <w:tcPr>
            <w:tcW w:w="80" w:type="dxa"/>
            <w:vAlign w:val="bottom"/>
          </w:tcPr>
          <w:p>
            <w:pPr>
              <w:spacing w:after="0"/>
              <w:rPr>
                <w:sz w:val="23"/>
                <w:szCs w:val="23"/>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220" w:type="dxa"/>
            <w:vAlign w:val="bottom"/>
          </w:tcPr>
          <w:p>
            <w:pPr>
              <w:jc w:val="right"/>
              <w:spacing w:after="0"/>
              <w:rPr>
                <w:sz w:val="20"/>
                <w:szCs w:val="20"/>
                <w:color w:val="auto"/>
              </w:rPr>
            </w:pPr>
            <w:r>
              <w:rPr>
                <w:rFonts w:ascii="Arial" w:cs="Arial" w:eastAsia="Arial" w:hAnsi="Arial"/>
                <w:sz w:val="22"/>
                <w:szCs w:val="22"/>
                <w:color w:val="auto"/>
              </w:rPr>
              <w:t>692,177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628,290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1,310,544</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1,256,580</w:t>
            </w:r>
          </w:p>
        </w:tc>
        <w:tc>
          <w:tcPr>
            <w:tcW w:w="80" w:type="dxa"/>
            <w:vAlign w:val="bottom"/>
          </w:tcPr>
          <w:p>
            <w:pPr>
              <w:spacing w:after="0"/>
              <w:rPr>
                <w:sz w:val="23"/>
                <w:szCs w:val="23"/>
                <w:color w:val="auto"/>
              </w:rPr>
            </w:pPr>
          </w:p>
        </w:tc>
      </w:tr>
      <w:tr>
        <w:trPr>
          <w:trHeight w:val="213"/>
        </w:trPr>
        <w:tc>
          <w:tcPr>
            <w:tcW w:w="568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0"/>
              </w:rPr>
              <w:t>Expenses before Management Fees waiver and provision</w:t>
            </w: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for taxes</w:t>
            </w:r>
          </w:p>
        </w:tc>
        <w:tc>
          <w:tcPr>
            <w:tcW w:w="1220" w:type="dxa"/>
            <w:vAlign w:val="bottom"/>
          </w:tcPr>
          <w:p>
            <w:pPr>
              <w:jc w:val="right"/>
              <w:spacing w:after="0"/>
              <w:rPr>
                <w:sz w:val="20"/>
                <w:szCs w:val="20"/>
                <w:color w:val="auto"/>
              </w:rPr>
            </w:pPr>
            <w:r>
              <w:rPr>
                <w:rFonts w:ascii="Arial" w:cs="Arial" w:eastAsia="Arial" w:hAnsi="Arial"/>
                <w:sz w:val="22"/>
                <w:szCs w:val="22"/>
                <w:color w:val="auto"/>
              </w:rPr>
              <w:t>12,775,991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w w:val="92"/>
              </w:rPr>
              <w:t>13,810,163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w w:val="94"/>
              </w:rPr>
              <w:t>27,281,362</w:t>
            </w:r>
          </w:p>
        </w:tc>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29,737,797</w:t>
            </w:r>
          </w:p>
        </w:tc>
        <w:tc>
          <w:tcPr>
            <w:tcW w:w="80" w:type="dxa"/>
            <w:vAlign w:val="bottom"/>
          </w:tcPr>
          <w:p>
            <w:pPr>
              <w:spacing w:after="0"/>
              <w:rPr>
                <w:sz w:val="24"/>
                <w:szCs w:val="24"/>
                <w:color w:val="auto"/>
              </w:rPr>
            </w:pPr>
          </w:p>
        </w:tc>
      </w:tr>
      <w:tr>
        <w:trPr>
          <w:trHeight w:val="259"/>
        </w:trPr>
        <w:tc>
          <w:tcPr>
            <w:tcW w:w="5680" w:type="dxa"/>
            <w:vAlign w:val="bottom"/>
          </w:tcPr>
          <w:p>
            <w:pPr>
              <w:ind w:left="260"/>
              <w:spacing w:after="0"/>
              <w:rPr>
                <w:sz w:val="20"/>
                <w:szCs w:val="20"/>
                <w:color w:val="auto"/>
              </w:rPr>
            </w:pPr>
            <w:r>
              <w:rPr>
                <w:rFonts w:ascii="Arial" w:cs="Arial" w:eastAsia="Arial" w:hAnsi="Arial"/>
                <w:sz w:val="22"/>
                <w:szCs w:val="22"/>
                <w:color w:val="auto"/>
              </w:rPr>
              <w:t>Debt issuance costs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2,696,498</w:t>
            </w:r>
          </w:p>
        </w:tc>
        <w:tc>
          <w:tcPr>
            <w:tcW w:w="1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22"/>
                <w:szCs w:val="22"/>
                <w:color w:val="auto"/>
              </w:rPr>
              <w:t>2,696,498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2"/>
                <w:szCs w:val="22"/>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Make-whole premium</w:t>
            </w:r>
          </w:p>
        </w:tc>
        <w:tc>
          <w:tcPr>
            <w:tcW w:w="1220" w:type="dxa"/>
            <w:vAlign w:val="bottom"/>
          </w:tcPr>
          <w:p>
            <w:pPr>
              <w:jc w:val="right"/>
              <w:spacing w:after="0"/>
              <w:rPr>
                <w:sz w:val="20"/>
                <w:szCs w:val="20"/>
                <w:color w:val="auto"/>
              </w:rPr>
            </w:pPr>
            <w:r>
              <w:rPr>
                <w:rFonts w:ascii="Arial" w:cs="Arial" w:eastAsia="Arial" w:hAnsi="Arial"/>
                <w:sz w:val="22"/>
                <w:szCs w:val="22"/>
                <w:color w:val="auto"/>
              </w:rPr>
              <w:t>2,162,526</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2,162,526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14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22"/>
                <w:szCs w:val="22"/>
                <w:color w:val="auto"/>
                <w:w w:val="90"/>
              </w:rPr>
              <w:t>—</w:t>
            </w: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rPr>
              <w:t>(1,427,253)</w:t>
            </w: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220" w:type="dxa"/>
            <w:vAlign w:val="bottom"/>
          </w:tcPr>
          <w:p>
            <w:pPr>
              <w:jc w:val="right"/>
              <w:spacing w:after="0"/>
              <w:rPr>
                <w:sz w:val="20"/>
                <w:szCs w:val="20"/>
                <w:color w:val="auto"/>
              </w:rPr>
            </w:pPr>
            <w:r>
              <w:rPr>
                <w:rFonts w:ascii="Arial" w:cs="Arial" w:eastAsia="Arial" w:hAnsi="Arial"/>
                <w:sz w:val="22"/>
                <w:szCs w:val="22"/>
                <w:color w:val="auto"/>
              </w:rPr>
              <w:t>300,000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600,000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67"/>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17,935,015</w:t>
            </w:r>
          </w:p>
        </w:tc>
        <w:tc>
          <w:tcPr>
            <w:tcW w:w="1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2"/>
              </w:rPr>
              <w:t>13,810,163</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22"/>
                <w:szCs w:val="22"/>
                <w:color w:val="auto"/>
                <w:w w:val="94"/>
              </w:rPr>
              <w:t>32,740,386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28,310,544</w:t>
            </w:r>
          </w:p>
        </w:tc>
        <w:tc>
          <w:tcPr>
            <w:tcW w:w="80" w:type="dxa"/>
            <w:vAlign w:val="bottom"/>
          </w:tcPr>
          <w:p>
            <w:pPr>
              <w:spacing w:after="0"/>
              <w:rPr>
                <w:sz w:val="23"/>
                <w:szCs w:val="23"/>
                <w:color w:val="auto"/>
              </w:rPr>
            </w:pPr>
          </w:p>
        </w:tc>
      </w:tr>
      <w:tr>
        <w:trPr>
          <w:trHeight w:val="264"/>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10,752,738</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2"/>
              </w:rPr>
              <w:t>13,415,446</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w w:val="94"/>
              </w:rPr>
              <w:t>23,327,368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27,583,490</w:t>
            </w:r>
          </w:p>
        </w:tc>
        <w:tc>
          <w:tcPr>
            <w:tcW w:w="80" w:type="dxa"/>
            <w:vAlign w:val="bottom"/>
          </w:tcPr>
          <w:p>
            <w:pPr>
              <w:spacing w:after="0"/>
              <w:rPr>
                <w:sz w:val="22"/>
                <w:szCs w:val="22"/>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w w:val="98"/>
              </w:rPr>
              <w:t>Realized and unrealized loss on investments and debt:</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Net realized gain on investments on:</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972,448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w w:val="92"/>
              </w:rPr>
              <w:t>12,876,286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4,710,367</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14,669,329</w:t>
            </w:r>
          </w:p>
        </w:tc>
        <w:tc>
          <w:tcPr>
            <w:tcW w:w="80" w:type="dxa"/>
            <w:vAlign w:val="bottom"/>
          </w:tcPr>
          <w:p>
            <w:pPr>
              <w:spacing w:after="0"/>
              <w:rPr>
                <w:sz w:val="23"/>
                <w:szCs w:val="23"/>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8,877,164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4,792,067</w:t>
            </w:r>
          </w:p>
        </w:tc>
        <w:tc>
          <w:tcPr>
            <w:tcW w:w="1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10,857,604</w:t>
            </w:r>
          </w:p>
        </w:tc>
        <w:tc>
          <w:tcPr>
            <w:tcW w:w="80" w:type="dxa"/>
            <w:vAlign w:val="bottom"/>
          </w:tcPr>
          <w:p>
            <w:pPr>
              <w:spacing w:after="0"/>
              <w:rPr>
                <w:sz w:val="23"/>
                <w:szCs w:val="23"/>
                <w:color w:val="auto"/>
              </w:rPr>
            </w:pPr>
          </w:p>
        </w:tc>
      </w:tr>
      <w:tr>
        <w:trPr>
          <w:trHeight w:val="267"/>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Net realized gain on investments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972,448</w:t>
            </w:r>
          </w:p>
        </w:tc>
        <w:tc>
          <w:tcPr>
            <w:tcW w:w="1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2"/>
              </w:rPr>
              <w:t>21,753,450</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22"/>
                <w:szCs w:val="22"/>
                <w:color w:val="auto"/>
              </w:rPr>
              <w:t>9,502,434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25,526,933</w:t>
            </w:r>
          </w:p>
        </w:tc>
        <w:tc>
          <w:tcPr>
            <w:tcW w:w="80" w:type="dxa"/>
            <w:vAlign w:val="bottom"/>
          </w:tcPr>
          <w:p>
            <w:pPr>
              <w:spacing w:after="0"/>
              <w:rPr>
                <w:sz w:val="23"/>
                <w:szCs w:val="23"/>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color w:val="auto"/>
              </w:rPr>
              <w:t>Net change in unrealized depreciation on:</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(6,753,803)</w:t>
            </w:r>
          </w:p>
        </w:tc>
        <w:tc>
          <w:tcPr>
            <w:tcW w:w="180" w:type="dxa"/>
            <w:vAlign w:val="bottom"/>
          </w:tcPr>
          <w:p>
            <w:pPr>
              <w:spacing w:after="0"/>
              <w:rPr>
                <w:sz w:val="23"/>
                <w:szCs w:val="23"/>
                <w:color w:val="auto"/>
              </w:rPr>
            </w:pPr>
          </w:p>
        </w:tc>
        <w:tc>
          <w:tcPr>
            <w:tcW w:w="1240" w:type="dxa"/>
            <w:vAlign w:val="bottom"/>
            <w:gridSpan w:val="3"/>
          </w:tcPr>
          <w:p>
            <w:pPr>
              <w:jc w:val="right"/>
              <w:ind w:right="12"/>
              <w:spacing w:after="0"/>
              <w:rPr>
                <w:sz w:val="20"/>
                <w:szCs w:val="20"/>
                <w:color w:val="auto"/>
              </w:rPr>
            </w:pPr>
            <w:r>
              <w:rPr>
                <w:rFonts w:ascii="Arial" w:cs="Arial" w:eastAsia="Arial" w:hAnsi="Arial"/>
                <w:sz w:val="22"/>
                <w:szCs w:val="22"/>
                <w:color w:val="auto"/>
                <w:w w:val="97"/>
              </w:rPr>
              <w:t>(4,219,398)</w:t>
            </w:r>
          </w:p>
        </w:tc>
        <w:tc>
          <w:tcPr>
            <w:tcW w:w="140" w:type="dxa"/>
            <w:vAlign w:val="bottom"/>
          </w:tcPr>
          <w:p>
            <w:pPr>
              <w:spacing w:after="0"/>
              <w:rPr>
                <w:sz w:val="23"/>
                <w:szCs w:val="23"/>
                <w:color w:val="auto"/>
              </w:rPr>
            </w:pPr>
          </w:p>
        </w:tc>
        <w:tc>
          <w:tcPr>
            <w:tcW w:w="1180" w:type="dxa"/>
            <w:vAlign w:val="bottom"/>
            <w:gridSpan w:val="5"/>
          </w:tcPr>
          <w:p>
            <w:pPr>
              <w:jc w:val="right"/>
              <w:ind w:right="20"/>
              <w:spacing w:after="0"/>
              <w:rPr>
                <w:sz w:val="20"/>
                <w:szCs w:val="20"/>
                <w:color w:val="auto"/>
              </w:rPr>
            </w:pPr>
            <w:r>
              <w:rPr>
                <w:rFonts w:ascii="Arial" w:cs="Arial" w:eastAsia="Arial" w:hAnsi="Arial"/>
                <w:sz w:val="22"/>
                <w:szCs w:val="22"/>
                <w:color w:val="auto"/>
                <w:w w:val="91"/>
              </w:rPr>
              <w:t>(13,683,685)</w:t>
            </w: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rPr>
              <w:t>(2,481,333)</w:t>
            </w:r>
          </w:p>
        </w:tc>
      </w:tr>
    </w:tbl>
    <w:p>
      <w:pPr>
        <w:sectPr>
          <w:pgSz w:w="11900" w:h="16838" w:orient="portrait"/>
          <w:cols w:equalWidth="0" w:num="1">
            <w:col w:w="11200"/>
          </w:cols>
          <w:pgMar w:left="340" w:top="11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(13,379,363)</w:t>
            </w: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w w:val="91"/>
              </w:rPr>
              <w:t>(25,313,724)</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(26,842,060)</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91"/>
              </w:rPr>
              <w:t>(33,824,685)</w:t>
            </w:r>
          </w:p>
        </w:tc>
        <w:tc>
          <w:tcPr>
            <w:tcW w:w="0" w:type="dxa"/>
            <w:vAlign w:val="bottom"/>
          </w:tcPr>
          <w:p>
            <w:pPr>
              <w:spacing w:after="0"/>
              <w:rPr>
                <w:sz w:val="1"/>
                <w:szCs w:val="1"/>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3,661,483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399,236</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9,727,635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1,526,002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8"/>
              </w:rPr>
              <w:t>Net change in unrealized depreciation on investments and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5380" w:type="dxa"/>
            <w:vAlign w:val="bottom"/>
            <w:gridSpan w:val="11"/>
          </w:tcPr>
          <w:p>
            <w:pPr>
              <w:jc w:val="right"/>
              <w:spacing w:after="0"/>
              <w:rPr>
                <w:sz w:val="20"/>
                <w:szCs w:val="20"/>
                <w:color w:val="auto"/>
              </w:rPr>
            </w:pPr>
            <w:r>
              <w:rPr>
                <w:rFonts w:ascii="Arial" w:cs="Arial" w:eastAsia="Arial" w:hAnsi="Arial"/>
                <w:sz w:val="22"/>
                <w:szCs w:val="22"/>
                <w:color w:val="auto"/>
                <w:w w:val="92"/>
              </w:rPr>
              <w:t>(16,471,683 )   (29,133,886 )   (30,798,110 )   (34,780,016 )</w:t>
            </w:r>
          </w:p>
        </w:tc>
        <w:tc>
          <w:tcPr>
            <w:tcW w:w="0" w:type="dxa"/>
            <w:vAlign w:val="bottom"/>
          </w:tcPr>
          <w:p>
            <w:pPr>
              <w:spacing w:after="0"/>
              <w:rPr>
                <w:sz w:val="1"/>
                <w:szCs w:val="1"/>
                <w:color w:val="auto"/>
              </w:rPr>
            </w:pPr>
          </w:p>
        </w:tc>
      </w:tr>
      <w:tr>
        <w:trPr>
          <w:trHeight w:val="267"/>
        </w:trPr>
        <w:tc>
          <w:tcPr>
            <w:tcW w:w="5680" w:type="dxa"/>
            <w:vAlign w:val="bottom"/>
          </w:tcPr>
          <w:p>
            <w:pPr>
              <w:spacing w:after="0"/>
              <w:rPr>
                <w:sz w:val="20"/>
                <w:szCs w:val="20"/>
                <w:color w:val="auto"/>
              </w:rPr>
            </w:pPr>
            <w:r>
              <w:rPr>
                <w:rFonts w:ascii="Arial" w:cs="Arial" w:eastAsia="Arial" w:hAnsi="Arial"/>
                <w:sz w:val="22"/>
                <w:szCs w:val="22"/>
                <w:b w:val="1"/>
                <w:bCs w:val="1"/>
                <w:color w:val="auto"/>
                <w:w w:val="91"/>
              </w:rPr>
              <w:t>Net realized and unrealized loss from investments and debt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(15,499,235</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(7,380,436</w:t>
            </w:r>
          </w:p>
        </w:tc>
        <w:tc>
          <w:tcPr>
            <w:tcW w:w="20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(21,295,676</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(9,253,083</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09"/>
        </w:trPr>
        <w:tc>
          <w:tcPr>
            <w:tcW w:w="5680" w:type="dxa"/>
            <w:vAlign w:val="bottom"/>
          </w:tcPr>
          <w:p>
            <w:pPr>
              <w:spacing w:after="0" w:line="209" w:lineRule="exact"/>
              <w:rPr>
                <w:sz w:val="20"/>
                <w:szCs w:val="20"/>
                <w:color w:val="auto"/>
              </w:rPr>
            </w:pPr>
            <w:r>
              <w:rPr>
                <w:rFonts w:ascii="Arial" w:cs="Arial" w:eastAsia="Arial" w:hAnsi="Arial"/>
                <w:sz w:val="22"/>
                <w:szCs w:val="22"/>
                <w:b w:val="1"/>
                <w:bCs w:val="1"/>
                <w:color w:val="auto"/>
              </w:rPr>
              <w:t>Net (decrease) increase in net assets resulting from</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w w:val="96"/>
              </w:rPr>
              <w:t>(4,746,497 )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6,035,010</w:t>
            </w:r>
          </w:p>
        </w:tc>
        <w:tc>
          <w:tcPr>
            <w:tcW w:w="2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2,031,692</w:t>
            </w:r>
          </w:p>
        </w:tc>
        <w:tc>
          <w:tcPr>
            <w:tcW w:w="2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4"/>
              </w:rPr>
              <w:t>18,330,407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140" w:type="dxa"/>
            <w:vAlign w:val="bottom"/>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line="242" w:lineRule="exact"/>
              <w:rPr>
                <w:sz w:val="20"/>
                <w:szCs w:val="20"/>
                <w:color w:val="auto"/>
              </w:rPr>
            </w:pPr>
            <w:r>
              <w:rPr>
                <w:rFonts w:ascii="Arial" w:cs="Arial" w:eastAsia="Arial" w:hAnsi="Arial"/>
                <w:sz w:val="22"/>
                <w:szCs w:val="22"/>
                <w:color w:val="auto"/>
                <w:w w:val="92"/>
              </w:rPr>
              <w:t>Net (decrease) increase in net assets resulting from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8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rPr>
              <w:t>(0.07 )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0.08</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0.03</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line="251" w:lineRule="exact"/>
              <w:rPr>
                <w:sz w:val="20"/>
                <w:szCs w:val="20"/>
                <w:color w:val="auto"/>
              </w:rPr>
            </w:pPr>
            <w:r>
              <w:rPr>
                <w:rFonts w:ascii="Arial" w:cs="Arial" w:eastAsia="Arial" w:hAnsi="Arial"/>
                <w:sz w:val="22"/>
                <w:szCs w:val="22"/>
                <w:color w:val="auto"/>
              </w:rPr>
              <w:t>per common share</w:t>
            </w:r>
          </w:p>
        </w:tc>
        <w:tc>
          <w:tcPr>
            <w:tcW w:w="14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0.16</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0.19</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2020-05-05T15:07:33Z</dcterms:created>
  <dcterms:modified xsi:type="dcterms:W3CDTF">2020-05-05T15:07:33Z</dcterms:modified>
</cp:coreProperties>
</file>