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18"/>
          <w:szCs w:val="18"/>
          <w:b w:val="1"/>
          <w:bCs w:val="1"/>
          <w:color w:val="auto"/>
        </w:rPr>
        <w:t>NATIONAL UNION FIRE INSURANCE COMPANY</w:t>
      </w:r>
    </w:p>
    <w:p>
      <w:pPr>
        <w:spacing w:after="0" w:line="21"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OF PITTSBURGH, PA.</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 Stock Insurance Company, herein called the Underwriter)</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175 Water Street</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New York, NY 10038</w:t>
      </w:r>
    </w:p>
    <w:p>
      <w:pPr>
        <w:spacing w:after="0" w:line="240" w:lineRule="exact"/>
        <w:rPr>
          <w:sz w:val="24"/>
          <w:szCs w:val="24"/>
          <w:color w:val="auto"/>
        </w:rPr>
      </w:pPr>
    </w:p>
    <w:p>
      <w:pPr>
        <w:ind w:left="2920"/>
        <w:spacing w:after="0"/>
        <w:rPr>
          <w:sz w:val="20"/>
          <w:szCs w:val="20"/>
          <w:color w:val="auto"/>
        </w:rPr>
      </w:pPr>
      <w:r>
        <w:rPr>
          <w:rFonts w:ascii="Arial" w:cs="Arial" w:eastAsia="Arial" w:hAnsi="Arial"/>
          <w:sz w:val="18"/>
          <w:szCs w:val="18"/>
          <w:b w:val="1"/>
          <w:bCs w:val="1"/>
          <w:color w:val="auto"/>
        </w:rPr>
        <w:t>INVESTMENT COMPANY BLANKET BOND</w:t>
      </w:r>
    </w:p>
    <w:p>
      <w:pPr>
        <w:spacing w:after="0" w:line="252"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000" w:type="dxa"/>
            <w:vAlign w:val="bottom"/>
            <w:gridSpan w:val="2"/>
          </w:tcPr>
          <w:p>
            <w:pPr>
              <w:ind w:left="2480"/>
              <w:spacing w:after="0"/>
              <w:rPr>
                <w:sz w:val="20"/>
                <w:szCs w:val="20"/>
                <w:color w:val="auto"/>
              </w:rPr>
            </w:pPr>
            <w:r>
              <w:rPr>
                <w:rFonts w:ascii="Arial" w:cs="Arial" w:eastAsia="Arial" w:hAnsi="Arial"/>
                <w:sz w:val="18"/>
                <w:szCs w:val="18"/>
                <w:color w:val="auto"/>
                <w:w w:val="89"/>
              </w:rPr>
              <w:t xml:space="preserve">Bond No.: </w:t>
            </w:r>
            <w:r>
              <w:rPr>
                <w:rFonts w:ascii="Arial" w:cs="Arial" w:eastAsia="Arial" w:hAnsi="Arial"/>
                <w:sz w:val="18"/>
                <w:szCs w:val="18"/>
                <w:b w:val="1"/>
                <w:bCs w:val="1"/>
                <w:color w:val="auto"/>
                <w:w w:val="89"/>
              </w:rPr>
              <w:t>501-00-29</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60" w:type="dxa"/>
            <w:vAlign w:val="bottom"/>
            <w:gridSpan w:val="5"/>
          </w:tcPr>
          <w:p>
            <w:pPr>
              <w:ind w:left="40"/>
              <w:spacing w:after="0"/>
              <w:rPr>
                <w:sz w:val="20"/>
                <w:szCs w:val="20"/>
                <w:color w:val="auto"/>
              </w:rPr>
            </w:pPr>
            <w:r>
              <w:rPr>
                <w:rFonts w:ascii="Arial" w:cs="Arial" w:eastAsia="Arial" w:hAnsi="Arial"/>
                <w:sz w:val="18"/>
                <w:szCs w:val="18"/>
                <w:b w:val="1"/>
                <w:bCs w:val="1"/>
                <w:color w:val="auto"/>
              </w:rPr>
              <w:t>DECLARATIONS</w:t>
            </w:r>
          </w:p>
        </w:tc>
        <w:tc>
          <w:tcPr>
            <w:tcW w:w="0" w:type="dxa"/>
            <w:vAlign w:val="bottom"/>
          </w:tcPr>
          <w:p>
            <w:pPr>
              <w:spacing w:after="0"/>
              <w:rPr>
                <w:sz w:val="1"/>
                <w:szCs w:val="1"/>
                <w:color w:val="auto"/>
              </w:rPr>
            </w:pPr>
          </w:p>
        </w:tc>
      </w:tr>
      <w:tr>
        <w:trPr>
          <w:trHeight w:val="245"/>
        </w:trPr>
        <w:tc>
          <w:tcPr>
            <w:tcW w:w="780" w:type="dxa"/>
            <w:vAlign w:val="bottom"/>
            <w:gridSpan w:val="2"/>
          </w:tcPr>
          <w:p>
            <w:pPr>
              <w:spacing w:after="0"/>
              <w:rPr>
                <w:sz w:val="21"/>
                <w:szCs w:val="21"/>
                <w:color w:val="auto"/>
              </w:rPr>
            </w:pPr>
          </w:p>
        </w:tc>
        <w:tc>
          <w:tcPr>
            <w:tcW w:w="2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1.</w:t>
            </w:r>
          </w:p>
        </w:tc>
        <w:tc>
          <w:tcPr>
            <w:tcW w:w="3180" w:type="dxa"/>
            <w:vAlign w:val="bottom"/>
            <w:tcBorders>
              <w:top w:val="single" w:sz="8" w:color="auto"/>
            </w:tcBorders>
            <w:gridSpan w:val="2"/>
          </w:tcPr>
          <w:p>
            <w:pPr>
              <w:ind w:left="260"/>
              <w:spacing w:after="0"/>
              <w:rPr>
                <w:sz w:val="20"/>
                <w:szCs w:val="20"/>
                <w:color w:val="auto"/>
              </w:rPr>
            </w:pPr>
            <w:r>
              <w:rPr>
                <w:rFonts w:ascii="Arial" w:cs="Arial" w:eastAsia="Arial" w:hAnsi="Arial"/>
                <w:sz w:val="18"/>
                <w:szCs w:val="18"/>
                <w:color w:val="auto"/>
                <w:w w:val="90"/>
              </w:rPr>
              <w:t>Name of Insured (herein called Insured):</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980" w:type="dxa"/>
            <w:vAlign w:val="bottom"/>
            <w:tcBorders>
              <w:top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PENNANTPARK INVESTMENT CORPORATION</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180" w:type="dxa"/>
            <w:vAlign w:val="bottom"/>
            <w:gridSpan w:val="2"/>
          </w:tcPr>
          <w:p>
            <w:pPr>
              <w:ind w:left="260"/>
              <w:spacing w:after="0"/>
              <w:rPr>
                <w:sz w:val="20"/>
                <w:szCs w:val="20"/>
                <w:color w:val="auto"/>
              </w:rPr>
            </w:pPr>
            <w:r>
              <w:rPr>
                <w:rFonts w:ascii="Arial" w:cs="Arial" w:eastAsia="Arial" w:hAnsi="Arial"/>
                <w:sz w:val="18"/>
                <w:szCs w:val="18"/>
                <w:color w:val="auto"/>
              </w:rPr>
              <w:t>Principal Address</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0" w:type="dxa"/>
            <w:vAlign w:val="bottom"/>
            <w:gridSpan w:val="3"/>
          </w:tcPr>
          <w:p>
            <w:pPr>
              <w:ind w:left="280"/>
              <w:spacing w:after="0"/>
              <w:rPr>
                <w:sz w:val="20"/>
                <w:szCs w:val="20"/>
                <w:color w:val="auto"/>
              </w:rPr>
            </w:pPr>
            <w:r>
              <w:rPr>
                <w:rFonts w:ascii="Arial" w:cs="Arial" w:eastAsia="Arial" w:hAnsi="Arial"/>
                <w:sz w:val="18"/>
                <w:szCs w:val="18"/>
                <w:b w:val="1"/>
                <w:bCs w:val="1"/>
                <w:color w:val="auto"/>
              </w:rPr>
              <w:t>590 MADISON AVE, 15TH FLOOR</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0" w:type="dxa"/>
            <w:vAlign w:val="bottom"/>
            <w:gridSpan w:val="3"/>
          </w:tcPr>
          <w:p>
            <w:pPr>
              <w:ind w:left="280"/>
              <w:spacing w:after="0"/>
              <w:rPr>
                <w:sz w:val="20"/>
                <w:szCs w:val="20"/>
                <w:color w:val="auto"/>
              </w:rPr>
            </w:pPr>
            <w:r>
              <w:rPr>
                <w:rFonts w:ascii="Arial" w:cs="Arial" w:eastAsia="Arial" w:hAnsi="Arial"/>
                <w:sz w:val="18"/>
                <w:szCs w:val="18"/>
                <w:b w:val="1"/>
                <w:bCs w:val="1"/>
                <w:color w:val="auto"/>
              </w:rPr>
              <w:t>NEW YORK, NY 10022</w:t>
            </w:r>
          </w:p>
        </w:tc>
        <w:tc>
          <w:tcPr>
            <w:tcW w:w="0" w:type="dxa"/>
            <w:vAlign w:val="bottom"/>
          </w:tcPr>
          <w:p>
            <w:pPr>
              <w:spacing w:after="0"/>
              <w:rPr>
                <w:sz w:val="1"/>
                <w:szCs w:val="1"/>
                <w:color w:val="auto"/>
              </w:rPr>
            </w:pPr>
          </w:p>
        </w:tc>
      </w:tr>
      <w:tr>
        <w:trPr>
          <w:trHeight w:val="272"/>
        </w:trPr>
        <w:tc>
          <w:tcPr>
            <w:tcW w:w="780" w:type="dxa"/>
            <w:vAlign w:val="bottom"/>
            <w:gridSpan w:val="2"/>
          </w:tcPr>
          <w:p>
            <w:pPr>
              <w:spacing w:after="0"/>
              <w:rPr>
                <w:sz w:val="23"/>
                <w:szCs w:val="23"/>
                <w:color w:val="auto"/>
              </w:rPr>
            </w:pPr>
          </w:p>
        </w:tc>
        <w:tc>
          <w:tcPr>
            <w:tcW w:w="2400" w:type="dxa"/>
            <w:vAlign w:val="bottom"/>
          </w:tcPr>
          <w:p>
            <w:pPr>
              <w:spacing w:after="0"/>
              <w:rPr>
                <w:sz w:val="23"/>
                <w:szCs w:val="23"/>
                <w:color w:val="auto"/>
              </w:rPr>
            </w:pPr>
          </w:p>
        </w:tc>
        <w:tc>
          <w:tcPr>
            <w:tcW w:w="1000" w:type="dxa"/>
            <w:vAlign w:val="bottom"/>
            <w:gridSpan w:val="2"/>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3980" w:type="dxa"/>
            <w:vAlign w:val="bottom"/>
          </w:tcPr>
          <w:p>
            <w:pPr>
              <w:spacing w:after="0"/>
              <w:rPr>
                <w:sz w:val="23"/>
                <w:szCs w:val="23"/>
                <w:color w:val="auto"/>
              </w:rPr>
            </w:pPr>
          </w:p>
        </w:tc>
        <w:tc>
          <w:tcPr>
            <w:tcW w:w="20" w:type="dxa"/>
            <w:vAlign w:val="bottom"/>
            <w:vMerge w:val="restart"/>
          </w:tcPr>
          <w:p>
            <w:pPr>
              <w:spacing w:after="0"/>
              <w:rPr>
                <w:sz w:val="23"/>
                <w:szCs w:val="2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Item 2.</w:t>
            </w:r>
          </w:p>
        </w:tc>
        <w:tc>
          <w:tcPr>
            <w:tcW w:w="8620" w:type="dxa"/>
            <w:vAlign w:val="bottom"/>
            <w:tcBorders>
              <w:top w:val="single" w:sz="8" w:color="auto"/>
            </w:tcBorders>
            <w:gridSpan w:val="6"/>
          </w:tcPr>
          <w:p>
            <w:pPr>
              <w:ind w:left="260"/>
              <w:spacing w:after="0" w:line="170" w:lineRule="exact"/>
              <w:rPr>
                <w:sz w:val="20"/>
                <w:szCs w:val="20"/>
                <w:color w:val="auto"/>
              </w:rPr>
            </w:pPr>
            <w:r>
              <w:rPr>
                <w:rFonts w:ascii="Arial" w:cs="Arial" w:eastAsia="Arial" w:hAnsi="Arial"/>
                <w:sz w:val="18"/>
                <w:szCs w:val="18"/>
                <w:color w:val="auto"/>
                <w:w w:val="91"/>
              </w:rPr>
              <w:t xml:space="preserve">Bond Period: from </w:t>
            </w:r>
            <w:r>
              <w:rPr>
                <w:rFonts w:ascii="Arial" w:cs="Arial" w:eastAsia="Arial" w:hAnsi="Arial"/>
                <w:sz w:val="18"/>
                <w:szCs w:val="18"/>
                <w:b w:val="1"/>
                <w:bCs w:val="1"/>
                <w:color w:val="auto"/>
                <w:w w:val="91"/>
              </w:rPr>
              <w:t>12:01a.m. May 31, 2008 to May 31, 2009</w:t>
            </w:r>
            <w:r>
              <w:rPr>
                <w:rFonts w:ascii="Arial" w:cs="Arial" w:eastAsia="Arial" w:hAnsi="Arial"/>
                <w:sz w:val="18"/>
                <w:szCs w:val="18"/>
                <w:color w:val="auto"/>
                <w:w w:val="91"/>
              </w:rPr>
              <w:t xml:space="preserve"> the effective date of the termination or cancellation of</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0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640" w:type="dxa"/>
            <w:vAlign w:val="bottom"/>
            <w:gridSpan w:val="7"/>
          </w:tcPr>
          <w:p>
            <w:pPr>
              <w:ind w:left="260"/>
              <w:spacing w:after="0"/>
              <w:rPr>
                <w:sz w:val="20"/>
                <w:szCs w:val="20"/>
                <w:color w:val="auto"/>
              </w:rPr>
            </w:pPr>
            <w:r>
              <w:rPr>
                <w:rFonts w:ascii="Arial" w:cs="Arial" w:eastAsia="Arial" w:hAnsi="Arial"/>
                <w:sz w:val="18"/>
                <w:szCs w:val="18"/>
                <w:color w:val="auto"/>
              </w:rPr>
              <w:t>this bond, standard time at the Principal Address as to each of said dates.</w:t>
            </w:r>
          </w:p>
        </w:tc>
        <w:tc>
          <w:tcPr>
            <w:tcW w:w="0" w:type="dxa"/>
            <w:vAlign w:val="bottom"/>
          </w:tcPr>
          <w:p>
            <w:pPr>
              <w:spacing w:after="0"/>
              <w:rPr>
                <w:sz w:val="1"/>
                <w:szCs w:val="1"/>
                <w:color w:val="auto"/>
              </w:rPr>
            </w:pPr>
          </w:p>
        </w:tc>
      </w:tr>
      <w:tr>
        <w:trPr>
          <w:trHeight w:val="245"/>
        </w:trPr>
        <w:tc>
          <w:tcPr>
            <w:tcW w:w="780" w:type="dxa"/>
            <w:vAlign w:val="bottom"/>
            <w:gridSpan w:val="2"/>
          </w:tcPr>
          <w:p>
            <w:pPr>
              <w:spacing w:after="0"/>
              <w:rPr>
                <w:sz w:val="21"/>
                <w:szCs w:val="21"/>
                <w:color w:val="auto"/>
              </w:rPr>
            </w:pPr>
          </w:p>
        </w:tc>
        <w:tc>
          <w:tcPr>
            <w:tcW w:w="2400" w:type="dxa"/>
            <w:vAlign w:val="bottom"/>
          </w:tcPr>
          <w:p>
            <w:pPr>
              <w:spacing w:after="0"/>
              <w:rPr>
                <w:sz w:val="21"/>
                <w:szCs w:val="21"/>
                <w:color w:val="auto"/>
              </w:rPr>
            </w:pPr>
          </w:p>
        </w:tc>
        <w:tc>
          <w:tcPr>
            <w:tcW w:w="100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0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Item 3.</w:t>
            </w:r>
          </w:p>
        </w:tc>
        <w:tc>
          <w:tcPr>
            <w:tcW w:w="8620" w:type="dxa"/>
            <w:vAlign w:val="bottom"/>
            <w:tcBorders>
              <w:top w:val="single" w:sz="8" w:color="auto"/>
            </w:tcBorders>
            <w:gridSpan w:val="6"/>
          </w:tcPr>
          <w:p>
            <w:pPr>
              <w:ind w:left="260"/>
              <w:spacing w:after="0"/>
              <w:rPr>
                <w:sz w:val="20"/>
                <w:szCs w:val="20"/>
                <w:color w:val="auto"/>
              </w:rPr>
            </w:pPr>
            <w:r>
              <w:rPr>
                <w:rFonts w:ascii="Arial" w:cs="Arial" w:eastAsia="Arial" w:hAnsi="Arial"/>
                <w:sz w:val="18"/>
                <w:szCs w:val="18"/>
                <w:color w:val="auto"/>
              </w:rPr>
              <w:t>Limit of Liability--Subject to Sections 9, 10 and 12 hereof,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70"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880" w:type="dxa"/>
            <w:vAlign w:val="bottom"/>
          </w:tcPr>
          <w:p>
            <w:pPr>
              <w:spacing w:after="0"/>
              <w:rPr>
                <w:sz w:val="20"/>
                <w:szCs w:val="20"/>
                <w:color w:val="auto"/>
              </w:rPr>
            </w:pPr>
            <w:r>
              <w:rPr>
                <w:rFonts w:ascii="Arial" w:cs="Arial" w:eastAsia="Arial" w:hAnsi="Arial"/>
                <w:sz w:val="18"/>
                <w:szCs w:val="18"/>
                <w:color w:val="auto"/>
              </w:rPr>
              <w:t>Amount applicable to</w:t>
            </w:r>
          </w:p>
        </w:tc>
        <w:tc>
          <w:tcPr>
            <w:tcW w:w="1500" w:type="dxa"/>
            <w:vAlign w:val="bottom"/>
            <w:gridSpan w:val="3"/>
          </w:tcPr>
          <w:p>
            <w:pPr>
              <w:ind w:left="180"/>
              <w:spacing w:after="0"/>
              <w:rPr>
                <w:sz w:val="20"/>
                <w:szCs w:val="20"/>
                <w:color w:val="auto"/>
              </w:rPr>
            </w:pPr>
            <w:r>
              <w:rPr>
                <w:rFonts w:ascii="Arial" w:cs="Arial" w:eastAsia="Arial" w:hAnsi="Arial"/>
                <w:sz w:val="18"/>
                <w:szCs w:val="18"/>
                <w:color w:val="auto"/>
              </w:rPr>
              <w:t>Limit of Liability</w:t>
            </w:r>
          </w:p>
        </w:tc>
        <w:tc>
          <w:tcPr>
            <w:tcW w:w="860" w:type="dxa"/>
            <w:vAlign w:val="bottom"/>
            <w:gridSpan w:val="2"/>
          </w:tcPr>
          <w:p>
            <w:pPr>
              <w:ind w:left="100"/>
              <w:spacing w:after="0"/>
              <w:rPr>
                <w:sz w:val="20"/>
                <w:szCs w:val="20"/>
                <w:color w:val="auto"/>
              </w:rPr>
            </w:pPr>
            <w:r>
              <w:rPr>
                <w:rFonts w:ascii="Arial" w:cs="Arial" w:eastAsia="Arial" w:hAnsi="Arial"/>
                <w:sz w:val="18"/>
                <w:szCs w:val="18"/>
                <w:color w:val="auto"/>
                <w:w w:val="86"/>
              </w:rPr>
              <w:t>Deductible</w:t>
            </w:r>
          </w:p>
        </w:tc>
      </w:tr>
      <w:tr>
        <w:trPr>
          <w:trHeight w:val="20"/>
        </w:trPr>
        <w:tc>
          <w:tcPr>
            <w:tcW w:w="4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471"/>
        </w:trPr>
        <w:tc>
          <w:tcPr>
            <w:tcW w:w="4880" w:type="dxa"/>
            <w:vAlign w:val="bottom"/>
          </w:tcPr>
          <w:p>
            <w:pPr>
              <w:spacing w:after="0"/>
              <w:rPr>
                <w:sz w:val="20"/>
                <w:szCs w:val="20"/>
                <w:color w:val="auto"/>
              </w:rPr>
            </w:pPr>
            <w:r>
              <w:rPr>
                <w:rFonts w:ascii="Arial" w:cs="Arial" w:eastAsia="Arial" w:hAnsi="Arial"/>
                <w:sz w:val="18"/>
                <w:szCs w:val="18"/>
                <w:color w:val="auto"/>
              </w:rPr>
              <w:t>Insuring Agreement (A)-FIDELITY</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4"/>
                <w:szCs w:val="24"/>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(B)-AUDIT EXPENSE</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(C)-ON PREMISES</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(D)-IN TRANSIT</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(E)-FORGERY OR ALTERATION</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(F)-SECURITIES</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(G)-COUNTERFEIT CURRENCY</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(H)-STOP PAYMENT</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w w:val="96"/>
              </w:rPr>
              <w:t>Insuring Agreement (I) UNCOLLECTIBLE ITEMS OF DEPOSIT</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(J)-COMPUTER SYSTEMS</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(K)-UNAUTHORIZED SIGNATURES</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Insuring Agreement (L)-VOICE INITIATED TRANSFER</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r>
        <w:trPr>
          <w:trHeight w:val="222"/>
        </w:trPr>
        <w:tc>
          <w:tcPr>
            <w:tcW w:w="4880" w:type="dxa"/>
            <w:vAlign w:val="bottom"/>
          </w:tcPr>
          <w:p>
            <w:pPr>
              <w:spacing w:after="0"/>
              <w:rPr>
                <w:sz w:val="20"/>
                <w:szCs w:val="20"/>
                <w:color w:val="auto"/>
              </w:rPr>
            </w:pPr>
            <w:r>
              <w:rPr>
                <w:rFonts w:ascii="Arial" w:cs="Arial" w:eastAsia="Arial" w:hAnsi="Arial"/>
                <w:sz w:val="18"/>
                <w:szCs w:val="18"/>
                <w:color w:val="auto"/>
              </w:rPr>
              <w:t>Insuring Agreement (M)-TELEFACSIMILE TRANSFERS</w:t>
            </w:r>
          </w:p>
        </w:tc>
        <w:tc>
          <w:tcPr>
            <w:tcW w:w="1400" w:type="dxa"/>
            <w:vAlign w:val="bottom"/>
            <w:gridSpan w:val="2"/>
          </w:tcPr>
          <w:p>
            <w:pPr>
              <w:ind w:left="180"/>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19"/>
                <w:szCs w:val="19"/>
                <w:color w:val="auto"/>
              </w:rPr>
            </w:pPr>
          </w:p>
        </w:tc>
        <w:tc>
          <w:tcPr>
            <w:tcW w:w="860" w:type="dxa"/>
            <w:vAlign w:val="bottom"/>
            <w:gridSpan w:val="2"/>
          </w:tcPr>
          <w:p>
            <w:pPr>
              <w:ind w:left="100"/>
              <w:spacing w:after="0"/>
              <w:rPr>
                <w:sz w:val="20"/>
                <w:szCs w:val="20"/>
                <w:color w:val="auto"/>
              </w:rPr>
            </w:pPr>
            <w:r>
              <w:rPr>
                <w:rFonts w:ascii="Arial" w:cs="Arial" w:eastAsia="Arial" w:hAnsi="Arial"/>
                <w:sz w:val="18"/>
                <w:szCs w:val="18"/>
                <w:color w:val="auto"/>
              </w:rPr>
              <w:t>$50,000</w:t>
            </w:r>
          </w:p>
        </w:tc>
      </w:tr>
    </w:tbl>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1040" w:right="899"/>
        <w:spacing w:after="0" w:line="332" w:lineRule="auto"/>
        <w:rPr>
          <w:sz w:val="20"/>
          <w:szCs w:val="20"/>
          <w:color w:val="auto"/>
        </w:rPr>
      </w:pPr>
      <w:r>
        <w:rPr>
          <w:rFonts w:ascii="Arial" w:cs="Arial" w:eastAsia="Arial" w:hAnsi="Arial"/>
          <w:sz w:val="16"/>
          <w:szCs w:val="16"/>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59690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160" w:lineRule="exact"/>
        <w:rPr>
          <w:sz w:val="24"/>
          <w:szCs w:val="24"/>
          <w:color w:val="auto"/>
        </w:rPr>
      </w:pPr>
    </w:p>
    <w:p>
      <w:pPr>
        <w:jc w:val="both"/>
        <w:ind w:left="1040" w:right="859" w:hanging="1039"/>
        <w:spacing w:after="0" w:line="335" w:lineRule="auto"/>
        <w:tabs>
          <w:tab w:leader="none" w:pos="102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5"/>
          <w:szCs w:val="15"/>
          <w:color w:val="auto"/>
        </w:rPr>
        <w:t>Offices or Premises Covered--Offices acquired or established subsequent to the effective date of this bond are covered according to the terms of General Agreement A. All the Insured's offices or premises in existence at the time this bond becomes effective are covered under this bond except the offices or premises located as follows: No Exceptions.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59690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4"/>
          <w:szCs w:val="24"/>
          <w:color w:val="auto"/>
        </w:rPr>
      </w:pPr>
    </w:p>
    <w:p>
      <w:pPr>
        <w:spacing w:after="0" w:line="206" w:lineRule="exact"/>
        <w:rPr>
          <w:sz w:val="24"/>
          <w:szCs w:val="24"/>
          <w:color w:val="auto"/>
        </w:rPr>
      </w:pPr>
    </w:p>
    <w:p>
      <w:pPr>
        <w:jc w:val="both"/>
        <w:ind w:left="1040" w:right="859" w:hanging="1039"/>
        <w:spacing w:after="0" w:line="268" w:lineRule="auto"/>
        <w:tabs>
          <w:tab w:leader="none" w:pos="102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8"/>
          <w:szCs w:val="18"/>
          <w:color w:val="auto"/>
        </w:rPr>
        <w:t>The liability of the Underwriter is subject to the terms of the following riders attached hereto: Endorsements No.: 1, 2, 3 , 4, 5, 6 , 7, 8 and 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59690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0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both"/>
        <w:ind w:left="1040" w:right="1439" w:hanging="1039"/>
        <w:spacing w:after="0" w:line="259" w:lineRule="auto"/>
        <w:tabs>
          <w:tab w:leader="none" w:pos="102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8"/>
          <w:szCs w:val="18"/>
          <w:color w:val="auto"/>
        </w:rPr>
        <w:t>The Insured by the acceptance of this bond gives to the Underwriter terminating or cancelling prior bond(s) or policy(ies) No.(s) 742-18-68 such termination or cancellation to be effective as of the time this bond becomes effective.</w:t>
      </w:r>
    </w:p>
    <w:p>
      <w:pPr>
        <w:spacing w:after="0" w:line="200" w:lineRule="exact"/>
        <w:rPr>
          <w:sz w:val="24"/>
          <w:szCs w:val="24"/>
          <w:color w:val="auto"/>
        </w:rPr>
      </w:pPr>
    </w:p>
    <w:p>
      <w:pPr>
        <w:spacing w:after="0" w:line="264"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Premium:</w:t>
      </w:r>
      <w:r>
        <w:rPr>
          <w:sz w:val="20"/>
          <w:szCs w:val="20"/>
          <w:color w:val="auto"/>
        </w:rPr>
        <w:tab/>
      </w:r>
      <w:r>
        <w:rPr>
          <w:rFonts w:ascii="Arial" w:cs="Arial" w:eastAsia="Arial" w:hAnsi="Arial"/>
          <w:sz w:val="18"/>
          <w:szCs w:val="18"/>
          <w:color w:val="auto"/>
        </w:rPr>
        <w:t>$20,200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440055</wp:posOffset>
            </wp:positionV>
            <wp:extent cx="4253865" cy="540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253865" cy="5403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9" w:lineRule="exact"/>
        <w:rPr>
          <w:sz w:val="24"/>
          <w:szCs w:val="24"/>
          <w:color w:val="auto"/>
        </w:rPr>
      </w:pPr>
    </w:p>
    <w:p>
      <w:pPr>
        <w:spacing w:after="0"/>
        <w:tabs>
          <w:tab w:leader="none" w:pos="3580" w:val="left"/>
        </w:tabs>
        <w:rPr>
          <w:sz w:val="20"/>
          <w:szCs w:val="20"/>
          <w:color w:val="auto"/>
        </w:rPr>
      </w:pPr>
      <w:r>
        <w:rPr>
          <w:rFonts w:ascii="Arial" w:cs="Arial" w:eastAsia="Arial" w:hAnsi="Arial"/>
          <w:sz w:val="18"/>
          <w:szCs w:val="18"/>
          <w:b w:val="1"/>
          <w:bCs w:val="1"/>
          <w:color w:val="auto"/>
        </w:rPr>
        <w:t>SECRETARY</w:t>
      </w:r>
      <w:r>
        <w:rPr>
          <w:sz w:val="20"/>
          <w:szCs w:val="20"/>
          <w:color w:val="auto"/>
        </w:rPr>
        <w:tab/>
      </w:r>
      <w:r>
        <w:rPr>
          <w:rFonts w:ascii="Arial" w:cs="Arial" w:eastAsia="Arial" w:hAnsi="Arial"/>
          <w:sz w:val="18"/>
          <w:szCs w:val="18"/>
          <w:b w:val="1"/>
          <w:bCs w:val="1"/>
          <w:color w:val="auto"/>
        </w:rPr>
        <w:t>PRESIDENT</w:t>
      </w:r>
    </w:p>
    <w:p>
      <w:pPr>
        <w:sectPr>
          <w:pgSz w:w="11900" w:h="16838" w:orient="portrait"/>
          <w:cols w:equalWidth="0" w:num="1">
            <w:col w:w="10219"/>
          </w:cols>
          <w:pgMar w:left="240" w:top="233" w:right="1440" w:bottom="653"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2126615" cy="617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AUTHORIZED REPRESENTATIVE</w:t>
      </w:r>
    </w:p>
    <w:p>
      <w:pPr>
        <w:sectPr>
          <w:pgSz w:w="11900" w:h="16870" w:orient="portrait"/>
          <w:cols w:equalWidth="0" w:num="1">
            <w:col w:w="10219"/>
          </w:cols>
          <w:pgMar w:left="240" w:top="1320" w:right="1440" w:bottom="0" w:gutter="0" w:footer="0" w:header="0"/>
        </w:sect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color w:val="auto"/>
        </w:rPr>
        <w:t>____________________________________</w:t>
      </w:r>
    </w:p>
    <w:p>
      <w:pPr>
        <w:spacing w:after="0" w:line="56" w:lineRule="exact"/>
        <w:rPr>
          <w:sz w:val="20"/>
          <w:szCs w:val="20"/>
          <w:color w:val="auto"/>
        </w:rPr>
      </w:pPr>
    </w:p>
    <w:p>
      <w:pPr>
        <w:sectPr>
          <w:pgSz w:w="11900" w:h="16870" w:orient="portrait"/>
          <w:cols w:equalWidth="0" w:num="2">
            <w:col w:w="3980" w:space="720"/>
            <w:col w:w="5519"/>
          </w:cols>
          <w:pgMar w:left="240" w:top="1320" w:right="1440" w:bottom="0" w:gutter="0" w:footer="0" w:header="0"/>
          <w:type w:val="continuous"/>
        </w:sectPr>
      </w:pPr>
    </w:p>
    <w:p>
      <w:pPr>
        <w:spacing w:after="0"/>
        <w:rPr>
          <w:sz w:val="20"/>
          <w:szCs w:val="20"/>
          <w:color w:val="auto"/>
        </w:rPr>
      </w:pPr>
      <w:r>
        <w:rPr>
          <w:rFonts w:ascii="Arial" w:cs="Arial" w:eastAsia="Arial" w:hAnsi="Arial"/>
          <w:sz w:val="16"/>
          <w:szCs w:val="16"/>
          <w:color w:val="auto"/>
        </w:rPr>
        <w:t>COUNTERSIGNATURE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COUNTERSIGNED AT</w:t>
      </w:r>
    </w:p>
    <w:p>
      <w:pPr>
        <w:spacing w:after="0" w:line="200" w:lineRule="exact"/>
        <w:rPr>
          <w:sz w:val="20"/>
          <w:szCs w:val="20"/>
          <w:color w:val="auto"/>
        </w:rPr>
      </w:pPr>
    </w:p>
    <w:p>
      <w:pPr>
        <w:sectPr>
          <w:pgSz w:w="11900" w:h="16870" w:orient="portrait"/>
          <w:cols w:equalWidth="0" w:num="2">
            <w:col w:w="3980" w:space="720"/>
            <w:col w:w="5519"/>
          </w:cols>
          <w:pgMar w:left="240" w:top="1320" w:right="1440" w:bottom="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AON RISK SERVICES INC OF NY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199 WATER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YORK, NY 10038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41206 (9/84)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549656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9656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579"/>
        <w:spacing w:after="0"/>
        <w:rPr>
          <w:sz w:val="20"/>
          <w:szCs w:val="20"/>
          <w:color w:val="auto"/>
        </w:rPr>
      </w:pPr>
      <w:r>
        <w:rPr>
          <w:rFonts w:ascii="Arial" w:cs="Arial" w:eastAsia="Arial" w:hAnsi="Arial"/>
          <w:sz w:val="18"/>
          <w:szCs w:val="18"/>
          <w:b w:val="1"/>
          <w:bCs w:val="1"/>
          <w:color w:val="auto"/>
        </w:rPr>
        <w:t>INVESTMENT COMPANY BLANKET BOND</w:t>
      </w:r>
    </w:p>
    <w:p>
      <w:pPr>
        <w:spacing w:after="0" w:line="258" w:lineRule="exact"/>
        <w:rPr>
          <w:sz w:val="20"/>
          <w:szCs w:val="20"/>
          <w:color w:val="auto"/>
        </w:rPr>
      </w:pPr>
    </w:p>
    <w:p>
      <w:pPr>
        <w:ind w:right="1739"/>
        <w:spacing w:after="0" w:line="255" w:lineRule="auto"/>
        <w:rPr>
          <w:sz w:val="20"/>
          <w:szCs w:val="20"/>
          <w:color w:val="auto"/>
        </w:rPr>
      </w:pPr>
      <w:r>
        <w:rPr>
          <w:rFonts w:ascii="Arial" w:cs="Arial" w:eastAsia="Arial" w:hAnsi="Arial"/>
          <w:sz w:val="18"/>
          <w:szCs w:val="18"/>
          <w:color w:val="auto"/>
        </w:rPr>
        <w:t>The Underwriter, in consideration of an agreed premium, and subject to the Declarations made a part hereof, the General Agreements, Conditions and Limitations and other terms of this bond, agrees with the Insured, in accordance with the Insuring Agreements hereof to which an amount of insurance is applicable as set forth in Item 3 of the Declarations and with respect to loss sustained by the Insured at any time but discovered during the Bond Period, to indemnify and hold harmless the Insured for:</w:t>
      </w: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INSURING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FIDELITY</w:t>
      </w:r>
    </w:p>
    <w:p>
      <w:pPr>
        <w:spacing w:after="0" w:line="252" w:lineRule="exact"/>
        <w:rPr>
          <w:sz w:val="20"/>
          <w:szCs w:val="20"/>
          <w:color w:val="auto"/>
        </w:rPr>
      </w:pPr>
    </w:p>
    <w:p>
      <w:pPr>
        <w:jc w:val="both"/>
        <w:ind w:right="1779"/>
        <w:spacing w:after="0" w:line="298" w:lineRule="auto"/>
        <w:rPr>
          <w:sz w:val="20"/>
          <w:szCs w:val="20"/>
          <w:color w:val="auto"/>
        </w:rPr>
      </w:pPr>
      <w:r>
        <w:rPr>
          <w:rFonts w:ascii="Arial" w:cs="Arial" w:eastAsia="Arial" w:hAnsi="Arial"/>
          <w:sz w:val="16"/>
          <w:szCs w:val="16"/>
          <w:color w:val="auto"/>
        </w:rPr>
        <w:t>Loss resulting from any dishonest or fraudulent act(s), including Larceny or Embezzlement committed by an Employee, committed anywhere and whether committed alone or in collusion with others, including loss of Property resulting from such acts of an Employee, which Property is held by the Insured for any purpose or in any capacity and whether so held gratuitously or not and whether or not the Insured is liable therefor.</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Dishonest or fraudulent act(s) as used in this Insuring Agreement shall mean only dishonest or fraudulent act(s)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committed by such Employee with the manifest intent:</w:t>
      </w:r>
    </w:p>
    <w:p>
      <w:pPr>
        <w:spacing w:after="0" w:line="246" w:lineRule="exact"/>
        <w:rPr>
          <w:sz w:val="20"/>
          <w:szCs w:val="20"/>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252" w:lineRule="exact"/>
        <w:rPr>
          <w:rFonts w:ascii="Arial" w:cs="Arial" w:eastAsia="Arial" w:hAnsi="Arial"/>
          <w:sz w:val="18"/>
          <w:szCs w:val="18"/>
          <w:color w:val="auto"/>
        </w:rPr>
      </w:pPr>
    </w:p>
    <w:p>
      <w:pPr>
        <w:ind w:right="1599" w:firstLine="8"/>
        <w:spacing w:after="0" w:line="259" w:lineRule="auto"/>
        <w:tabs>
          <w:tab w:leader="none" w:pos="249" w:val="left"/>
        </w:tabs>
        <w:numPr>
          <w:ilvl w:val="0"/>
          <w:numId w:val="1"/>
        </w:numPr>
        <w:rPr>
          <w:rFonts w:ascii="Arial" w:cs="Arial" w:eastAsia="Arial" w:hAnsi="Arial"/>
          <w:sz w:val="18"/>
          <w:szCs w:val="18"/>
          <w:color w:val="auto"/>
        </w:rPr>
      </w:pPr>
      <w:r>
        <w:rPr>
          <w:rFonts w:ascii="Arial" w:cs="Arial" w:eastAsia="Arial" w:hAnsi="Arial"/>
          <w:sz w:val="18"/>
          <w:szCs w:val="18"/>
          <w:color w:val="auto"/>
        </w:rPr>
        <w:t>to obtain financial benefit for the Employee, or for any other person or organization intended by the Employee to receive such benefit, other than salaries, commissions, fees, bonuses, promotions, awards, profit sharing, pensions or other employee benefits earned in the normal course of employment.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AUDIT EXPENSE</w:t>
      </w:r>
    </w:p>
    <w:p>
      <w:pPr>
        <w:spacing w:after="0" w:line="252" w:lineRule="exact"/>
        <w:rPr>
          <w:sz w:val="20"/>
          <w:szCs w:val="20"/>
          <w:color w:val="auto"/>
        </w:rPr>
      </w:pPr>
    </w:p>
    <w:p>
      <w:pPr>
        <w:ind w:right="1619"/>
        <w:spacing w:after="0" w:line="288" w:lineRule="auto"/>
        <w:rPr>
          <w:sz w:val="20"/>
          <w:szCs w:val="20"/>
          <w:color w:val="auto"/>
        </w:rPr>
      </w:pPr>
      <w:r>
        <w:rPr>
          <w:rFonts w:ascii="Arial" w:cs="Arial" w:eastAsia="Arial" w:hAnsi="Arial"/>
          <w:sz w:val="16"/>
          <w:szCs w:val="16"/>
          <w:color w:val="auto"/>
        </w:rPr>
        <w:t>Expense incurred by the Insured for that part of the costs of audits or examinations required by any governmental regulatory authority to be conducted either by such authority or by an independent accountant by reason of the discovery of loss sustained by the Insured through any dishonest or fraudulent act(s), including Larceny or Embezzlement of any of the Employees. The total liability of the Underwriter for such expense by reason of such acts of any Employee or in which such Employee is concerned or implicated or with respect to any one audit or examination is limited to the amount stated opposite Audit Expense in Item 3 of the Declarations; it being understood, however, that such expense shall be deemed to be a loss sustained by the Insured through any dishonest or fraudulent act(s), including Larceny or Embezzlement of one or more of the Employees and the liability under this paragraph shall be in addition to the Limit of liability stated in Insuring Agreement (A) in Item 3 of the Declarations.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ON PREMISES</w:t>
      </w:r>
    </w:p>
    <w:p>
      <w:pPr>
        <w:spacing w:after="0" w:line="252" w:lineRule="exact"/>
        <w:rPr>
          <w:sz w:val="20"/>
          <w:szCs w:val="20"/>
          <w:color w:val="auto"/>
        </w:rPr>
      </w:pPr>
    </w:p>
    <w:p>
      <w:pPr>
        <w:ind w:right="1739"/>
        <w:spacing w:after="0" w:line="290" w:lineRule="auto"/>
        <w:rPr>
          <w:sz w:val="20"/>
          <w:szCs w:val="20"/>
          <w:color w:val="auto"/>
        </w:rPr>
      </w:pPr>
      <w:r>
        <w:rPr>
          <w:rFonts w:ascii="Arial" w:cs="Arial" w:eastAsia="Arial" w:hAnsi="Arial"/>
          <w:sz w:val="16"/>
          <w:szCs w:val="16"/>
          <w:color w:val="auto"/>
        </w:rPr>
        <w:t>Loss of Property (occurring with or without negligence or violence) through robbery, burglary, Larceny, theft, holdup, or other fraudulent means, misplacement, mysterious unexplainable disappearance, damage thereto or destruction thereof, abstraction or removal from the possession, custody or control of the Insured, and loss of subscription, conversion, redemption or deposit privileges through the misplacement or loss of Property, while the Property is (or is supposed or believed by the Insured to be) lodged or deposited within any offices or premises located anywhere, except in an office listed in Item 4 of the Declarations or amendment thereof or in the mail or with a carrier for hire other than an armored motor vehicle company, for the purpose of transportation.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Offices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 Loss of or damage to, furnishings, fixtures, stationery, supplies or equipment, within any of the Insured's offices</w:t>
      </w:r>
    </w:p>
    <w:p>
      <w:pPr>
        <w:sectPr>
          <w:pgSz w:w="11900" w:h="16870" w:orient="portrait"/>
          <w:cols w:equalWidth="0" w:num="1">
            <w:col w:w="10219"/>
          </w:cols>
          <w:pgMar w:left="240" w:top="1320" w:right="1440" w:bottom="0" w:gutter="0" w:footer="0" w:header="0"/>
          <w:type w:val="continuous"/>
        </w:sectPr>
      </w:pPr>
    </w:p>
    <w:bookmarkStart w:id="2" w:name="page3"/>
    <w:bookmarkEnd w:id="2"/>
    <w:p>
      <w:pPr>
        <w:spacing w:after="0" w:line="100" w:lineRule="exact"/>
        <w:rPr>
          <w:sz w:val="20"/>
          <w:szCs w:val="20"/>
          <w:color w:val="auto"/>
        </w:rPr>
      </w:pPr>
    </w:p>
    <w:p>
      <w:pPr>
        <w:ind w:right="1619"/>
        <w:spacing w:after="0" w:line="268" w:lineRule="auto"/>
        <w:rPr>
          <w:sz w:val="20"/>
          <w:szCs w:val="20"/>
          <w:color w:val="auto"/>
        </w:rPr>
      </w:pPr>
      <w:r>
        <w:rPr>
          <w:rFonts w:ascii="Arial" w:cs="Arial" w:eastAsia="Arial" w:hAnsi="Arial"/>
          <w:sz w:val="18"/>
          <w:szCs w:val="18"/>
          <w:color w:val="auto"/>
        </w:rPr>
        <w:t>covered under this bond caused by Larceny or theft in, or by burglary, robbery or holdup of such office, or attempt thereat, or by vandalism or malicious mischief; or</w:t>
      </w:r>
    </w:p>
    <w:p>
      <w:pPr>
        <w:spacing w:after="0" w:line="200" w:lineRule="exact"/>
        <w:rPr>
          <w:sz w:val="20"/>
          <w:szCs w:val="20"/>
          <w:color w:val="auto"/>
        </w:rPr>
      </w:pPr>
    </w:p>
    <w:p>
      <w:pPr>
        <w:spacing w:after="0" w:line="229" w:lineRule="exact"/>
        <w:rPr>
          <w:sz w:val="20"/>
          <w:szCs w:val="20"/>
          <w:color w:val="auto"/>
        </w:rPr>
      </w:pPr>
    </w:p>
    <w:p>
      <w:pPr>
        <w:ind w:right="1859" w:firstLine="8"/>
        <w:spacing w:after="0" w:line="298" w:lineRule="auto"/>
        <w:tabs>
          <w:tab w:leader="none" w:pos="249" w:val="left"/>
        </w:tabs>
        <w:numPr>
          <w:ilvl w:val="0"/>
          <w:numId w:val="2"/>
        </w:numPr>
        <w:rPr>
          <w:rFonts w:ascii="Arial" w:cs="Arial" w:eastAsia="Arial" w:hAnsi="Arial"/>
          <w:sz w:val="16"/>
          <w:szCs w:val="16"/>
          <w:color w:val="auto"/>
        </w:rPr>
      </w:pPr>
      <w:r>
        <w:rPr>
          <w:rFonts w:ascii="Arial" w:cs="Arial" w:eastAsia="Arial" w:hAnsi="Arial"/>
          <w:sz w:val="16"/>
          <w:szCs w:val="16"/>
          <w:color w:val="auto"/>
        </w:rPr>
        <w:t>loss through damage to any such office by Larceny or theft in, or by burglary, robbery or holdup of such office or attempt thereat, or to the interior of any such office by vandalism or malicious mischief provided, in any event, that the Insured is the owner of such offices, furnishings, fixtures, stationery, supplies or equipment or is legally liable for such loss or damage, always excepting, however, all loss or damage through fire.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IN TRANSIT</w:t>
      </w:r>
    </w:p>
    <w:p>
      <w:pPr>
        <w:spacing w:after="0" w:line="252" w:lineRule="exact"/>
        <w:rPr>
          <w:sz w:val="20"/>
          <w:szCs w:val="20"/>
          <w:color w:val="auto"/>
        </w:rPr>
      </w:pPr>
    </w:p>
    <w:p>
      <w:pPr>
        <w:ind w:right="1699"/>
        <w:spacing w:after="0" w:line="290" w:lineRule="auto"/>
        <w:rPr>
          <w:sz w:val="20"/>
          <w:szCs w:val="20"/>
          <w:color w:val="auto"/>
        </w:rPr>
      </w:pPr>
      <w:r>
        <w:rPr>
          <w:rFonts w:ascii="Arial" w:cs="Arial" w:eastAsia="Arial" w:hAnsi="Arial"/>
          <w:sz w:val="16"/>
          <w:szCs w:val="16"/>
          <w:color w:val="auto"/>
        </w:rPr>
        <w:t>Loss of Property (occurring with or without negligence or violence) through robbery, Larceny, theft, holdup, misplacement, mysterious unexplainable disappearance, being lost or otherwise made away with, damage thereto or destruction thereof, and loss of subscription, conversion, redemption or deposit privileges through the misplacement or loss of Property, while the Property is in transit anywhere in the custody of any person or persons acting as messenger, except while in the mail or with a carrier for hire, other than an armored motor vehicle company, for the purpose of transportation, such transit to begin immediately upon receipt of such Property by the transporting person or persons, and to end immediately upon delivery thereof at destination.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 FORGERY OR ALTERATION</w:t>
      </w:r>
    </w:p>
    <w:p>
      <w:pPr>
        <w:spacing w:after="0" w:line="252" w:lineRule="exact"/>
        <w:rPr>
          <w:sz w:val="20"/>
          <w:szCs w:val="20"/>
          <w:color w:val="auto"/>
        </w:rPr>
      </w:pPr>
    </w:p>
    <w:p>
      <w:pPr>
        <w:ind w:right="1599"/>
        <w:spacing w:after="0" w:line="286" w:lineRule="auto"/>
        <w:rPr>
          <w:sz w:val="20"/>
          <w:szCs w:val="20"/>
          <w:color w:val="auto"/>
        </w:rPr>
      </w:pPr>
      <w:r>
        <w:rPr>
          <w:rFonts w:ascii="Arial" w:cs="Arial" w:eastAsia="Arial" w:hAnsi="Arial"/>
          <w:sz w:val="16"/>
          <w:szCs w:val="16"/>
          <w:color w:val="auto"/>
        </w:rPr>
        <w:t>Loss through FORGERY or ALTERATION of, on or in any bills of exchange, checks, drafts, acceptances, certificates of deposit. promissory notes, or other written promises, orders or directions to pay sums certain in money, due bills, money orders, warrants, orders upon public treasuries, letters of credit, written instructions, advices or applications directed to the Insured, authorizing or acknowledging the transfer, payment, delivery or receipt of funds or Property, which instructions or advices or applications purport to have been signed or endorsed by any customer of the Insured, shareholder or subscriber to shares, whether certificated or uncertificated, of any Investment Company or by any financial or banking institution or stockbroker but which instructions, advices or applications either bear the forged signature or endorsement or have been altered without the knowledge and consent of such customer, shareholder or subscriber to shares, whether certificated or unc ertificated, of an Investment Company, financial or banking institution or stockbroker, withdrawal orders or receipts for the withdrawal of funds or Property, or receipts or certificates of deposit for Property and bearing the name of the Insured as issuer, or of another Investment Company for which the Insured acts as agent, excluding, however, any loss covered under Insuring Agreement (F) hereof whether or not coverage for Insuring Agreement (F) is provided for in the Declarations of this bond.</w:t>
      </w:r>
    </w:p>
    <w:p>
      <w:pPr>
        <w:spacing w:after="0" w:line="202" w:lineRule="exact"/>
        <w:rPr>
          <w:sz w:val="20"/>
          <w:szCs w:val="20"/>
          <w:color w:val="auto"/>
        </w:rPr>
      </w:pPr>
    </w:p>
    <w:p>
      <w:pPr>
        <w:ind w:right="1679"/>
        <w:spacing w:after="0" w:line="298" w:lineRule="auto"/>
        <w:rPr>
          <w:sz w:val="20"/>
          <w:szCs w:val="20"/>
          <w:color w:val="auto"/>
        </w:rPr>
      </w:pPr>
      <w:r>
        <w:rPr>
          <w:rFonts w:ascii="Arial" w:cs="Arial" w:eastAsia="Arial" w:hAnsi="Arial"/>
          <w:sz w:val="16"/>
          <w:szCs w:val="16"/>
          <w:color w:val="auto"/>
        </w:rPr>
        <w:t>Any check or draft (a) made payable to a fictitious payee and endorsed in the name of such fictitious payee or (b) procured in a transaction with the maker or drawer thereof or with one acting as an agent of such maker or drawer or anyone impersonating another and made or drawn payable to the one so impersonated and endorsed by anyone other than the one impersonated, shall be deemed to be forged as to such endorsement.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Mechanically reproduced facsimile signatures are treated the same as handwritten signatures.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 SECURITIES</w:t>
      </w:r>
    </w:p>
    <w:p>
      <w:pPr>
        <w:spacing w:after="0" w:line="252" w:lineRule="exact"/>
        <w:rPr>
          <w:sz w:val="20"/>
          <w:szCs w:val="20"/>
          <w:color w:val="auto"/>
        </w:rPr>
      </w:pPr>
    </w:p>
    <w:p>
      <w:pPr>
        <w:ind w:right="1719"/>
        <w:spacing w:after="0" w:line="256" w:lineRule="auto"/>
        <w:rPr>
          <w:sz w:val="20"/>
          <w:szCs w:val="20"/>
          <w:color w:val="auto"/>
        </w:rPr>
      </w:pPr>
      <w:r>
        <w:rPr>
          <w:rFonts w:ascii="Arial" w:cs="Arial" w:eastAsia="Arial" w:hAnsi="Arial"/>
          <w:sz w:val="18"/>
          <w:szCs w:val="18"/>
          <w:color w:val="auto"/>
        </w:rPr>
        <w:t>Loss sustained by the Insured, including loss sustained by reason of a violation of the constitution, by-laws, rules or regulations of any Self Regulatory Organization of which the Insured is a member or which would have been imposed upon the Insured by the constitution, by-laws, rules or regulations of any Self Regulatory Organization if the Insured had been a member thereof,</w:t>
      </w:r>
    </w:p>
    <w:p>
      <w:pPr>
        <w:spacing w:after="0" w:line="224" w:lineRule="exact"/>
        <w:rPr>
          <w:sz w:val="20"/>
          <w:szCs w:val="20"/>
          <w:color w:val="auto"/>
        </w:rPr>
      </w:pPr>
    </w:p>
    <w:p>
      <w:pPr>
        <w:ind w:right="1899" w:firstLine="8"/>
        <w:spacing w:after="0" w:line="255"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Insured's having, in good faith and in the course of business, whether for its own account or for the account of others, in any representative, fiduciary, agency or any other capacity, either gratuitously or otherwise, purchased or otherwise acquired, accepted or received, or sold or delivered, or given any value, extended any credit or assumed any liability, on the faith of, or otherwise acted upon, any securities, documents or other written instruments which prove to have been</w:t>
      </w:r>
    </w:p>
    <w:p>
      <w:pPr>
        <w:spacing w:after="0" w:line="224"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counterfeited, or</w:t>
      </w:r>
    </w:p>
    <w:p>
      <w:pPr>
        <w:spacing w:after="0" w:line="252" w:lineRule="exact"/>
        <w:rPr>
          <w:rFonts w:ascii="Arial" w:cs="Arial" w:eastAsia="Arial" w:hAnsi="Arial"/>
          <w:sz w:val="18"/>
          <w:szCs w:val="18"/>
          <w:color w:val="auto"/>
        </w:rPr>
      </w:pPr>
    </w:p>
    <w:p>
      <w:pPr>
        <w:ind w:right="1739" w:firstLine="8"/>
        <w:spacing w:after="0" w:line="332" w:lineRule="auto"/>
        <w:tabs>
          <w:tab w:leader="none" w:pos="249" w:val="left"/>
        </w:tabs>
        <w:numPr>
          <w:ilvl w:val="0"/>
          <w:numId w:val="4"/>
        </w:numPr>
        <w:rPr>
          <w:rFonts w:ascii="Arial" w:cs="Arial" w:eastAsia="Arial" w:hAnsi="Arial"/>
          <w:sz w:val="16"/>
          <w:szCs w:val="16"/>
          <w:color w:val="auto"/>
        </w:rPr>
      </w:pPr>
      <w:r>
        <w:rPr>
          <w:rFonts w:ascii="Arial" w:cs="Arial" w:eastAsia="Arial" w:hAnsi="Arial"/>
          <w:sz w:val="16"/>
          <w:szCs w:val="16"/>
          <w:color w:val="auto"/>
        </w:rPr>
        <w:t>forged as to the signature of any maker, drawer, issuer, endorser, assignor, lessee, transfer agent or registrar, acceptor, surety or guarantor or as to the signature of any person signing in any other capacity, or</w:t>
      </w:r>
    </w:p>
    <w:p>
      <w:pPr>
        <w:spacing w:after="0" w:line="166" w:lineRule="exact"/>
        <w:rPr>
          <w:rFonts w:ascii="Arial" w:cs="Arial" w:eastAsia="Arial" w:hAnsi="Arial"/>
          <w:sz w:val="16"/>
          <w:szCs w:val="16"/>
          <w:color w:val="auto"/>
        </w:rPr>
      </w:pPr>
    </w:p>
    <w:p>
      <w:pPr>
        <w:ind w:left="240" w:hanging="232"/>
        <w:spacing w:after="0"/>
        <w:tabs>
          <w:tab w:leader="none" w:pos="2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raised or otherwise altered, or lost, or stolen, or</w:t>
      </w:r>
    </w:p>
    <w:p>
      <w:pPr>
        <w:spacing w:after="0" w:line="252" w:lineRule="exact"/>
        <w:rPr>
          <w:sz w:val="20"/>
          <w:szCs w:val="20"/>
          <w:color w:val="auto"/>
        </w:rPr>
      </w:pPr>
    </w:p>
    <w:p>
      <w:pPr>
        <w:ind w:right="1619" w:firstLine="8"/>
        <w:spacing w:after="0" w:line="291" w:lineRule="auto"/>
        <w:tabs>
          <w:tab w:leader="none" w:pos="249" w:val="left"/>
        </w:tabs>
        <w:numPr>
          <w:ilvl w:val="0"/>
          <w:numId w:val="5"/>
        </w:numPr>
        <w:rPr>
          <w:rFonts w:ascii="Arial" w:cs="Arial" w:eastAsia="Arial" w:hAnsi="Arial"/>
          <w:sz w:val="16"/>
          <w:szCs w:val="16"/>
          <w:color w:val="auto"/>
        </w:rPr>
      </w:pPr>
      <w:r>
        <w:rPr>
          <w:rFonts w:ascii="Arial" w:cs="Arial" w:eastAsia="Arial" w:hAnsi="Arial"/>
          <w:sz w:val="16"/>
          <w:szCs w:val="16"/>
          <w:color w:val="auto"/>
        </w:rPr>
        <w:t>through the Insured's having, in good faith and in the course of business, guaranteed in writing or witnessed any signatures whether for valuable consideration or not and whether or not such guaranteeing or witnessing is ultra vires the Insured, upon any transfers, assignments, bills of sale, powers of attorney, guarantees, endorsements or other obligations upon or in connection with any securities, documents or other written instruments and which pass or purport to pass title to such securities, documents or other written instruments; EXCLUDING, losses caused by FORGERY or ALTERATION of, on or in those instruments covered under Insuring Agreement (E) hereof.</w:t>
      </w:r>
    </w:p>
    <w:p>
      <w:pPr>
        <w:spacing w:after="0" w:line="201" w:lineRule="exact"/>
        <w:rPr>
          <w:sz w:val="20"/>
          <w:szCs w:val="20"/>
          <w:color w:val="auto"/>
        </w:rPr>
      </w:pPr>
    </w:p>
    <w:p>
      <w:pPr>
        <w:ind w:right="1639"/>
        <w:spacing w:after="0" w:line="256" w:lineRule="auto"/>
        <w:rPr>
          <w:sz w:val="20"/>
          <w:szCs w:val="20"/>
          <w:color w:val="auto"/>
        </w:rPr>
      </w:pPr>
      <w:r>
        <w:rPr>
          <w:rFonts w:ascii="Arial" w:cs="Arial" w:eastAsia="Arial" w:hAnsi="Arial"/>
          <w:sz w:val="18"/>
          <w:szCs w:val="18"/>
          <w:color w:val="auto"/>
        </w:rPr>
        <w:t>Securities, documents or other written instruments shall be deemed to mean original (including original counterparts) negotiable or non-negotiable agreements which in and of themselves represent an equitable interest, ownership, or debt, including an assignment thereof which instruments are in the ordinary course of business, transferable by delivery of such agreements with any necessary endorsement or assignment.</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word "counterfeited" as used in this Insuring Agreement shall be deemed to mean any security document or other</w:t>
      </w:r>
    </w:p>
    <w:p>
      <w:pPr>
        <w:sectPr>
          <w:pgSz w:w="11900" w:h="16938" w:orient="portrait"/>
          <w:cols w:equalWidth="0" w:num="1">
            <w:col w:w="10219"/>
          </w:cols>
          <w:pgMar w:left="240" w:top="131" w:right="1440"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written instrument which is intended to deceive and to be taken for an original.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Mechanically produced facsimile signatures are treated the same as handwritten signatures.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 COUNTERFEIT CURRENCY</w:t>
      </w:r>
    </w:p>
    <w:p>
      <w:pPr>
        <w:spacing w:after="0" w:line="252" w:lineRule="exact"/>
        <w:rPr>
          <w:sz w:val="20"/>
          <w:szCs w:val="20"/>
          <w:color w:val="auto"/>
        </w:rPr>
      </w:pPr>
    </w:p>
    <w:p>
      <w:pPr>
        <w:ind w:right="1699"/>
        <w:spacing w:after="0" w:line="306" w:lineRule="auto"/>
        <w:rPr>
          <w:sz w:val="20"/>
          <w:szCs w:val="20"/>
          <w:color w:val="auto"/>
        </w:rPr>
      </w:pPr>
      <w:r>
        <w:rPr>
          <w:rFonts w:ascii="Arial" w:cs="Arial" w:eastAsia="Arial" w:hAnsi="Arial"/>
          <w:sz w:val="16"/>
          <w:szCs w:val="16"/>
          <w:color w:val="auto"/>
        </w:rPr>
        <w:t>Loss through the receipt by the Insured, in good faith, of any counterfeited money orders or altered paper currencies or coin of the United States of America or Canada issued or purporting to have been issued by the United States of America or Canada or issued pursuant to a United States of America or Canadian statute for use as currency.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 STOP PAYMENT</w:t>
      </w:r>
    </w:p>
    <w:p>
      <w:pPr>
        <w:spacing w:after="0" w:line="252" w:lineRule="exact"/>
        <w:rPr>
          <w:sz w:val="20"/>
          <w:szCs w:val="20"/>
          <w:color w:val="auto"/>
        </w:rPr>
      </w:pPr>
    </w:p>
    <w:p>
      <w:pPr>
        <w:ind w:right="1819"/>
        <w:spacing w:after="0" w:line="268" w:lineRule="auto"/>
        <w:rPr>
          <w:sz w:val="20"/>
          <w:szCs w:val="20"/>
          <w:color w:val="auto"/>
        </w:rPr>
      </w:pPr>
      <w:r>
        <w:rPr>
          <w:rFonts w:ascii="Arial" w:cs="Arial" w:eastAsia="Arial" w:hAnsi="Arial"/>
          <w:sz w:val="18"/>
          <w:szCs w:val="18"/>
          <w:color w:val="auto"/>
        </w:rPr>
        <w:t>Loss against any and all sums which the Insured shall become obligated to pay by reason of the Liability imposed upon the Insured by law for damages:</w:t>
      </w:r>
    </w:p>
    <w:p>
      <w:pPr>
        <w:spacing w:after="0" w:line="213" w:lineRule="exact"/>
        <w:rPr>
          <w:sz w:val="20"/>
          <w:szCs w:val="20"/>
          <w:color w:val="auto"/>
        </w:rPr>
      </w:pPr>
    </w:p>
    <w:p>
      <w:pPr>
        <w:ind w:right="1619"/>
        <w:spacing w:after="0" w:line="256" w:lineRule="auto"/>
        <w:rPr>
          <w:sz w:val="20"/>
          <w:szCs w:val="20"/>
          <w:color w:val="auto"/>
        </w:rPr>
      </w:pPr>
      <w:r>
        <w:rPr>
          <w:rFonts w:ascii="Arial" w:cs="Arial" w:eastAsia="Arial" w:hAnsi="Arial"/>
          <w:sz w:val="18"/>
          <w:szCs w:val="18"/>
          <w:color w:val="auto"/>
        </w:rPr>
        <w:t>For having either complied with or failed to comply with any written notice of any customer, shareholder or subscriber of the Insured or any Authorized Representative of such customer, shareholder or subscriber to stop payment of any check or draft made or drawn by such customer, shareholder or subscriber or any Authorized Representative of such customer, shareholder or subscriber, or</w:t>
      </w:r>
    </w:p>
    <w:p>
      <w:pPr>
        <w:spacing w:after="0" w:line="224" w:lineRule="exact"/>
        <w:rPr>
          <w:sz w:val="20"/>
          <w:szCs w:val="20"/>
          <w:color w:val="auto"/>
        </w:rPr>
      </w:pPr>
    </w:p>
    <w:p>
      <w:pPr>
        <w:ind w:right="1719"/>
        <w:spacing w:after="0" w:line="268" w:lineRule="auto"/>
        <w:rPr>
          <w:sz w:val="20"/>
          <w:szCs w:val="20"/>
          <w:color w:val="auto"/>
        </w:rPr>
      </w:pPr>
      <w:r>
        <w:rPr>
          <w:rFonts w:ascii="Arial" w:cs="Arial" w:eastAsia="Arial" w:hAnsi="Arial"/>
          <w:sz w:val="18"/>
          <w:szCs w:val="18"/>
          <w:color w:val="auto"/>
        </w:rPr>
        <w:t>For having refused to pay any check or draft made or drawn by any customer, shareholder or subscriber of the Insured or any Authorized Representative of such customer, shareholder or subscriber.</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UNCOLLECTIBLE ITEMS OF DEPOSIT</w:t>
      </w:r>
    </w:p>
    <w:p>
      <w:pPr>
        <w:spacing w:after="0" w:line="252" w:lineRule="exact"/>
        <w:rPr>
          <w:sz w:val="20"/>
          <w:szCs w:val="20"/>
          <w:color w:val="auto"/>
        </w:rPr>
      </w:pPr>
    </w:p>
    <w:p>
      <w:pPr>
        <w:ind w:right="1639"/>
        <w:spacing w:after="0" w:line="306" w:lineRule="auto"/>
        <w:rPr>
          <w:sz w:val="20"/>
          <w:szCs w:val="20"/>
          <w:color w:val="auto"/>
        </w:rPr>
      </w:pPr>
      <w:r>
        <w:rPr>
          <w:rFonts w:ascii="Arial" w:cs="Arial" w:eastAsia="Arial" w:hAnsi="Arial"/>
          <w:sz w:val="16"/>
          <w:szCs w:val="16"/>
          <w:color w:val="auto"/>
        </w:rPr>
        <w:t>Loss resulting from payments of dividends or fund shares, or withdrawals permitted from any customer's, shareholder's or subscriber's account based upon Uncollectible Items of Deposit of a customer, shareholder or subscriber credited by the Insured or the Insured's agent to such customer's, shareholder's or subscriber's Mutual Fund Account; or</w:t>
      </w:r>
    </w:p>
    <w:p>
      <w:pPr>
        <w:spacing w:after="0" w:line="188" w:lineRule="exact"/>
        <w:rPr>
          <w:sz w:val="20"/>
          <w:szCs w:val="20"/>
          <w:color w:val="auto"/>
        </w:rPr>
      </w:pPr>
    </w:p>
    <w:p>
      <w:pPr>
        <w:ind w:right="2199"/>
        <w:spacing w:after="0" w:line="268" w:lineRule="auto"/>
        <w:rPr>
          <w:sz w:val="20"/>
          <w:szCs w:val="20"/>
          <w:color w:val="auto"/>
        </w:rPr>
      </w:pPr>
      <w:r>
        <w:rPr>
          <w:rFonts w:ascii="Arial" w:cs="Arial" w:eastAsia="Arial" w:hAnsi="Arial"/>
          <w:sz w:val="18"/>
          <w:szCs w:val="18"/>
          <w:color w:val="auto"/>
        </w:rPr>
        <w:t>loss resulting from any Item of Deposit processed through an Automated Clearing House which is reversed by the customer, shareholder or subscriber and deemed uncollectible by the Insured.</w:t>
      </w: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color w:val="auto"/>
        </w:rPr>
        <w:t>Loss includes dividends and interest accrued not to exceed 15% of the Uncollectible Items which are deposited.</w:t>
      </w:r>
    </w:p>
    <w:p>
      <w:pPr>
        <w:spacing w:after="0" w:line="275" w:lineRule="exact"/>
        <w:rPr>
          <w:sz w:val="20"/>
          <w:szCs w:val="20"/>
          <w:color w:val="auto"/>
        </w:rPr>
      </w:pPr>
    </w:p>
    <w:p>
      <w:pPr>
        <w:ind w:right="1619"/>
        <w:spacing w:after="0" w:line="255" w:lineRule="auto"/>
        <w:rPr>
          <w:sz w:val="20"/>
          <w:szCs w:val="20"/>
          <w:color w:val="auto"/>
        </w:rPr>
      </w:pPr>
      <w:r>
        <w:rPr>
          <w:rFonts w:ascii="Arial" w:cs="Arial" w:eastAsia="Arial" w:hAnsi="Arial"/>
          <w:sz w:val="18"/>
          <w:szCs w:val="18"/>
          <w:color w:val="auto"/>
        </w:rPr>
        <w:t>This Insuring Agreement applies to all Mutual Funds with "exchange privileges" if all Fund(s) in the exchange program are insured by a National Union Fire Insurance Company of Pittsburgh, PA for Uncollectible Items of Deposit. Regardless of the number of transactions between Fund(s), the minimum number of days of deposit within the Fund(s) before withdrawal as declared in the Fund(s) prospectus shall begin from the date a deposit was first credited to any Insured Fund(s).</w:t>
      </w: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GENERAL AGREEMENTS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 ADDITIONAL OFFICES OR EMPLOYEES-CONSOLIDATION OR MERGER-NOTICE</w:t>
      </w:r>
    </w:p>
    <w:p>
      <w:pPr>
        <w:spacing w:after="0" w:line="252" w:lineRule="exact"/>
        <w:rPr>
          <w:sz w:val="20"/>
          <w:szCs w:val="20"/>
          <w:color w:val="auto"/>
        </w:rPr>
      </w:pPr>
    </w:p>
    <w:p>
      <w:pPr>
        <w:ind w:right="1679" w:firstLine="8"/>
        <w:spacing w:after="0" w:line="298"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 Insured shall, while this bond is in force, establish any additional office or offices, such office or offices shall be automatically covered hereunder from the dates of their establishment, respectively. No notice to the Underwriter of an increase during any premium period in the number of offices or in the number of Employees at any of the offices covered hereunder need be given and no additional premium need be paid for the remainder of such premium period.</w:t>
      </w:r>
    </w:p>
    <w:p>
      <w:pPr>
        <w:spacing w:after="0" w:line="193" w:lineRule="exact"/>
        <w:rPr>
          <w:rFonts w:ascii="Arial" w:cs="Arial" w:eastAsia="Arial" w:hAnsi="Arial"/>
          <w:sz w:val="16"/>
          <w:szCs w:val="16"/>
          <w:color w:val="auto"/>
        </w:rPr>
      </w:pPr>
    </w:p>
    <w:p>
      <w:pPr>
        <w:ind w:right="1879" w:firstLine="8"/>
        <w:spacing w:after="0" w:line="298" w:lineRule="auto"/>
        <w:tabs>
          <w:tab w:leader="none" w:pos="176"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an Investment Company, named as Insured herein, shall, while this bond is in force, merge or consolidate with, or purchase the assets of another institution, coverage for such acquisition shall apply automatically from the date of acquisition. The Insured shall notify the Underwriter of such acquisition within 60 days of said date, and an additional premium shall be computed only if such acquisition involves additional offices or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WARRANTY</w:t>
      </w:r>
    </w:p>
    <w:p>
      <w:pPr>
        <w:spacing w:after="0" w:line="225" w:lineRule="exact"/>
        <w:rPr>
          <w:sz w:val="20"/>
          <w:szCs w:val="20"/>
          <w:color w:val="auto"/>
        </w:rPr>
      </w:pPr>
    </w:p>
    <w:p>
      <w:pPr>
        <w:ind w:right="1659"/>
        <w:spacing w:after="0" w:line="370" w:lineRule="auto"/>
        <w:rPr>
          <w:sz w:val="20"/>
          <w:szCs w:val="20"/>
          <w:color w:val="auto"/>
        </w:rPr>
      </w:pPr>
      <w:r>
        <w:rPr>
          <w:rFonts w:ascii="Arial" w:cs="Arial" w:eastAsia="Arial" w:hAnsi="Arial"/>
          <w:sz w:val="15"/>
          <w:szCs w:val="15"/>
          <w:color w:val="auto"/>
        </w:rPr>
        <w:t>No statement made by or on behalf of the Insured, whether contained in the application or otherwise, shall be deemed to be a warranty of anything except that it is true to the best of the knowledge and belief of the person making the statement.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 COURT COSTS AND ATTORNEYS' FEES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(Applicable to all Insuring Agreements or Coverages now or hereafter forming part of this bond)</w:t>
      </w:r>
    </w:p>
    <w:p>
      <w:pPr>
        <w:spacing w:after="0" w:line="246" w:lineRule="exact"/>
        <w:rPr>
          <w:sz w:val="20"/>
          <w:szCs w:val="20"/>
          <w:color w:val="auto"/>
        </w:rPr>
      </w:pPr>
    </w:p>
    <w:p>
      <w:pPr>
        <w:ind w:right="1619"/>
        <w:spacing w:after="0" w:line="254" w:lineRule="auto"/>
        <w:rPr>
          <w:sz w:val="20"/>
          <w:szCs w:val="20"/>
          <w:color w:val="auto"/>
        </w:rPr>
      </w:pPr>
      <w:r>
        <w:rPr>
          <w:rFonts w:ascii="Arial" w:cs="Arial" w:eastAsia="Arial" w:hAnsi="Arial"/>
          <w:sz w:val="18"/>
          <w:szCs w:val="18"/>
          <w:color w:val="auto"/>
        </w:rPr>
        <w:t>The Underwriter will indemnify the Insured against court costs and reasonable attorneys' fees incurred and paid by the Insured in defense, whether or not successful, whether or not fully litigated on the merits and whether or not settled of any suit or legal proceeding brought against the Insured to enforce the Insured's liability or alleged liability on account of any loss, claim or damage which, if established against the Insured, would constitute a loss sustained by the Insured covered under the terms of this bond provided, however, that with respect to Insuring Agreement (A) this indemnity shall apply only in the event that</w:t>
      </w:r>
    </w:p>
    <w:p>
      <w:pPr>
        <w:spacing w:after="0" w:line="225"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Employee admits to being guilty of any dishonest or fraudulent act(s), including Larceny or Embezzlement; or</w:t>
      </w:r>
    </w:p>
    <w:p>
      <w:pPr>
        <w:spacing w:after="0" w:line="275" w:lineRule="exact"/>
        <w:rPr>
          <w:rFonts w:ascii="Arial" w:cs="Arial" w:eastAsia="Arial" w:hAnsi="Arial"/>
          <w:sz w:val="16"/>
          <w:szCs w:val="16"/>
          <w:color w:val="auto"/>
        </w:rPr>
      </w:pPr>
    </w:p>
    <w:p>
      <w:pPr>
        <w:ind w:left="260" w:hanging="252"/>
        <w:spacing w:after="0"/>
        <w:tabs>
          <w:tab w:leader="none" w:pos="2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 Employee is adjudicated to be guilty of any dishonest or fraudulent act(s), including Larceny or Embezzlement;</w:t>
      </w:r>
    </w:p>
    <w:p>
      <w:pPr>
        <w:sectPr>
          <w:pgSz w:w="11900" w:h="16838" w:orient="portrait"/>
          <w:cols w:equalWidth="0" w:num="1">
            <w:col w:w="10219"/>
          </w:cols>
          <w:pgMar w:left="240" w:top="199" w:right="1440" w:bottom="0" w:gutter="0" w:footer="0" w:header="0"/>
        </w:sectPr>
      </w:pPr>
    </w:p>
    <w:bookmarkStart w:id="4" w:name="page5"/>
    <w:bookmarkEnd w:id="4"/>
    <w:p>
      <w:pPr>
        <w:ind w:right="1919" w:firstLine="8"/>
        <w:spacing w:after="0" w:line="268" w:lineRule="auto"/>
        <w:tabs>
          <w:tab w:leader="none" w:pos="249"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the absence of (1) or (2) above an arbitration panel agrees, after a review of an agreed statement of facts, that an Employee would be found guilty of dishonesty if such Employee were prosecuted.</w:t>
      </w:r>
    </w:p>
    <w:p>
      <w:pPr>
        <w:spacing w:after="0" w:line="213" w:lineRule="exact"/>
        <w:rPr>
          <w:sz w:val="20"/>
          <w:szCs w:val="20"/>
          <w:color w:val="auto"/>
        </w:rPr>
      </w:pPr>
    </w:p>
    <w:p>
      <w:pPr>
        <w:ind w:right="1639"/>
        <w:spacing w:after="0" w:line="294" w:lineRule="auto"/>
        <w:rPr>
          <w:sz w:val="20"/>
          <w:szCs w:val="20"/>
          <w:color w:val="auto"/>
        </w:rPr>
      </w:pPr>
      <w:r>
        <w:rPr>
          <w:rFonts w:ascii="Arial" w:cs="Arial" w:eastAsia="Arial" w:hAnsi="Arial"/>
          <w:sz w:val="16"/>
          <w:szCs w:val="16"/>
          <w:color w:val="auto"/>
        </w:rPr>
        <w:t>The Insured shall promptly give notice to the Underwriter of any such suit or legal proceeding and at the request of the Underwriter shall furnish it with copies of all pleadings and other papers therein. At the Underwriter's election the Insured shall permit the Underwriter to conduct the defense of such suit or legal proceeding, in the Insured's name, through attorneys of the Underwriter's selection. In such event, the Insured shall give all reasonable information and assistance which the Underwriter shall deem necessary to the proper defense of such suit or legal proceeding.</w:t>
      </w:r>
    </w:p>
    <w:p>
      <w:pPr>
        <w:spacing w:after="0" w:line="197" w:lineRule="exact"/>
        <w:rPr>
          <w:sz w:val="20"/>
          <w:szCs w:val="20"/>
          <w:color w:val="auto"/>
        </w:rPr>
      </w:pPr>
    </w:p>
    <w:p>
      <w:pPr>
        <w:ind w:right="1599"/>
        <w:spacing w:after="0" w:line="294" w:lineRule="auto"/>
        <w:rPr>
          <w:sz w:val="20"/>
          <w:szCs w:val="20"/>
          <w:color w:val="auto"/>
        </w:rPr>
      </w:pPr>
      <w:r>
        <w:rPr>
          <w:rFonts w:ascii="Arial" w:cs="Arial" w:eastAsia="Arial" w:hAnsi="Arial"/>
          <w:sz w:val="16"/>
          <w:szCs w:val="16"/>
          <w:color w:val="auto"/>
        </w:rPr>
        <w:t>If the amount of the Insured's liability or alleged liability is greater than the amount recoverable under this bond, or if a Deductible Amount is applicable, or both, the liability of the Underwriter under this General Agreement is limited to the proportion of court costs and attorneys' fees incurred and paid by the Insured or by the Underwriter that the amount recoverable under this bond bears to the total of such amount plus the amount which is not so recoverable. Such indemnity shall be in addition to the Limit of Liability for the applicable Insuring Agreement or Coverage.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FORMER EMPLOYEE</w:t>
      </w:r>
    </w:p>
    <w:p>
      <w:pPr>
        <w:spacing w:after="0" w:line="252" w:lineRule="exact"/>
        <w:rPr>
          <w:sz w:val="20"/>
          <w:szCs w:val="20"/>
          <w:color w:val="auto"/>
        </w:rPr>
      </w:pPr>
    </w:p>
    <w:p>
      <w:pPr>
        <w:ind w:right="1599"/>
        <w:spacing w:after="0" w:line="298" w:lineRule="auto"/>
        <w:rPr>
          <w:sz w:val="20"/>
          <w:szCs w:val="20"/>
          <w:color w:val="auto"/>
        </w:rPr>
      </w:pPr>
      <w:r>
        <w:rPr>
          <w:rFonts w:ascii="Arial" w:cs="Arial" w:eastAsia="Arial" w:hAnsi="Arial"/>
          <w:sz w:val="16"/>
          <w:szCs w:val="16"/>
          <w:color w:val="auto"/>
        </w:rPr>
        <w:t>Acts of an Employee, as defined in this bond, are covered under Insuring Agreement (A) only while the Employee is in the Insured's employ. Should loss involving a former Employee of the Insured be discovered subsequent to the termination of employment, coverage would still apply under Insuring Agreement (A) if the direct proximate cause of the loss occurred while the former Employee performed duties within the scope of his/her employment.</w:t>
      </w:r>
    </w:p>
    <w:p>
      <w:pPr>
        <w:spacing w:after="0" w:line="200" w:lineRule="exact"/>
        <w:rPr>
          <w:sz w:val="20"/>
          <w:szCs w:val="20"/>
          <w:color w:val="auto"/>
        </w:rPr>
      </w:pPr>
    </w:p>
    <w:p>
      <w:pPr>
        <w:spacing w:after="0" w:line="204" w:lineRule="exact"/>
        <w:rPr>
          <w:sz w:val="20"/>
          <w:szCs w:val="20"/>
          <w:color w:val="auto"/>
        </w:rPr>
      </w:pPr>
    </w:p>
    <w:p>
      <w:pPr>
        <w:jc w:val="center"/>
        <w:ind w:left="260" w:right="140"/>
        <w:spacing w:after="0" w:line="275" w:lineRule="auto"/>
        <w:rPr>
          <w:sz w:val="20"/>
          <w:szCs w:val="20"/>
          <w:color w:val="auto"/>
        </w:rPr>
      </w:pPr>
      <w:r>
        <w:rPr>
          <w:rFonts w:ascii="Arial" w:cs="Arial" w:eastAsia="Arial" w:hAnsi="Arial"/>
          <w:sz w:val="18"/>
          <w:szCs w:val="18"/>
          <w:b w:val="1"/>
          <w:bCs w:val="1"/>
          <w:color w:val="auto"/>
        </w:rPr>
        <w:t>THE FOREGOING INSURING AGREEMENTS AND GENERAL AGREEMENTS ARE SUBJECT TO THE FOLLOWING CONDITIONS AND LIMITATIONS: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 DEFINITIONS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as used in this bond, shall have the respective meanings stated in this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"Employee" means:</w:t>
      </w:r>
    </w:p>
    <w:p>
      <w:pPr>
        <w:spacing w:after="0" w:line="252" w:lineRule="exact"/>
        <w:rPr>
          <w:sz w:val="20"/>
          <w:szCs w:val="20"/>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of the Insured's officers, partners, or employees, and</w:t>
      </w:r>
    </w:p>
    <w:p>
      <w:pPr>
        <w:spacing w:after="0" w:line="252" w:lineRule="exact"/>
        <w:rPr>
          <w:rFonts w:ascii="Arial" w:cs="Arial" w:eastAsia="Arial" w:hAnsi="Arial"/>
          <w:sz w:val="18"/>
          <w:szCs w:val="18"/>
          <w:color w:val="auto"/>
        </w:rPr>
      </w:pPr>
    </w:p>
    <w:p>
      <w:pPr>
        <w:ind w:right="1759" w:firstLine="8"/>
        <w:spacing w:after="0" w:line="33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of the officers or employees of any predecessor of the Insured whose principal assets are acquired by the Insured by consolidation or merger with, or purchase of assets or capital stock of such predecessor. and</w:t>
      </w:r>
    </w:p>
    <w:p>
      <w:pPr>
        <w:spacing w:after="0" w:line="166" w:lineRule="exact"/>
        <w:rPr>
          <w:rFonts w:ascii="Arial" w:cs="Arial" w:eastAsia="Arial" w:hAnsi="Arial"/>
          <w:sz w:val="16"/>
          <w:szCs w:val="16"/>
          <w:color w:val="auto"/>
        </w:rPr>
      </w:pPr>
    </w:p>
    <w:p>
      <w:pPr>
        <w:ind w:right="1779" w:firstLine="8"/>
        <w:spacing w:after="0" w:line="33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attorneys retained by the Insured to perform legal services for the Insured and the employees of such attorneys while such attorneys or the employees of such attorneys are performing such services for the Insured, and</w:t>
      </w:r>
    </w:p>
    <w:p>
      <w:pPr>
        <w:spacing w:after="0" w:line="166" w:lineRule="exact"/>
        <w:rPr>
          <w:rFonts w:ascii="Arial" w:cs="Arial" w:eastAsia="Arial" w:hAnsi="Arial"/>
          <w:sz w:val="16"/>
          <w:szCs w:val="16"/>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guest students pursuing their studies or duties in any of the Insured's offices, and</w:t>
      </w:r>
    </w:p>
    <w:p>
      <w:pPr>
        <w:spacing w:after="0" w:line="252" w:lineRule="exact"/>
        <w:rPr>
          <w:rFonts w:ascii="Arial" w:cs="Arial" w:eastAsia="Arial" w:hAnsi="Arial"/>
          <w:sz w:val="18"/>
          <w:szCs w:val="18"/>
          <w:color w:val="auto"/>
        </w:rPr>
      </w:pPr>
    </w:p>
    <w:p>
      <w:pPr>
        <w:ind w:right="1879" w:firstLine="8"/>
        <w:spacing w:after="0" w:line="255"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directors or trustees of the Insured, the investment advisor, underwriter (distributor), transfer agent, or shareholder accounting record keeper, or administrator authorized by written agreement to keep financial and/or other required records, but only while performing acts coming within the scope of the usual duties of an officer or employee or while acting as a member of any committee duly elected or appointed to examine or audit or have custody of or access to the Property of the Insured, and</w:t>
      </w:r>
    </w:p>
    <w:p>
      <w:pPr>
        <w:spacing w:after="0" w:line="223" w:lineRule="exact"/>
        <w:rPr>
          <w:rFonts w:ascii="Arial" w:cs="Arial" w:eastAsia="Arial" w:hAnsi="Arial"/>
          <w:sz w:val="18"/>
          <w:szCs w:val="18"/>
          <w:color w:val="auto"/>
        </w:rPr>
      </w:pPr>
    </w:p>
    <w:p>
      <w:pPr>
        <w:ind w:right="1759" w:firstLine="8"/>
        <w:spacing w:after="0" w:line="332" w:lineRule="auto"/>
        <w:tabs>
          <w:tab w:leader="none" w:pos="249" w:val="left"/>
        </w:tabs>
        <w:numPr>
          <w:ilvl w:val="0"/>
          <w:numId w:val="9"/>
        </w:numPr>
        <w:rPr>
          <w:rFonts w:ascii="Arial" w:cs="Arial" w:eastAsia="Arial" w:hAnsi="Arial"/>
          <w:sz w:val="16"/>
          <w:szCs w:val="16"/>
          <w:color w:val="auto"/>
        </w:rPr>
      </w:pPr>
      <w:r>
        <w:rPr>
          <w:rFonts w:ascii="Arial" w:cs="Arial" w:eastAsia="Arial" w:hAnsi="Arial"/>
          <w:sz w:val="16"/>
          <w:szCs w:val="16"/>
          <w:color w:val="auto"/>
        </w:rPr>
        <w:t>any individual or individuals assigned to perform the usual duties of an employee within the premises of the Insured, by contract, or by any agency furnishing temporary personnel on a contingent or part-time basis, and</w:t>
      </w:r>
    </w:p>
    <w:p>
      <w:pPr>
        <w:spacing w:after="0" w:line="166" w:lineRule="exact"/>
        <w:rPr>
          <w:rFonts w:ascii="Arial" w:cs="Arial" w:eastAsia="Arial" w:hAnsi="Arial"/>
          <w:sz w:val="16"/>
          <w:szCs w:val="16"/>
          <w:color w:val="auto"/>
        </w:rPr>
      </w:pPr>
    </w:p>
    <w:p>
      <w:pPr>
        <w:jc w:val="both"/>
        <w:ind w:right="1619" w:firstLine="8"/>
        <w:spacing w:after="0" w:line="256"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natural person, partnership or corporation authorized by written agreement with the Insured to perform services as electronic data processor of checks or other accounting records of the Insured, but excluding any such processor who acts as transfer agent or in any other agency capacity in issuing checks, drafts or securities for the Insured, unless included under Sub-section (9) hereof, and</w:t>
      </w:r>
    </w:p>
    <w:p>
      <w:pPr>
        <w:spacing w:after="0" w:line="224"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those persons so designated in Section 15, Central Handling of Securities,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officer, partner or Employee of</w:t>
      </w:r>
    </w:p>
    <w:p>
      <w:pPr>
        <w:spacing w:after="0" w:line="25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investment advisor,</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underwriter (distributor),</w:t>
      </w:r>
    </w:p>
    <w:p>
      <w:pPr>
        <w:spacing w:after="0" w:line="252" w:lineRule="exact"/>
        <w:rPr>
          <w:rFonts w:ascii="Arial" w:cs="Arial" w:eastAsia="Arial" w:hAnsi="Arial"/>
          <w:sz w:val="18"/>
          <w:szCs w:val="18"/>
          <w:color w:val="auto"/>
        </w:rPr>
      </w:pPr>
    </w:p>
    <w:p>
      <w:pPr>
        <w:ind w:left="180" w:hanging="172"/>
        <w:spacing w:after="0"/>
        <w:tabs>
          <w:tab w:leader="none" w:pos="1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transfer agent or shareholder accounting record-keeper, or</w:t>
      </w:r>
    </w:p>
    <w:p>
      <w:pPr>
        <w:spacing w:after="0" w:line="252" w:lineRule="exact"/>
        <w:rPr>
          <w:rFonts w:ascii="Arial" w:cs="Arial" w:eastAsia="Arial" w:hAnsi="Arial"/>
          <w:sz w:val="18"/>
          <w:szCs w:val="18"/>
          <w:color w:val="auto"/>
        </w:rPr>
      </w:pPr>
    </w:p>
    <w:p>
      <w:pPr>
        <w:ind w:left="200" w:hanging="192"/>
        <w:spacing w:after="0"/>
        <w:tabs>
          <w:tab w:leader="none" w:pos="2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administrator authorized by written agreement to keep financial and/or other required records,</w:t>
      </w:r>
    </w:p>
    <w:p>
      <w:pPr>
        <w:spacing w:after="0" w:line="252" w:lineRule="exact"/>
        <w:rPr>
          <w:sz w:val="20"/>
          <w:szCs w:val="20"/>
          <w:color w:val="auto"/>
        </w:rPr>
      </w:pPr>
    </w:p>
    <w:p>
      <w:pPr>
        <w:ind w:right="1659"/>
        <w:spacing w:after="0" w:line="323" w:lineRule="auto"/>
        <w:rPr>
          <w:sz w:val="20"/>
          <w:szCs w:val="20"/>
          <w:color w:val="auto"/>
        </w:rPr>
      </w:pPr>
      <w:r>
        <w:rPr>
          <w:rFonts w:ascii="Arial" w:cs="Arial" w:eastAsia="Arial" w:hAnsi="Arial"/>
          <w:sz w:val="15"/>
          <w:szCs w:val="15"/>
          <w:color w:val="auto"/>
        </w:rPr>
        <w:t>for an Investment Company named as Insured while performing acts coming within the scope of the usual duties of an officer or Employee of any Investment Company named as Insured herein, or while acting as a member of any committee duly elected or appointed to examine or audit or have custody of or access to the Property of any such Investment Company, provided that only Employees or partners of a transfer agent, shareholder accounting record-keeper or</w:t>
      </w:r>
    </w:p>
    <w:p>
      <w:pPr>
        <w:sectPr>
          <w:pgSz w:w="11900" w:h="16838" w:orient="portrait"/>
          <w:cols w:equalWidth="0" w:num="1">
            <w:col w:w="10219"/>
          </w:cols>
          <w:pgMar w:left="240" w:top="374" w:right="1440" w:bottom="0" w:gutter="0" w:footer="0" w:header="0"/>
        </w:sectPr>
      </w:pPr>
    </w:p>
    <w:bookmarkStart w:id="5" w:name="page6"/>
    <w:bookmarkEnd w:id="5"/>
    <w:p>
      <w:pPr>
        <w:ind w:right="1619"/>
        <w:spacing w:after="0" w:line="259" w:lineRule="auto"/>
        <w:rPr>
          <w:sz w:val="20"/>
          <w:szCs w:val="20"/>
          <w:color w:val="auto"/>
        </w:rPr>
      </w:pPr>
      <w:r>
        <w:rPr>
          <w:rFonts w:ascii="Arial" w:cs="Arial" w:eastAsia="Arial" w:hAnsi="Arial"/>
          <w:sz w:val="18"/>
          <w:szCs w:val="18"/>
          <w:color w:val="auto"/>
        </w:rPr>
        <w:t>administrator which is an affiliated person as defined in the Investment Company Act of 1940, of an Investment Company named as Insured or is an affiliated person of the adviser, underwriter or administrator of such Investment Company, and which is not a bank, shall be included within the definition of Employee.</w:t>
      </w:r>
    </w:p>
    <w:p>
      <w:pPr>
        <w:spacing w:after="0" w:line="221" w:lineRule="exact"/>
        <w:rPr>
          <w:sz w:val="20"/>
          <w:szCs w:val="20"/>
          <w:color w:val="auto"/>
        </w:rPr>
      </w:pPr>
    </w:p>
    <w:p>
      <w:pPr>
        <w:ind w:right="1599"/>
        <w:spacing w:after="0" w:line="259" w:lineRule="auto"/>
        <w:rPr>
          <w:sz w:val="20"/>
          <w:szCs w:val="20"/>
          <w:color w:val="auto"/>
        </w:rPr>
      </w:pPr>
      <w:r>
        <w:rPr>
          <w:rFonts w:ascii="Arial" w:cs="Arial" w:eastAsia="Arial" w:hAnsi="Arial"/>
          <w:sz w:val="18"/>
          <w:szCs w:val="18"/>
          <w:color w:val="auto"/>
        </w:rPr>
        <w:t>Each employer of temporary personnel or processors as set forth in Sub-Sections (6) and of Section 1(a) and their partners, officers and employees shall collectively be deemed to be one person for all the purposes of this bond, excepting, however, the last paragraph of Section 13.</w:t>
      </w:r>
    </w:p>
    <w:p>
      <w:pPr>
        <w:spacing w:after="0" w:line="221" w:lineRule="exact"/>
        <w:rPr>
          <w:sz w:val="20"/>
          <w:szCs w:val="20"/>
          <w:color w:val="auto"/>
        </w:rPr>
      </w:pPr>
    </w:p>
    <w:p>
      <w:pPr>
        <w:ind w:right="2419"/>
        <w:spacing w:after="0" w:line="268" w:lineRule="auto"/>
        <w:rPr>
          <w:sz w:val="20"/>
          <w:szCs w:val="20"/>
          <w:color w:val="auto"/>
        </w:rPr>
      </w:pPr>
      <w:r>
        <w:rPr>
          <w:rFonts w:ascii="Arial" w:cs="Arial" w:eastAsia="Arial" w:hAnsi="Arial"/>
          <w:sz w:val="18"/>
          <w:szCs w:val="18"/>
          <w:color w:val="auto"/>
        </w:rPr>
        <w:t>Brokers, or other agents under contract or representatives of the same general character shall not be considered Employees.</w:t>
      </w:r>
    </w:p>
    <w:p>
      <w:pPr>
        <w:spacing w:after="0" w:line="213" w:lineRule="exact"/>
        <w:rPr>
          <w:sz w:val="20"/>
          <w:szCs w:val="20"/>
          <w:color w:val="auto"/>
        </w:rPr>
      </w:pPr>
    </w:p>
    <w:p>
      <w:pPr>
        <w:ind w:right="1599" w:firstLine="8"/>
        <w:spacing w:after="0" w:line="285" w:lineRule="auto"/>
        <w:tabs>
          <w:tab w:leader="none" w:pos="249"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"Property" means money (i.e.. currency, coin, bank notes, Federal Reserve notes), postage and revenue stamps, U.S. Savings Stamps, bullion, precious metals of all kinds and in any form and articles made therefrom, jewelry, watches, necklaces, bracelets, gems, precious and semi-precious stones, bonds, securities, evidences of debts, debentures, scrip, certificates, interim receipts, warrants, rights, puts, calls, straddles, spreads, transfers, coupons, drafts, bills of exchange, acceptances, notes, checks, withdrawal orders, money orders, warehouse receipts, bills of lading, conditional sales contracts, abstracts of title, insurance policies, deeds, mortgages under real estate and/or chattels and upon interests therein, and assignments of such policies, mortgages and instruments, and other valuable papers, including books of account and other records used by the Insured in the conduct of its business, and all other instruments similar to or in the nature of the f oregoing including Electronic Representations of such instruments enumerated above (but excluding all data processing records) in which the Insured has an interest or in which the Insured acquired or should have acquired an interest by reason of a predecessor's declared financial condition at the time of the Insured's consolidation or merger with, or purchase of the principal assets of, such predecessor or which are held by the Insured for any purpose or in any capacity and whether so held by the Insured for any purpose or in any capacity and whether so held gratuitously or not and whether or not the Insured is liable therefor.</w:t>
      </w:r>
    </w:p>
    <w:p>
      <w:pPr>
        <w:spacing w:after="0" w:line="209" w:lineRule="exact"/>
        <w:rPr>
          <w:rFonts w:ascii="Arial" w:cs="Arial" w:eastAsia="Arial" w:hAnsi="Arial"/>
          <w:sz w:val="16"/>
          <w:szCs w:val="16"/>
          <w:color w:val="auto"/>
        </w:rPr>
      </w:pPr>
    </w:p>
    <w:p>
      <w:pPr>
        <w:ind w:right="1639"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"Forgery" means the signing of the name of another with intent to deceive; it does not include the signing of one's own name with or without authority, in any capacity, for any purpose.</w:t>
      </w:r>
    </w:p>
    <w:p>
      <w:pPr>
        <w:spacing w:after="0" w:line="212" w:lineRule="exact"/>
        <w:rPr>
          <w:rFonts w:ascii="Arial" w:cs="Arial" w:eastAsia="Arial" w:hAnsi="Arial"/>
          <w:sz w:val="18"/>
          <w:szCs w:val="18"/>
          <w:color w:val="auto"/>
        </w:rPr>
      </w:pPr>
    </w:p>
    <w:p>
      <w:pPr>
        <w:ind w:right="1959" w:firstLine="8"/>
        <w:spacing w:after="0" w:line="268"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"Larceny and Embezzlement" as it applies to any named Insured means those acts as set forth in Section 37 of the Investment Company Act of 1940.</w:t>
      </w:r>
    </w:p>
    <w:p>
      <w:pPr>
        <w:spacing w:after="0" w:line="212" w:lineRule="exact"/>
        <w:rPr>
          <w:rFonts w:ascii="Arial" w:cs="Arial" w:eastAsia="Arial" w:hAnsi="Arial"/>
          <w:sz w:val="18"/>
          <w:szCs w:val="18"/>
          <w:color w:val="auto"/>
        </w:rPr>
      </w:pPr>
    </w:p>
    <w:p>
      <w:pPr>
        <w:ind w:right="1699" w:firstLine="8"/>
        <w:spacing w:after="0" w:line="268" w:lineRule="auto"/>
        <w:tabs>
          <w:tab w:leader="none" w:pos="239" w:val="left"/>
        </w:tabs>
        <w:numPr>
          <w:ilvl w:val="0"/>
          <w:numId w:val="11"/>
        </w:numPr>
        <w:rPr>
          <w:rFonts w:ascii="Arial" w:cs="Arial" w:eastAsia="Arial" w:hAnsi="Arial"/>
          <w:sz w:val="18"/>
          <w:szCs w:val="18"/>
          <w:color w:val="auto"/>
        </w:rPr>
      </w:pPr>
      <w:r>
        <w:rPr>
          <w:rFonts w:ascii="Arial" w:cs="Arial" w:eastAsia="Arial" w:hAnsi="Arial"/>
          <w:sz w:val="18"/>
          <w:szCs w:val="18"/>
          <w:color w:val="auto"/>
        </w:rPr>
        <w:t>"Items of Deposit" means any one or more checks and drafts. Items of Deposit shall not be deemed uncollectible until the Insured's collection procedures have failed.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2. EXCLUSIONS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THIS BOND DOES NOT COVER:</w:t>
      </w:r>
    </w:p>
    <w:p>
      <w:pPr>
        <w:spacing w:after="0" w:line="252" w:lineRule="exact"/>
        <w:rPr>
          <w:sz w:val="20"/>
          <w:szCs w:val="20"/>
          <w:color w:val="auto"/>
        </w:rPr>
      </w:pPr>
    </w:p>
    <w:p>
      <w:pPr>
        <w:ind w:right="1759" w:firstLine="8"/>
        <w:spacing w:after="0" w:line="268"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effected directly or indirectly by means of forgery or alteration of, on or in any instrument, except when covered by Insuring Agreement (A), (E), (F) or (G).</w:t>
      </w:r>
    </w:p>
    <w:p>
      <w:pPr>
        <w:spacing w:after="0" w:line="212" w:lineRule="exact"/>
        <w:rPr>
          <w:rFonts w:ascii="Arial" w:cs="Arial" w:eastAsia="Arial" w:hAnsi="Arial"/>
          <w:sz w:val="18"/>
          <w:szCs w:val="18"/>
          <w:color w:val="auto"/>
        </w:rPr>
      </w:pPr>
    </w:p>
    <w:p>
      <w:pPr>
        <w:jc w:val="both"/>
        <w:ind w:right="1719" w:firstLine="8"/>
        <w:spacing w:after="0" w:line="298"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due to riot or civil commotion outside the United States of America and Canada; or loss due to military, naval or usurped power, war or insurrection unless such loss occurs in transit in the circumstances recited in Insuring Agreement (D), and unless, when such transit was initiated, there was no knowledge of such riot, civil commotion, military, naval or usurped power, war or insurrection on the part of any person acting for the Insured in initiating such transit.</w:t>
      </w:r>
    </w:p>
    <w:p>
      <w:pPr>
        <w:spacing w:after="0" w:line="193" w:lineRule="exact"/>
        <w:rPr>
          <w:rFonts w:ascii="Arial" w:cs="Arial" w:eastAsia="Arial" w:hAnsi="Arial"/>
          <w:sz w:val="16"/>
          <w:szCs w:val="16"/>
          <w:color w:val="auto"/>
        </w:rPr>
      </w:pPr>
    </w:p>
    <w:p>
      <w:pPr>
        <w:ind w:right="1599" w:firstLine="8"/>
        <w:spacing w:after="0" w:line="259"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in time of peace or war, directly or indirectly caused by or resulting from the effects of nuclear fission or fusion or radioactivity; provided, however, that this paragraph shall not apply to loss resulting from industrial uses of nuclear energy.</w:t>
      </w:r>
    </w:p>
    <w:p>
      <w:pPr>
        <w:spacing w:after="0" w:line="221" w:lineRule="exact"/>
        <w:rPr>
          <w:rFonts w:ascii="Arial" w:cs="Arial" w:eastAsia="Arial" w:hAnsi="Arial"/>
          <w:sz w:val="18"/>
          <w:szCs w:val="18"/>
          <w:color w:val="auto"/>
        </w:rPr>
      </w:pPr>
    </w:p>
    <w:p>
      <w:pPr>
        <w:ind w:right="1639" w:firstLine="8"/>
        <w:spacing w:after="0" w:line="298"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loss resulting from any wrongful act or acts of any person who is a member of the Board of Directors of the Insured or a member of any equivalent body by whatsoever name known unless such person is also an Employee or an elected official, partial owner or partner of the Insured in some other capacity, nor, in any event, loss resulting from the act or acts of any person while acting in the capacity of a member of such Board or equivalent body.</w:t>
      </w:r>
    </w:p>
    <w:p>
      <w:pPr>
        <w:spacing w:after="0" w:line="193" w:lineRule="exact"/>
        <w:rPr>
          <w:rFonts w:ascii="Arial" w:cs="Arial" w:eastAsia="Arial" w:hAnsi="Arial"/>
          <w:sz w:val="16"/>
          <w:szCs w:val="16"/>
          <w:color w:val="auto"/>
        </w:rPr>
      </w:pPr>
    </w:p>
    <w:p>
      <w:pPr>
        <w:ind w:right="1659" w:firstLine="8"/>
        <w:spacing w:after="0" w:line="256" w:lineRule="auto"/>
        <w:tabs>
          <w:tab w:leader="none" w:pos="239"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from the complete or partial non-payment of, or default upon, any loan or transaction in the nature of, or amounting to, a loan made by or obtained from the Insured or any of its partners, directors or Employees, whether authorized or unauthorized and whether procured in good faith or through trick, artifice, fraud or false pretenses. unless such loss is covered under Insuring Agreement (A), (E) or (F).</w:t>
      </w:r>
    </w:p>
    <w:p>
      <w:pPr>
        <w:spacing w:after="0" w:line="224" w:lineRule="exact"/>
        <w:rPr>
          <w:rFonts w:ascii="Arial" w:cs="Arial" w:eastAsia="Arial" w:hAnsi="Arial"/>
          <w:sz w:val="18"/>
          <w:szCs w:val="18"/>
          <w:color w:val="auto"/>
        </w:rPr>
      </w:pPr>
    </w:p>
    <w:p>
      <w:pPr>
        <w:ind w:left="220" w:hanging="212"/>
        <w:spacing w:after="0"/>
        <w:tabs>
          <w:tab w:leader="none" w:pos="2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from any violation by the Insured or by any Employee</w:t>
      </w:r>
    </w:p>
    <w:p>
      <w:pPr>
        <w:spacing w:after="0" w:line="252" w:lineRule="exact"/>
        <w:rPr>
          <w:sz w:val="20"/>
          <w:szCs w:val="20"/>
          <w:color w:val="auto"/>
        </w:rPr>
      </w:pPr>
    </w:p>
    <w:p>
      <w:pPr>
        <w:ind w:right="1619" w:firstLine="8"/>
        <w:spacing w:after="0" w:line="268"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law regulating (a) the issuance, purchase or sale of securities, (b) securities transactions upon Security Exchanges or over the counter market, (c) Investment Companies, or (d) Investment Advisors, or</w:t>
      </w:r>
    </w:p>
    <w:p>
      <w:pPr>
        <w:spacing w:after="0" w:line="212" w:lineRule="exact"/>
        <w:rPr>
          <w:rFonts w:ascii="Arial" w:cs="Arial" w:eastAsia="Arial" w:hAnsi="Arial"/>
          <w:sz w:val="18"/>
          <w:szCs w:val="18"/>
          <w:color w:val="auto"/>
        </w:rPr>
      </w:pPr>
    </w:p>
    <w:p>
      <w:pPr>
        <w:ind w:right="2219" w:firstLine="8"/>
        <w:spacing w:after="0" w:line="268" w:lineRule="auto"/>
        <w:tabs>
          <w:tab w:leader="none" w:pos="249"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such loss, in the absence of such laws, rules or regulations, would be covered under Insuring Agreements (A) or (E).</w:t>
      </w:r>
    </w:p>
    <w:p>
      <w:pPr>
        <w:spacing w:after="0" w:line="213"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loss of Property or loss of privileges through the misplacement or loss of Property as set forth in Insuring Agreement</w:t>
      </w:r>
    </w:p>
    <w:p>
      <w:pPr>
        <w:spacing w:after="0" w:line="38" w:lineRule="exact"/>
        <w:rPr>
          <w:rFonts w:ascii="Arial" w:cs="Arial" w:eastAsia="Arial" w:hAnsi="Arial"/>
          <w:sz w:val="16"/>
          <w:szCs w:val="16"/>
          <w:color w:val="auto"/>
        </w:rPr>
      </w:pPr>
    </w:p>
    <w:p>
      <w:pPr>
        <w:ind w:right="1679"/>
        <w:spacing w:after="0" w:line="331" w:lineRule="auto"/>
        <w:rPr>
          <w:rFonts w:ascii="Arial" w:cs="Arial" w:eastAsia="Arial" w:hAnsi="Arial"/>
          <w:sz w:val="16"/>
          <w:szCs w:val="16"/>
          <w:color w:val="auto"/>
        </w:rPr>
      </w:pPr>
      <w:r>
        <w:rPr>
          <w:rFonts w:ascii="Arial" w:cs="Arial" w:eastAsia="Arial" w:hAnsi="Arial"/>
          <w:sz w:val="15"/>
          <w:szCs w:val="15"/>
          <w:color w:val="auto"/>
        </w:rPr>
        <w:t>(C) or (D) while the Property is in the custody of any armored motor vehicle company, unless such loss shall be in excess of the amount recovered or received by the Insured under (a) the Insured's contract with said armored motor vehicle company, (b) insurance carried by said armored motor vehicle company for the benefit of users of its service, and (c) all</w:t>
      </w:r>
    </w:p>
    <w:p>
      <w:pPr>
        <w:sectPr>
          <w:pgSz w:w="11900" w:h="16838" w:orient="portrait"/>
          <w:cols w:equalWidth="0" w:num="1">
            <w:col w:w="10219"/>
          </w:cols>
          <w:pgMar w:left="240" w:top="131" w:right="1440" w:bottom="0" w:gutter="0" w:footer="0" w:header="0"/>
        </w:sectPr>
      </w:pPr>
    </w:p>
    <w:bookmarkStart w:id="6" w:name="page7"/>
    <w:bookmarkEnd w:id="6"/>
    <w:p>
      <w:pPr>
        <w:spacing w:after="0" w:line="44" w:lineRule="exact"/>
        <w:rPr>
          <w:sz w:val="20"/>
          <w:szCs w:val="20"/>
          <w:color w:val="auto"/>
        </w:rPr>
      </w:pPr>
    </w:p>
    <w:p>
      <w:pPr>
        <w:ind w:right="1899"/>
        <w:spacing w:after="0" w:line="268" w:lineRule="auto"/>
        <w:rPr>
          <w:sz w:val="20"/>
          <w:szCs w:val="20"/>
          <w:color w:val="auto"/>
        </w:rPr>
      </w:pPr>
      <w:r>
        <w:rPr>
          <w:rFonts w:ascii="Arial" w:cs="Arial" w:eastAsia="Arial" w:hAnsi="Arial"/>
          <w:sz w:val="18"/>
          <w:szCs w:val="18"/>
          <w:color w:val="auto"/>
        </w:rPr>
        <w:t>other insurance and indemnity in force in whatsoever form carried by or for the benefit of users of said armored motor vehicle company's service, and then this bond shall cover only such excess.</w:t>
      </w:r>
    </w:p>
    <w:p>
      <w:pPr>
        <w:spacing w:after="0" w:line="213" w:lineRule="exact"/>
        <w:rPr>
          <w:sz w:val="20"/>
          <w:szCs w:val="20"/>
          <w:color w:val="auto"/>
        </w:rPr>
      </w:pPr>
    </w:p>
    <w:p>
      <w:pPr>
        <w:ind w:right="1999" w:firstLine="8"/>
        <w:spacing w:after="0" w:line="268" w:lineRule="auto"/>
        <w:tabs>
          <w:tab w:leader="none" w:pos="249"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potential income, including but not limited to interest and dividends, not realized by the Insured because of a loss covered under this bond, except as included under Insuring Agreement (I).</w:t>
      </w:r>
    </w:p>
    <w:p>
      <w:pPr>
        <w:spacing w:after="0" w:line="212" w:lineRule="exact"/>
        <w:rPr>
          <w:rFonts w:ascii="Arial" w:cs="Arial" w:eastAsia="Arial" w:hAnsi="Arial"/>
          <w:sz w:val="18"/>
          <w:szCs w:val="18"/>
          <w:color w:val="auto"/>
        </w:rPr>
      </w:pPr>
    </w:p>
    <w:p>
      <w:pPr>
        <w:ind w:right="1639" w:firstLine="8"/>
        <w:spacing w:after="0" w:line="268" w:lineRule="auto"/>
        <w:tabs>
          <w:tab w:leader="none" w:pos="21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all damages of any type for which the Insured is legally liable, except direct compensatory damages arising from a loss covered under this bond.</w:t>
      </w:r>
    </w:p>
    <w:p>
      <w:pPr>
        <w:spacing w:after="0" w:line="212"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252" w:lineRule="exact"/>
        <w:rPr>
          <w:sz w:val="20"/>
          <w:szCs w:val="20"/>
          <w:color w:val="auto"/>
        </w:rPr>
      </w:pPr>
    </w:p>
    <w:p>
      <w:pPr>
        <w:ind w:right="1879" w:firstLine="8"/>
        <w:spacing w:after="0" w:line="370" w:lineRule="auto"/>
        <w:tabs>
          <w:tab w:leader="none" w:pos="2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143" w:lineRule="exact"/>
        <w:rPr>
          <w:rFonts w:ascii="Arial" w:cs="Arial" w:eastAsia="Arial" w:hAnsi="Arial"/>
          <w:sz w:val="15"/>
          <w:szCs w:val="15"/>
          <w:color w:val="auto"/>
        </w:rPr>
      </w:pPr>
    </w:p>
    <w:p>
      <w:pPr>
        <w:ind w:left="260" w:hanging="252"/>
        <w:spacing w:after="0"/>
        <w:tabs>
          <w:tab w:leader="none" w:pos="2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do damage to the premises or Property of the Insured, except when covered under Insuring Agreement (A).</w:t>
      </w:r>
    </w:p>
    <w:p>
      <w:pPr>
        <w:spacing w:after="0" w:line="275" w:lineRule="exact"/>
        <w:rPr>
          <w:sz w:val="20"/>
          <w:szCs w:val="20"/>
          <w:color w:val="auto"/>
        </w:rPr>
      </w:pPr>
    </w:p>
    <w:p>
      <w:pPr>
        <w:ind w:right="1879" w:firstLine="8"/>
        <w:spacing w:after="0" w:line="268" w:lineRule="auto"/>
        <w:tabs>
          <w:tab w:leader="none" w:pos="249" w:val="left"/>
        </w:tabs>
        <w:numPr>
          <w:ilvl w:val="0"/>
          <w:numId w:val="17"/>
        </w:numPr>
        <w:rPr>
          <w:rFonts w:ascii="Arial" w:cs="Arial" w:eastAsia="Arial" w:hAnsi="Arial"/>
          <w:sz w:val="18"/>
          <w:szCs w:val="18"/>
          <w:color w:val="auto"/>
        </w:rPr>
      </w:pPr>
      <w:r>
        <w:rPr>
          <w:rFonts w:ascii="Arial" w:cs="Arial" w:eastAsia="Arial" w:hAnsi="Arial"/>
          <w:sz w:val="18"/>
          <w:szCs w:val="18"/>
          <w:color w:val="auto"/>
        </w:rPr>
        <w:t>all costs, fees and other expenses incurred by the Insured in establishing the existence of or amount of loss covered under this bond unless such indemnity is provided for under Insuring Agreement (B).</w:t>
      </w:r>
    </w:p>
    <w:p>
      <w:pPr>
        <w:spacing w:after="0" w:line="212" w:lineRule="exact"/>
        <w:rPr>
          <w:rFonts w:ascii="Arial" w:cs="Arial" w:eastAsia="Arial" w:hAnsi="Arial"/>
          <w:sz w:val="18"/>
          <w:szCs w:val="18"/>
          <w:color w:val="auto"/>
        </w:rPr>
      </w:pPr>
    </w:p>
    <w:p>
      <w:pPr>
        <w:ind w:right="1599" w:firstLine="8"/>
        <w:spacing w:after="0" w:line="255" w:lineRule="auto"/>
        <w:tabs>
          <w:tab w:leader="none" w:pos="21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loss resulting from payments made or withdrawals from the account of a customer of the Insured, shareholder or subscriber to shares involving funds erroneously credited to such account, unless such payments are made to or withdrawn by such depositor or representative of such person, who is within the premises of the drawee bank of the Insured or within the office of the Insured at the time of such payment or withdrawal or unless such payment is covered under Insuring Agreement (A).</w:t>
      </w:r>
    </w:p>
    <w:p>
      <w:pPr>
        <w:spacing w:after="0" w:line="223" w:lineRule="exact"/>
        <w:rPr>
          <w:rFonts w:ascii="Arial" w:cs="Arial" w:eastAsia="Arial" w:hAnsi="Arial"/>
          <w:sz w:val="18"/>
          <w:szCs w:val="18"/>
          <w:color w:val="auto"/>
        </w:rPr>
      </w:pPr>
    </w:p>
    <w:p>
      <w:pPr>
        <w:ind w:right="1799" w:firstLine="8"/>
        <w:spacing w:after="0" w:line="259" w:lineRule="auto"/>
        <w:tabs>
          <w:tab w:leader="none" w:pos="297"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loss resulting from Uncollectible Items of Deposit which are drawn from a financial institution outside the fifty states of the United States of America, District of Columbia, and territories and possessions of the United States of America, and Canada.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3. ASSIGNMENT OF RIGHTS</w:t>
      </w:r>
    </w:p>
    <w:p>
      <w:pPr>
        <w:spacing w:after="0" w:line="252" w:lineRule="exact"/>
        <w:rPr>
          <w:sz w:val="20"/>
          <w:szCs w:val="20"/>
          <w:color w:val="auto"/>
        </w:rPr>
      </w:pPr>
    </w:p>
    <w:p>
      <w:pPr>
        <w:ind w:right="1599"/>
        <w:spacing w:after="0" w:line="290" w:lineRule="auto"/>
        <w:rPr>
          <w:sz w:val="20"/>
          <w:szCs w:val="20"/>
          <w:color w:val="auto"/>
        </w:rPr>
      </w:pPr>
      <w:r>
        <w:rPr>
          <w:rFonts w:ascii="Arial" w:cs="Arial" w:eastAsia="Arial" w:hAnsi="Arial"/>
          <w:sz w:val="16"/>
          <w:szCs w:val="16"/>
          <w:color w:val="auto"/>
        </w:rPr>
        <w:t>This bond does not afford coverage in favor of any Employers of temporary personnel or of processors as set forth in sub-sections (6) and (7) of Section 1(a) of this bond, as aforesaid, and upon payment to the Insured by the Underwriter on account of any loss through dishonest or fraudulent act(s) including Larceny or Embezzlement committed by any of the partners, officers or employees of such Employers, whether acting alone or in collusion with others, an assignment of such of the Insured's rights and causes of action as it may have against such Employers by reason of such acts so committed shall, to the extent of such payment, be given by the Insured to the Underwriter, and the Insured shall execute all papers necessary to secure to the Underwriter the rights herein provided for.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4. LOSS -NOTICE -PROOF-LEGAL PROCEEDINGS</w:t>
      </w:r>
    </w:p>
    <w:p>
      <w:pPr>
        <w:spacing w:after="0" w:line="252" w:lineRule="exact"/>
        <w:rPr>
          <w:sz w:val="20"/>
          <w:szCs w:val="20"/>
          <w:color w:val="auto"/>
        </w:rPr>
      </w:pPr>
    </w:p>
    <w:p>
      <w:pPr>
        <w:ind w:right="1619"/>
        <w:spacing w:after="0" w:line="285" w:lineRule="auto"/>
        <w:rPr>
          <w:sz w:val="20"/>
          <w:szCs w:val="20"/>
          <w:color w:val="auto"/>
        </w:rPr>
      </w:pPr>
      <w:r>
        <w:rPr>
          <w:rFonts w:ascii="Arial" w:cs="Arial" w:eastAsia="Arial" w:hAnsi="Arial"/>
          <w:sz w:val="16"/>
          <w:szCs w:val="16"/>
          <w:color w:val="auto"/>
        </w:rPr>
        <w:t>This bond is for the use and benefit only of the Insured named in the Declarations and the Underwriter shall not be liable hereunder for loss sustained by anyone other than the Insured unless the Insured, in its sole discretion and at its option, shall include such loss in the Insured's proof of loss. At the earliest practicable moment after discovery of any loss hereunder the Insured shall give the Underwriter written notice thereof and shall also within six months after such discovery furnish to the Underwriter affirmative proof of loss with full particulars. If claim is made under this bond for loss of securities or shares, the Underwriter shall not be liable unless each of such securities or shares is identified in such proof of loss by a certificate or bond number or, where such securities or shares are uncertificated, by such identification means as agreed to by the Underwriter. The Underwriter shall have thirty days after notice and proof of loss within which to investigate the claim, but where the loss is clear and undisputed, settlement shall be made within forty-eight hours; and this shall apply notwithstanding the loss is made up wholly or in part of securities of which duplicates may be obtained. Legal proceedings for recovery of any loss hereunder shall not be brought prior to the expiration of sixty days after such proof of loss is filed with the Underwriter nor after the expiration of twenty-four months from the discovery of such loss, except that any action or proceeding to recover hereunder on account of any judgment against the Insured in any suit mentioned in General Agreement C or to recover attorneys' fees paid in any such suit, shall be begun within twenty-four months from the date upon which the judgment in such suit shall become final. If any limitation embodied in this bond is prohibited by any law controlling the construction hereof, such limitation shall be deemed to be amended so as to be equal to the minimum period of limitation permitted by su ch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Discovery occurs when the Insured</w:t>
      </w:r>
    </w:p>
    <w:p>
      <w:pPr>
        <w:spacing w:after="0" w:line="252" w:lineRule="exact"/>
        <w:rPr>
          <w:sz w:val="20"/>
          <w:szCs w:val="20"/>
          <w:color w:val="auto"/>
        </w:rPr>
      </w:pPr>
    </w:p>
    <w:p>
      <w:pPr>
        <w:ind w:left="240" w:hanging="232"/>
        <w:spacing w:after="0"/>
        <w:tabs>
          <w:tab w:leader="none" w:pos="2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becomes aware of facts, or</w:t>
      </w:r>
    </w:p>
    <w:p>
      <w:pPr>
        <w:spacing w:after="0" w:line="252" w:lineRule="exact"/>
        <w:rPr>
          <w:rFonts w:ascii="Arial" w:cs="Arial" w:eastAsia="Arial" w:hAnsi="Arial"/>
          <w:sz w:val="18"/>
          <w:szCs w:val="18"/>
          <w:color w:val="auto"/>
        </w:rPr>
      </w:pPr>
    </w:p>
    <w:p>
      <w:pPr>
        <w:ind w:right="1919" w:firstLine="8"/>
        <w:spacing w:after="0" w:line="268" w:lineRule="auto"/>
        <w:tabs>
          <w:tab w:leader="none" w:pos="249"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receives written notice of an actual or potential claim by a third party which alleges that the Insured is liable under circumstance</w:t>
      </w:r>
    </w:p>
    <w:p>
      <w:pPr>
        <w:spacing w:after="0" w:line="213" w:lineRule="exact"/>
        <w:rPr>
          <w:sz w:val="20"/>
          <w:szCs w:val="20"/>
          <w:color w:val="auto"/>
        </w:rPr>
      </w:pPr>
    </w:p>
    <w:p>
      <w:pPr>
        <w:ind w:right="2099"/>
        <w:spacing w:after="0" w:line="268" w:lineRule="auto"/>
        <w:rPr>
          <w:sz w:val="20"/>
          <w:szCs w:val="20"/>
          <w:color w:val="auto"/>
        </w:rPr>
      </w:pPr>
      <w:r>
        <w:rPr>
          <w:rFonts w:ascii="Arial" w:cs="Arial" w:eastAsia="Arial" w:hAnsi="Arial"/>
          <w:sz w:val="18"/>
          <w:szCs w:val="18"/>
          <w:color w:val="auto"/>
        </w:rPr>
        <w:t>which would cause a reasonable person to assume that a loss covered by the bond has been or will be incurred even though the exact amount or details of loss may not be then known.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5. VALUATION OF PROPERTY</w:t>
      </w:r>
    </w:p>
    <w:p>
      <w:pPr>
        <w:spacing w:after="0" w:line="252" w:lineRule="exact"/>
        <w:rPr>
          <w:sz w:val="20"/>
          <w:szCs w:val="20"/>
          <w:color w:val="auto"/>
        </w:rPr>
      </w:pPr>
    </w:p>
    <w:p>
      <w:pPr>
        <w:ind w:right="1699"/>
        <w:spacing w:after="0" w:line="335" w:lineRule="auto"/>
        <w:rPr>
          <w:sz w:val="20"/>
          <w:szCs w:val="20"/>
          <w:color w:val="auto"/>
        </w:rPr>
      </w:pPr>
      <w:r>
        <w:rPr>
          <w:rFonts w:ascii="Arial" w:cs="Arial" w:eastAsia="Arial" w:hAnsi="Arial"/>
          <w:sz w:val="15"/>
          <w:szCs w:val="15"/>
          <w:color w:val="auto"/>
        </w:rPr>
        <w:t>The value of any Property, except books of accounts or other records used by the Insured in the conduct of its business, for the loss of which a claim shall be made hereunder, shall be determined by the average market value of such Property on the business day next preceding the discovery of such loss; provided, however, that the value of any Property replaced</w:t>
      </w:r>
    </w:p>
    <w:p>
      <w:pPr>
        <w:sectPr>
          <w:pgSz w:w="11900" w:h="16882" w:orient="portrait"/>
          <w:cols w:equalWidth="0" w:num="1">
            <w:col w:w="10219"/>
          </w:cols>
          <w:pgMar w:left="240" w:top="131" w:right="1440" w:bottom="0" w:gutter="0" w:footer="0" w:header="0"/>
        </w:sectPr>
      </w:pPr>
    </w:p>
    <w:bookmarkStart w:id="7" w:name="page8"/>
    <w:bookmarkEnd w:id="7"/>
    <w:p>
      <w:pPr>
        <w:spacing w:after="0" w:line="61" w:lineRule="exact"/>
        <w:rPr>
          <w:sz w:val="20"/>
          <w:szCs w:val="20"/>
          <w:color w:val="auto"/>
        </w:rPr>
      </w:pPr>
    </w:p>
    <w:p>
      <w:pPr>
        <w:ind w:right="1999"/>
        <w:spacing w:after="0" w:line="291" w:lineRule="auto"/>
        <w:rPr>
          <w:sz w:val="20"/>
          <w:szCs w:val="20"/>
          <w:color w:val="auto"/>
        </w:rPr>
      </w:pPr>
      <w:r>
        <w:rPr>
          <w:rFonts w:ascii="Arial" w:cs="Arial" w:eastAsia="Arial" w:hAnsi="Arial"/>
          <w:sz w:val="16"/>
          <w:szCs w:val="16"/>
          <w:color w:val="auto"/>
        </w:rPr>
        <w:t>by the Insured prior to the payment of claim therefor shall be the actual market value at the time of replacement; and further provided that in case of a loss or misplacement of interim certificates, warrants, rights, or other securities, the production which is necessary to the exercise of subscription, conversion, redemption or deposit privileges, the value thereof shall be the market value of such privileges immediately preceding the expiration thereof if said loss or misplacement is not discovered until after their expiration. If no market price is quoted for such Property or for such privileges, the value sha ll be fixed by agreement between the parties or by arbitration.</w:t>
      </w:r>
    </w:p>
    <w:p>
      <w:pPr>
        <w:spacing w:after="0" w:line="201" w:lineRule="exact"/>
        <w:rPr>
          <w:sz w:val="20"/>
          <w:szCs w:val="20"/>
          <w:color w:val="auto"/>
        </w:rPr>
      </w:pPr>
    </w:p>
    <w:p>
      <w:pPr>
        <w:ind w:right="1619"/>
        <w:spacing w:after="0" w:line="255" w:lineRule="auto"/>
        <w:rPr>
          <w:sz w:val="20"/>
          <w:szCs w:val="20"/>
          <w:color w:val="auto"/>
        </w:rPr>
      </w:pPr>
      <w:r>
        <w:rPr>
          <w:rFonts w:ascii="Arial" w:cs="Arial" w:eastAsia="Arial" w:hAnsi="Arial"/>
          <w:sz w:val="18"/>
          <w:szCs w:val="18"/>
          <w:color w:val="auto"/>
        </w:rPr>
        <w:t>In case of any loss or damage to Property consisting of books of accounts or other records used by the Insured in the conduct of its business, the Underwriter shall be liable under this bond only if such books or records are actually reproduced and then for not more than the cost of blank books, blank pages or other materials plus the cost of labor for the actual transcription or copying of data which shall have been furnished by the Insured in order to reproduce such books and other records.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6. VALUATION OF PREMISES AND FURNISHINGS</w:t>
      </w:r>
    </w:p>
    <w:p>
      <w:pPr>
        <w:spacing w:after="0" w:line="252" w:lineRule="exact"/>
        <w:rPr>
          <w:sz w:val="20"/>
          <w:szCs w:val="20"/>
          <w:color w:val="auto"/>
        </w:rPr>
      </w:pPr>
    </w:p>
    <w:p>
      <w:pPr>
        <w:ind w:right="1599"/>
        <w:spacing w:after="0" w:line="294" w:lineRule="auto"/>
        <w:rPr>
          <w:sz w:val="20"/>
          <w:szCs w:val="20"/>
          <w:color w:val="auto"/>
        </w:rPr>
      </w:pPr>
      <w:r>
        <w:rPr>
          <w:rFonts w:ascii="Arial" w:cs="Arial" w:eastAsia="Arial" w:hAnsi="Arial"/>
          <w:sz w:val="16"/>
          <w:szCs w:val="16"/>
          <w:color w:val="auto"/>
        </w:rPr>
        <w:t>In case of damage to any office of the Insured, or loss of or damage to the furnishings, fixtures, stationery, supplies, equipment, safes or vaults therein, the Underwriter shall not be liable for more than the actual cash value thereof, or for more than the actual cost of their replacement or repair. The Underwriter may, at its election, pay such actual cash value or make such replacement or repair. If the Underwriter and the Insured cannot agree upon such cash value or such cost of replacement or repair, such shall be determined by arbitration.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7. LOST SECURITIES</w:t>
      </w:r>
    </w:p>
    <w:p>
      <w:pPr>
        <w:spacing w:after="0" w:line="252" w:lineRule="exact"/>
        <w:rPr>
          <w:sz w:val="20"/>
          <w:szCs w:val="20"/>
          <w:color w:val="auto"/>
        </w:rPr>
      </w:pPr>
    </w:p>
    <w:p>
      <w:pPr>
        <w:jc w:val="both"/>
        <w:ind w:right="1999"/>
        <w:spacing w:after="0" w:line="259" w:lineRule="auto"/>
        <w:rPr>
          <w:sz w:val="20"/>
          <w:szCs w:val="20"/>
          <w:color w:val="auto"/>
        </w:rPr>
      </w:pPr>
      <w:r>
        <w:rPr>
          <w:rFonts w:ascii="Arial" w:cs="Arial" w:eastAsia="Arial" w:hAnsi="Arial"/>
          <w:sz w:val="18"/>
          <w:szCs w:val="18"/>
          <w:color w:val="auto"/>
        </w:rPr>
        <w:t>If the Insured shall sustain a loss of securities the total value of which is in excess of the limit stated in Item 3 of the Declarations of this bond, the liability of the Underwriter shall be limited to payment for, or duplication of, securities having value equal to the limit stated in Item 3 of the Declarations of this bond.</w:t>
      </w:r>
    </w:p>
    <w:p>
      <w:pPr>
        <w:spacing w:after="0" w:line="221" w:lineRule="exact"/>
        <w:rPr>
          <w:sz w:val="20"/>
          <w:szCs w:val="20"/>
          <w:color w:val="auto"/>
        </w:rPr>
      </w:pPr>
    </w:p>
    <w:p>
      <w:pPr>
        <w:ind w:right="1799"/>
        <w:spacing w:after="0" w:line="268" w:lineRule="auto"/>
        <w:rPr>
          <w:sz w:val="20"/>
          <w:szCs w:val="20"/>
          <w:color w:val="auto"/>
        </w:rPr>
      </w:pPr>
      <w:r>
        <w:rPr>
          <w:rFonts w:ascii="Arial" w:cs="Arial" w:eastAsia="Arial" w:hAnsi="Arial"/>
          <w:sz w:val="18"/>
          <w:szCs w:val="18"/>
          <w:color w:val="auto"/>
        </w:rPr>
        <w:t>If the Underwriter shall make payment to the Insured for any loss of securities, the Insured shall thereupon assign to the Underwriter all of the Insured's rights, title and interests in and to said securities.</w:t>
      </w:r>
    </w:p>
    <w:p>
      <w:pPr>
        <w:spacing w:after="0" w:line="213" w:lineRule="exact"/>
        <w:rPr>
          <w:sz w:val="20"/>
          <w:szCs w:val="20"/>
          <w:color w:val="auto"/>
        </w:rPr>
      </w:pPr>
    </w:p>
    <w:p>
      <w:pPr>
        <w:ind w:right="1639"/>
        <w:spacing w:after="0" w:line="252" w:lineRule="auto"/>
        <w:rPr>
          <w:sz w:val="20"/>
          <w:szCs w:val="20"/>
          <w:color w:val="auto"/>
        </w:rPr>
      </w:pPr>
      <w:r>
        <w:rPr>
          <w:rFonts w:ascii="Arial" w:cs="Arial" w:eastAsia="Arial" w:hAnsi="Arial"/>
          <w:sz w:val="18"/>
          <w:szCs w:val="18"/>
          <w:color w:val="auto"/>
        </w:rPr>
        <w:t>With respect to securities the value of which do not exceed the Deductible Amount (at the time of the discovery of the loss) and for which the Underwriter may at its sole discretion and option and at the request of the Insured issue a Lost Instrument Bond or Bonds to effect replacement thereof, the Insured will pay the usual premium charged therefor and will indemnify the Underwriter against all loss or expense that the Underwriter may sustain because of the issuance of such Lost Instrument Bond or Bonds.</w:t>
      </w:r>
    </w:p>
    <w:p>
      <w:pPr>
        <w:ind w:right="1619"/>
        <w:spacing w:after="0" w:line="288" w:lineRule="auto"/>
        <w:rPr>
          <w:sz w:val="20"/>
          <w:szCs w:val="20"/>
          <w:color w:val="auto"/>
        </w:rPr>
      </w:pPr>
      <w:r>
        <w:rPr>
          <w:rFonts w:ascii="Arial" w:cs="Arial" w:eastAsia="Arial" w:hAnsi="Arial"/>
          <w:sz w:val="16"/>
          <w:szCs w:val="16"/>
          <w:color w:val="auto"/>
        </w:rPr>
        <w:t>With respect to securities the value of which exceeds the Deductible Amount (at the time of discovery of the loss) and for which the Underwriter may issue or arrange for the issuance of a Lost Instrument Bond or Bonds to effect replacement thereof, the Insured agrees that it will pay as premium therefor a proportion of the usual premium charged therefor, said proportion being equal to the percentage that the Deductible Amount bears to the value of the securities upon discovery of the loss, and that it will indemnify the issuer of said Lost Instrument Bond or Bonds against all loss and expense that is not recoverable from the Underwriter under the terms and conditions of this INVESTMENT COMPANY BLANKET BOND subject to the Limit of Liability hereunder.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8. SALVAGE</w:t>
      </w:r>
    </w:p>
    <w:p>
      <w:pPr>
        <w:spacing w:after="0" w:line="252" w:lineRule="exact"/>
        <w:rPr>
          <w:sz w:val="20"/>
          <w:szCs w:val="20"/>
          <w:color w:val="auto"/>
        </w:rPr>
      </w:pPr>
    </w:p>
    <w:p>
      <w:pPr>
        <w:ind w:right="1659"/>
        <w:spacing w:after="0" w:line="290" w:lineRule="auto"/>
        <w:rPr>
          <w:sz w:val="20"/>
          <w:szCs w:val="20"/>
          <w:color w:val="auto"/>
        </w:rPr>
      </w:pPr>
      <w:r>
        <w:rPr>
          <w:rFonts w:ascii="Arial" w:cs="Arial" w:eastAsia="Arial" w:hAnsi="Arial"/>
          <w:sz w:val="16"/>
          <w:szCs w:val="16"/>
          <w:color w:val="auto"/>
        </w:rPr>
        <w:t>In case of recovery, whether made by the Insured or by the Underwriter, on account of any loss in excess of the Limit of Liability hereunder plus the Deductible Amount applicable to such loss from any source other than suretyship, insurance, reinsurance, security or indemnity taken by or for the benefit of the Underwriter, the net amount of such recovery, less the actual costs and expenses of making same, shall be applied to reimburse the Insured in full for the excess portion of such loss, and the remainder, if any, shall be paid first in reimbursement of the Underwriter and thereafter in reimbursement of the Insured for that part of such loss within the Deductible Amount. The Insured shall execute all necessary papers to secure to the Underwriter the rights provided for herein.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9. NON-REDUCTION AND NON- ACCUMULATION OF LIABILITY AND TOTAL LIABILITY</w:t>
      </w:r>
    </w:p>
    <w:p>
      <w:pPr>
        <w:spacing w:after="0" w:line="252" w:lineRule="exact"/>
        <w:rPr>
          <w:sz w:val="20"/>
          <w:szCs w:val="20"/>
          <w:color w:val="auto"/>
        </w:rPr>
      </w:pPr>
    </w:p>
    <w:p>
      <w:pPr>
        <w:ind w:right="1699"/>
        <w:spacing w:after="0" w:line="252" w:lineRule="auto"/>
        <w:rPr>
          <w:sz w:val="20"/>
          <w:szCs w:val="20"/>
          <w:color w:val="auto"/>
        </w:rPr>
      </w:pPr>
      <w:r>
        <w:rPr>
          <w:rFonts w:ascii="Arial" w:cs="Arial" w:eastAsia="Arial" w:hAnsi="Arial"/>
          <w:sz w:val="18"/>
          <w:szCs w:val="18"/>
          <w:color w:val="auto"/>
        </w:rPr>
        <w:t>At all times prior to termination hereof this bond shall continue in force for the limit stated in the applicable sections of Item 3 of the Declarations of this bond notwithstanding any previous loss for which the Underwriter may have paid or be liable to pay hereunder; PROVIDED, however, that regardless of the number of years this bond shall continue in force and the number of premiums which shall be payable or paid, the liability of the Underwriter under this bond with respect to all loss resulting from</w:t>
      </w:r>
    </w:p>
    <w:p>
      <w:pPr>
        <w:ind w:right="2139" w:firstLine="8"/>
        <w:spacing w:after="0" w:line="261" w:lineRule="auto"/>
        <w:tabs>
          <w:tab w:leader="none" w:pos="23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one act of burglary, robbery or holdup, or attempt thereat, in which no Partner or Employee is concerned or implicated shall be deemed to be one loss, or</w:t>
      </w:r>
    </w:p>
    <w:p>
      <w:pPr>
        <w:spacing w:after="0" w:line="218" w:lineRule="exact"/>
        <w:rPr>
          <w:rFonts w:ascii="Arial" w:cs="Arial" w:eastAsia="Arial" w:hAnsi="Arial"/>
          <w:sz w:val="18"/>
          <w:szCs w:val="18"/>
          <w:color w:val="auto"/>
        </w:rPr>
      </w:pPr>
    </w:p>
    <w:p>
      <w:pPr>
        <w:ind w:right="2399" w:firstLine="8"/>
        <w:spacing w:after="0" w:line="268"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one unintentional or negligent act on the part of any one person resulting in damage to or destruction or misplacement of Property, shall be deemed to be one loss, or</w:t>
      </w:r>
    </w:p>
    <w:p>
      <w:pPr>
        <w:spacing w:after="0" w:line="212"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all wrongful acts, other than those specified in (a) above, of any one person shall be deemed to be one loss, or</w:t>
      </w:r>
    </w:p>
    <w:p>
      <w:pPr>
        <w:spacing w:after="0" w:line="275" w:lineRule="exact"/>
        <w:rPr>
          <w:rFonts w:ascii="Arial" w:cs="Arial" w:eastAsia="Arial" w:hAnsi="Arial"/>
          <w:sz w:val="16"/>
          <w:szCs w:val="16"/>
          <w:color w:val="auto"/>
        </w:rPr>
      </w:pPr>
    </w:p>
    <w:p>
      <w:pPr>
        <w:ind w:right="1639" w:firstLine="8"/>
        <w:spacing w:after="0" w:line="255"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wrongful acts, other than those specified in (a) above, of one or more persons (which dishonest act(s) or act(s) of Larceny or Embezzlement include, but are not limited to, the failure of an Employee to report such acts of others) whose dishonest act or acts intentionally or unintentionally, knowingly or unknowingly, directly or indirectly, aid or aids in any way, or permits the continuation of, the dishonest act or acts of any other person or persons shall be deemed to be one loss with the act or acts of the persons aided, or</w:t>
      </w:r>
    </w:p>
    <w:p>
      <w:pPr>
        <w:spacing w:after="0" w:line="223" w:lineRule="exact"/>
        <w:rPr>
          <w:rFonts w:ascii="Arial" w:cs="Arial" w:eastAsia="Arial" w:hAnsi="Arial"/>
          <w:sz w:val="18"/>
          <w:szCs w:val="18"/>
          <w:color w:val="auto"/>
        </w:rPr>
      </w:pPr>
    </w:p>
    <w:p>
      <w:pPr>
        <w:ind w:left="240" w:hanging="232"/>
        <w:spacing w:after="0"/>
        <w:tabs>
          <w:tab w:leader="none" w:pos="240" w:val="left"/>
        </w:tabs>
        <w:numPr>
          <w:ilvl w:val="0"/>
          <w:numId w:val="19"/>
        </w:numPr>
        <w:rPr>
          <w:rFonts w:ascii="Arial" w:cs="Arial" w:eastAsia="Arial" w:hAnsi="Arial"/>
          <w:sz w:val="15"/>
          <w:szCs w:val="15"/>
          <w:color w:val="auto"/>
        </w:rPr>
      </w:pPr>
      <w:r>
        <w:rPr>
          <w:rFonts w:ascii="Arial" w:cs="Arial" w:eastAsia="Arial" w:hAnsi="Arial"/>
          <w:sz w:val="15"/>
          <w:szCs w:val="15"/>
          <w:color w:val="auto"/>
        </w:rPr>
        <w:t>any one casualty or event other than those specified in (a), (b), (c) or (d) preceding, shall be deemed to be one loss, and</w:t>
      </w:r>
    </w:p>
    <w:p>
      <w:pPr>
        <w:sectPr>
          <w:pgSz w:w="11900" w:h="16899" w:orient="portrait"/>
          <w:cols w:equalWidth="0" w:num="1">
            <w:col w:w="10219"/>
          </w:cols>
          <w:pgMar w:left="240" w:top="131" w:right="1440" w:bottom="0" w:gutter="0" w:footer="0" w:header="0"/>
        </w:sectPr>
      </w:pPr>
    </w:p>
    <w:bookmarkStart w:id="8" w:name="page9"/>
    <w:bookmarkEnd w:id="8"/>
    <w:p>
      <w:pPr>
        <w:jc w:val="both"/>
        <w:ind w:right="1939"/>
        <w:spacing w:after="0" w:line="332" w:lineRule="auto"/>
        <w:rPr>
          <w:sz w:val="20"/>
          <w:szCs w:val="20"/>
          <w:color w:val="auto"/>
        </w:rPr>
      </w:pPr>
      <w:r>
        <w:rPr>
          <w:rFonts w:ascii="Arial" w:cs="Arial" w:eastAsia="Arial" w:hAnsi="Arial"/>
          <w:sz w:val="16"/>
          <w:szCs w:val="16"/>
          <w:color w:val="auto"/>
        </w:rPr>
        <w:t>shall be limited to the applicable Limit of Liability stated in Item 3 of the Declarations of this bond irrespective of the total amount of such loss or losses and shall not be cumulative in amounts from year to year or from period to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Sub-section (c) is not applicable to any situation to which the language of sub-section (d) applies.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10. LIMIT OF LIABILITY</w:t>
      </w:r>
    </w:p>
    <w:p>
      <w:pPr>
        <w:spacing w:after="0" w:line="252" w:lineRule="exact"/>
        <w:rPr>
          <w:sz w:val="20"/>
          <w:szCs w:val="20"/>
          <w:color w:val="auto"/>
        </w:rPr>
      </w:pPr>
    </w:p>
    <w:p>
      <w:pPr>
        <w:ind w:right="1679"/>
        <w:spacing w:after="0" w:line="290" w:lineRule="auto"/>
        <w:rPr>
          <w:sz w:val="20"/>
          <w:szCs w:val="20"/>
          <w:color w:val="auto"/>
        </w:rPr>
      </w:pPr>
      <w:r>
        <w:rPr>
          <w:rFonts w:ascii="Arial" w:cs="Arial" w:eastAsia="Arial" w:hAnsi="Arial"/>
          <w:sz w:val="16"/>
          <w:szCs w:val="16"/>
          <w:color w:val="auto"/>
        </w:rPr>
        <w:t>With respect to any loss set forth in the PROVIDED clause of Section 9 of this bond which is recoverable or recovered in whole or in part under any other bonds or policies issued by the Underwriter to the Insured or to any predecessor in interest of the Insured and terminated or cancelled or allowed to expire and in which the period for discovery has not expired at the time any such loss thereunder is discovered, the total liability of the Underwriter under this bond and under other bonds or policies shall not exceed, in the aggregate, the amount carried hereunder on such loss or the amount available to the Insured under such other bonds or policies, as limited by the terms and conditions thereof, for any such loss if the latter amount be the larger.</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11. OTHER INSURANCE</w:t>
      </w:r>
    </w:p>
    <w:p>
      <w:pPr>
        <w:spacing w:after="0" w:line="252" w:lineRule="exact"/>
        <w:rPr>
          <w:sz w:val="20"/>
          <w:szCs w:val="20"/>
          <w:color w:val="auto"/>
        </w:rPr>
      </w:pPr>
    </w:p>
    <w:p>
      <w:pPr>
        <w:ind w:right="1739"/>
        <w:spacing w:after="0" w:line="306" w:lineRule="auto"/>
        <w:rPr>
          <w:sz w:val="20"/>
          <w:szCs w:val="20"/>
          <w:color w:val="auto"/>
        </w:rPr>
      </w:pPr>
      <w:r>
        <w:rPr>
          <w:rFonts w:ascii="Arial" w:cs="Arial" w:eastAsia="Arial" w:hAnsi="Arial"/>
          <w:sz w:val="16"/>
          <w:szCs w:val="16"/>
          <w:color w:val="auto"/>
        </w:rPr>
        <w:t>If the Insured shall hold, as indemnity against any loss covered hereunder, any valid and enforceable insurance or suretyship, the Underwriter shall be liable hereunder only for such amount of such loss which is in excess of the amount of such other insurance or suretyship, not exceeding, however, the Limit of Liability of this bond applicable to such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12. DEDUCTIBLE</w:t>
      </w:r>
    </w:p>
    <w:p>
      <w:pPr>
        <w:spacing w:after="0" w:line="252" w:lineRule="exact"/>
        <w:rPr>
          <w:sz w:val="20"/>
          <w:szCs w:val="20"/>
          <w:color w:val="auto"/>
        </w:rPr>
      </w:pPr>
    </w:p>
    <w:p>
      <w:pPr>
        <w:ind w:right="1659"/>
        <w:spacing w:after="0" w:line="253" w:lineRule="auto"/>
        <w:rPr>
          <w:sz w:val="20"/>
          <w:szCs w:val="20"/>
          <w:color w:val="auto"/>
        </w:rPr>
      </w:pPr>
      <w:r>
        <w:rPr>
          <w:rFonts w:ascii="Arial" w:cs="Arial" w:eastAsia="Arial" w:hAnsi="Arial"/>
          <w:sz w:val="18"/>
          <w:szCs w:val="18"/>
          <w:color w:val="auto"/>
        </w:rPr>
        <w:t>The Underwriter shall not be liable under any of the Insuring Agreements of this bond on account of loss as specified, respectively, in sub-sections (a), (b), (c), (d) and (e) of Section 9, NON-REDUCTION AND NON- ACCUMULATION OF LIABILITY AND TOTAL LIABILITY, unless the amount of such loss, after deducting the net amount of all reimbursement and/or recovery obtained or made by the Insured, other than from any bond or policy of insurance issued by an insurance company and covering such loss, or by the Underwriter on account thereof prior to payment by the Underwriter of such loss, shall exceed the Deductible Amount set forth in Item 3 of the Declarations hereof (herein called Deductible Amount) and then for such excess only, but in no event for more than the applicable Limit of Liability stated in Item 3 of the Declarations.</w:t>
      </w:r>
    </w:p>
    <w:p>
      <w:pPr>
        <w:spacing w:after="0" w:line="226" w:lineRule="exact"/>
        <w:rPr>
          <w:sz w:val="20"/>
          <w:szCs w:val="20"/>
          <w:color w:val="auto"/>
        </w:rPr>
      </w:pPr>
    </w:p>
    <w:p>
      <w:pPr>
        <w:ind w:right="1759"/>
        <w:spacing w:after="0" w:line="268" w:lineRule="auto"/>
        <w:rPr>
          <w:sz w:val="20"/>
          <w:szCs w:val="20"/>
          <w:color w:val="auto"/>
        </w:rPr>
      </w:pPr>
      <w:r>
        <w:rPr>
          <w:rFonts w:ascii="Arial" w:cs="Arial" w:eastAsia="Arial" w:hAnsi="Arial"/>
          <w:sz w:val="18"/>
          <w:szCs w:val="18"/>
          <w:color w:val="auto"/>
        </w:rPr>
        <w:t>The Insured will bear, in addition to the Deductible Amount, premiums on Lost Instrument Bonds as set forth in Section 7.</w:t>
      </w:r>
    </w:p>
    <w:p>
      <w:pPr>
        <w:spacing w:after="0" w:line="213" w:lineRule="exact"/>
        <w:rPr>
          <w:sz w:val="20"/>
          <w:szCs w:val="20"/>
          <w:color w:val="auto"/>
        </w:rPr>
      </w:pPr>
    </w:p>
    <w:p>
      <w:pPr>
        <w:ind w:right="1819"/>
        <w:spacing w:after="0" w:line="268" w:lineRule="auto"/>
        <w:rPr>
          <w:sz w:val="20"/>
          <w:szCs w:val="20"/>
          <w:color w:val="auto"/>
        </w:rPr>
      </w:pPr>
      <w:r>
        <w:rPr>
          <w:rFonts w:ascii="Arial" w:cs="Arial" w:eastAsia="Arial" w:hAnsi="Arial"/>
          <w:sz w:val="18"/>
          <w:szCs w:val="18"/>
          <w:color w:val="auto"/>
        </w:rPr>
        <w:t>There shall be no deductible applicable to any loss under Insuring Agreement A sustained by any Investment Company named as Insured herein.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13. TERMINATION</w:t>
      </w:r>
    </w:p>
    <w:p>
      <w:pPr>
        <w:spacing w:after="0" w:line="252" w:lineRule="exact"/>
        <w:rPr>
          <w:sz w:val="20"/>
          <w:szCs w:val="20"/>
          <w:color w:val="auto"/>
        </w:rPr>
      </w:pPr>
    </w:p>
    <w:p>
      <w:pPr>
        <w:ind w:right="1599"/>
        <w:spacing w:after="0" w:line="289" w:lineRule="auto"/>
        <w:rPr>
          <w:sz w:val="20"/>
          <w:szCs w:val="20"/>
          <w:color w:val="auto"/>
        </w:rPr>
      </w:pPr>
      <w:r>
        <w:rPr>
          <w:rFonts w:ascii="Arial" w:cs="Arial" w:eastAsia="Arial" w:hAnsi="Arial"/>
          <w:sz w:val="16"/>
          <w:szCs w:val="16"/>
          <w:color w:val="auto"/>
        </w:rPr>
        <w:t>The Underwriter may terminate this bond as an entirety by furnishing written notice specifying the termination date which cannot be prior to 60 days after the receipt of such written notice by each Investment Company named as Insured and the Securities and Exchange Commission, Washington, D.C. The Insured may terminate this bond as an entirety by furnishing written notice to the Underwriter. When the Insured cancels, the Insured shall furnish written notice to the Securities and Exchange Commission, Washington. D.C. prior to 60 days before the effective date of the termination. The Underwriter shall notify all other Investment Companies named as Insured of the receipt of such termination notice and the termination cannot be effective prior to 60 days after receipt of written notice by all other Investment Companies. Premiums are earned until the termination date as set forth herein.</w:t>
      </w:r>
    </w:p>
    <w:p>
      <w:pPr>
        <w:spacing w:after="0" w:line="199" w:lineRule="exact"/>
        <w:rPr>
          <w:sz w:val="20"/>
          <w:szCs w:val="20"/>
          <w:color w:val="auto"/>
        </w:rPr>
      </w:pPr>
    </w:p>
    <w:p>
      <w:pPr>
        <w:ind w:right="1699"/>
        <w:spacing w:after="0" w:line="252" w:lineRule="auto"/>
        <w:rPr>
          <w:sz w:val="20"/>
          <w:szCs w:val="20"/>
          <w:color w:val="auto"/>
        </w:rPr>
      </w:pPr>
      <w:r>
        <w:rPr>
          <w:rFonts w:ascii="Arial" w:cs="Arial" w:eastAsia="Arial" w:hAnsi="Arial"/>
          <w:sz w:val="18"/>
          <w:szCs w:val="18"/>
          <w:color w:val="auto"/>
        </w:rPr>
        <w:t>This Bond will terminate as to any one Insured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ind w:right="1879"/>
        <w:spacing w:after="0" w:line="323" w:lineRule="auto"/>
        <w:rPr>
          <w:sz w:val="20"/>
          <w:szCs w:val="20"/>
          <w:color w:val="auto"/>
        </w:rPr>
      </w:pPr>
      <w:r>
        <w:rPr>
          <w:rFonts w:ascii="Arial" w:cs="Arial" w:eastAsia="Arial" w:hAnsi="Arial"/>
          <w:sz w:val="16"/>
          <w:szCs w:val="16"/>
          <w:color w:val="auto"/>
        </w:rPr>
        <w:t>The Underwriter shall refund the unearned premium computed at short rates in accordance with the standard short rate cancellation tables if terminated by the Insured or pro rata if terminated for any other reason.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This Bond shall terminate</w:t>
      </w:r>
    </w:p>
    <w:p>
      <w:pPr>
        <w:spacing w:after="0" w:line="252" w:lineRule="exact"/>
        <w:rPr>
          <w:sz w:val="20"/>
          <w:szCs w:val="20"/>
          <w:color w:val="auto"/>
        </w:rPr>
      </w:pPr>
    </w:p>
    <w:p>
      <w:pPr>
        <w:ind w:right="1679" w:firstLine="8"/>
        <w:spacing w:after="0" w:line="256" w:lineRule="auto"/>
        <w:tabs>
          <w:tab w:leader="none" w:pos="239"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to any Employee as soon as any partner, officer or supervisory Employee of the Insured, who is not in collusion with such Employee, shall learn of any dishonest or fraudulent act(s), including Larceny or Embezzlement on the part of such Employee without prejudice to the loss of any Property then in transit in the custody of such Employee (See Section 16[d]), or</w:t>
      </w:r>
    </w:p>
    <w:p>
      <w:pPr>
        <w:spacing w:after="0" w:line="224" w:lineRule="exact"/>
        <w:rPr>
          <w:rFonts w:ascii="Arial" w:cs="Arial" w:eastAsia="Arial" w:hAnsi="Arial"/>
          <w:sz w:val="18"/>
          <w:szCs w:val="18"/>
          <w:color w:val="auto"/>
        </w:rPr>
      </w:pPr>
    </w:p>
    <w:p>
      <w:pPr>
        <w:ind w:right="1619" w:firstLine="8"/>
        <w:spacing w:after="0" w:line="332"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as to any Employee 60 days after receipt by each Insured and by the Securities and Exchange Commission of a written notice from the Underwriter of its desire to terminate this bond as to such Employee, or</w:t>
      </w:r>
    </w:p>
    <w:p>
      <w:pPr>
        <w:spacing w:after="0" w:line="166" w:lineRule="exact"/>
        <w:rPr>
          <w:rFonts w:ascii="Arial" w:cs="Arial" w:eastAsia="Arial" w:hAnsi="Arial"/>
          <w:sz w:val="16"/>
          <w:szCs w:val="16"/>
          <w:color w:val="auto"/>
        </w:rPr>
      </w:pPr>
    </w:p>
    <w:p>
      <w:pPr>
        <w:jc w:val="both"/>
        <w:ind w:right="1639" w:firstLine="8"/>
        <w:spacing w:after="0" w:line="323" w:lineRule="auto"/>
        <w:tabs>
          <w:tab w:leader="none" w:pos="239" w:val="left"/>
        </w:tabs>
        <w:numPr>
          <w:ilvl w:val="0"/>
          <w:numId w:val="20"/>
        </w:numPr>
        <w:rPr>
          <w:rFonts w:ascii="Arial" w:cs="Arial" w:eastAsia="Arial" w:hAnsi="Arial"/>
          <w:sz w:val="15"/>
          <w:szCs w:val="15"/>
          <w:color w:val="auto"/>
        </w:rPr>
      </w:pPr>
      <w:r>
        <w:rPr>
          <w:rFonts w:ascii="Arial" w:cs="Arial" w:eastAsia="Arial" w:hAnsi="Arial"/>
          <w:sz w:val="15"/>
          <w:szCs w:val="15"/>
          <w:color w:val="auto"/>
        </w:rPr>
        <w:t>as to any person, who is a partner, officer or employee of any Electronic Data Processor covered 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w:t>
      </w:r>
    </w:p>
    <w:p>
      <w:pPr>
        <w:sectPr>
          <w:pgSz w:w="11900" w:h="16838" w:orient="portrait"/>
          <w:cols w:equalWidth="0" w:num="1">
            <w:col w:w="10219"/>
          </w:cols>
          <w:pgMar w:left="240" w:top="590" w:right="1440" w:bottom="0" w:gutter="0" w:footer="0" w:header="0"/>
        </w:sectPr>
      </w:pPr>
    </w:p>
    <w:bookmarkStart w:id="9" w:name="page10"/>
    <w:bookmarkEnd w:id="9"/>
    <w:p>
      <w:pPr>
        <w:ind w:right="1619"/>
        <w:spacing w:after="0" w:line="256" w:lineRule="auto"/>
        <w:rPr>
          <w:sz w:val="20"/>
          <w:szCs w:val="20"/>
          <w:color w:val="auto"/>
        </w:rPr>
      </w:pPr>
      <w:r>
        <w:rPr>
          <w:rFonts w:ascii="Arial" w:cs="Arial" w:eastAsia="Arial" w:hAnsi="Arial"/>
          <w:sz w:val="18"/>
          <w:szCs w:val="18"/>
          <w:color w:val="auto"/>
        </w:rPr>
        <w:t>At any time prior to the termination or cancellation of this bond as an entirety, whether by the Insured or the Underwriter, the Insured may give to the Underwriter notice that it desires under this bond an additional period of 12 months within which to discover loss sustained by the Insured prior to the effective date of such termination or cancellation and shall pay an additional premium therefor.</w:t>
      </w:r>
    </w:p>
    <w:p>
      <w:pPr>
        <w:spacing w:after="0" w:line="224" w:lineRule="exact"/>
        <w:rPr>
          <w:sz w:val="20"/>
          <w:szCs w:val="20"/>
          <w:color w:val="auto"/>
        </w:rPr>
      </w:pPr>
    </w:p>
    <w:p>
      <w:pPr>
        <w:ind w:right="1819"/>
        <w:spacing w:after="0" w:line="268" w:lineRule="auto"/>
        <w:rPr>
          <w:sz w:val="20"/>
          <w:szCs w:val="20"/>
          <w:color w:val="auto"/>
        </w:rPr>
      </w:pPr>
      <w:r>
        <w:rPr>
          <w:rFonts w:ascii="Arial" w:cs="Arial" w:eastAsia="Arial" w:hAnsi="Arial"/>
          <w:sz w:val="18"/>
          <w:szCs w:val="18"/>
          <w:color w:val="auto"/>
        </w:rPr>
        <w:t>Upon receipt of such notice from the Insured, the Underwriter shall give its written consent thereto; provided, however, that such additional period of time shall terminate immediately;</w:t>
      </w:r>
    </w:p>
    <w:p>
      <w:pPr>
        <w:spacing w:after="0" w:line="213" w:lineRule="exact"/>
        <w:rPr>
          <w:sz w:val="20"/>
          <w:szCs w:val="20"/>
          <w:color w:val="auto"/>
        </w:rPr>
      </w:pPr>
    </w:p>
    <w:p>
      <w:pPr>
        <w:ind w:right="1779" w:firstLine="8"/>
        <w:spacing w:after="0" w:line="259" w:lineRule="auto"/>
        <w:tabs>
          <w:tab w:leader="none" w:pos="2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on the effective date of any other insurance obtained by the Insured, its successor in business or any other party, replacing in whole or in part the insurance afforded by this bond, whether or not such other insurance provides coverage for loss sustained prior to its effective date, or</w:t>
      </w:r>
    </w:p>
    <w:p>
      <w:pPr>
        <w:spacing w:after="0" w:line="221" w:lineRule="exact"/>
        <w:rPr>
          <w:rFonts w:ascii="Arial" w:cs="Arial" w:eastAsia="Arial" w:hAnsi="Arial"/>
          <w:sz w:val="18"/>
          <w:szCs w:val="18"/>
          <w:color w:val="auto"/>
        </w:rPr>
      </w:pPr>
    </w:p>
    <w:p>
      <w:pPr>
        <w:ind w:right="1959" w:firstLine="8"/>
        <w:spacing w:after="0" w:line="268" w:lineRule="auto"/>
        <w:tabs>
          <w:tab w:leader="none" w:pos="249" w:val="left"/>
        </w:tabs>
        <w:numPr>
          <w:ilvl w:val="0"/>
          <w:numId w:val="21"/>
        </w:numPr>
        <w:rPr>
          <w:rFonts w:ascii="Arial" w:cs="Arial" w:eastAsia="Arial" w:hAnsi="Arial"/>
          <w:sz w:val="18"/>
          <w:szCs w:val="18"/>
          <w:color w:val="auto"/>
        </w:rPr>
      </w:pPr>
      <w:r>
        <w:rPr>
          <w:rFonts w:ascii="Arial" w:cs="Arial" w:eastAsia="Arial" w:hAnsi="Arial"/>
          <w:sz w:val="18"/>
          <w:szCs w:val="18"/>
          <w:color w:val="auto"/>
        </w:rPr>
        <w:t>upon takeover of the Insured's business by any State or Federal official or agency, or by any receiver or liquidator, acting or appointed for this purpose</w:t>
      </w:r>
    </w:p>
    <w:p>
      <w:pPr>
        <w:spacing w:after="0" w:line="213" w:lineRule="exact"/>
        <w:rPr>
          <w:sz w:val="20"/>
          <w:szCs w:val="20"/>
          <w:color w:val="auto"/>
        </w:rPr>
      </w:pPr>
    </w:p>
    <w:p>
      <w:pPr>
        <w:ind w:right="1619"/>
        <w:spacing w:after="0" w:line="268" w:lineRule="auto"/>
        <w:rPr>
          <w:sz w:val="20"/>
          <w:szCs w:val="20"/>
          <w:color w:val="auto"/>
        </w:rPr>
      </w:pPr>
      <w:r>
        <w:rPr>
          <w:rFonts w:ascii="Arial" w:cs="Arial" w:eastAsia="Arial" w:hAnsi="Arial"/>
          <w:sz w:val="18"/>
          <w:szCs w:val="18"/>
          <w:color w:val="auto"/>
        </w:rPr>
        <w:t>without the necessity of the Underwriter giving notice of such termination. In the event that such additional period of time is terminated, as provided above, the Underwriter shall refund any unearned premium.</w:t>
      </w:r>
    </w:p>
    <w:p>
      <w:pPr>
        <w:spacing w:after="0" w:line="213" w:lineRule="exact"/>
        <w:rPr>
          <w:sz w:val="20"/>
          <w:szCs w:val="20"/>
          <w:color w:val="auto"/>
        </w:rPr>
      </w:pPr>
    </w:p>
    <w:p>
      <w:pPr>
        <w:ind w:right="1619"/>
        <w:spacing w:after="0" w:line="259" w:lineRule="auto"/>
        <w:rPr>
          <w:sz w:val="20"/>
          <w:szCs w:val="20"/>
          <w:color w:val="auto"/>
        </w:rPr>
      </w:pPr>
      <w:r>
        <w:rPr>
          <w:rFonts w:ascii="Arial" w:cs="Arial" w:eastAsia="Arial" w:hAnsi="Arial"/>
          <w:sz w:val="18"/>
          <w:szCs w:val="18"/>
          <w:color w:val="auto"/>
        </w:rPr>
        <w:t>The right to purchase such additional period for the discovery of loss may not be exercised by any State or Federal official or agency, or by any receiver or liquidator, acting or appointed to take over the Insured's business for the operation or for the liquidation thereof or for any other purpose.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15. CENTRAL HANDLING OF SECURITIES</w:t>
      </w:r>
    </w:p>
    <w:p>
      <w:pPr>
        <w:spacing w:after="0" w:line="252" w:lineRule="exact"/>
        <w:rPr>
          <w:sz w:val="20"/>
          <w:szCs w:val="20"/>
          <w:color w:val="auto"/>
        </w:rPr>
      </w:pPr>
    </w:p>
    <w:p>
      <w:pPr>
        <w:ind w:right="1799"/>
        <w:spacing w:after="0" w:line="298" w:lineRule="auto"/>
        <w:rPr>
          <w:sz w:val="20"/>
          <w:szCs w:val="20"/>
          <w:color w:val="auto"/>
        </w:rPr>
      </w:pPr>
      <w:r>
        <w:rPr>
          <w:rFonts w:ascii="Arial" w:cs="Arial" w:eastAsia="Arial" w:hAnsi="Arial"/>
          <w:sz w:val="16"/>
          <w:szCs w:val="16"/>
          <w:color w:val="auto"/>
        </w:rPr>
        <w:t>Securities included in the systems for the central handling of securities established and maintained by Depository Trust Company, Midwest Depository Trust Company, Pacific Securities Depository Trust Company, and Philadelphia Depository Trust Company, hereinafter called Corporations, to the extent of the Insured's interest therein as effective by the making of appropriate entries on the books and records of such Corporations shall be deemed to be Property.</w:t>
      </w:r>
    </w:p>
    <w:p>
      <w:pPr>
        <w:spacing w:after="0" w:line="194" w:lineRule="exact"/>
        <w:rPr>
          <w:sz w:val="20"/>
          <w:szCs w:val="20"/>
          <w:color w:val="auto"/>
        </w:rPr>
      </w:pPr>
    </w:p>
    <w:p>
      <w:pPr>
        <w:ind w:right="1659"/>
        <w:spacing w:after="0" w:line="289" w:lineRule="auto"/>
        <w:rPr>
          <w:sz w:val="20"/>
          <w:szCs w:val="20"/>
          <w:color w:val="auto"/>
        </w:rPr>
      </w:pPr>
      <w:r>
        <w:rPr>
          <w:rFonts w:ascii="Arial" w:cs="Arial" w:eastAsia="Arial" w:hAnsi="Arial"/>
          <w:sz w:val="16"/>
          <w:szCs w:val="16"/>
          <w:color w:val="auto"/>
        </w:rPr>
        <w:t>The words "Employee" and "Employees" shall be deemed to include the officers, partners, clerks and other employees of the New York Stock Exchange, Boston Stock Exchange, Midwest Stock Exchange, Pacific Stock Ex- change and Philadelphia Stock Exchange, hereinafter called Exchanges, and of the above named Corporations, and of any nominee in whose name is registered any security included within the systems for the central handling of securities established and maintained by such Corporations, and any employee of any recognized service company, while such officers, partners, clerks and other employees and employees of service companies perform services for such Corporations in the operation of such systems. For the purpose of the above definition a recognized service company shall be any company providing clerks or other personnel to said Exchanges or Corporation on a contract basis.</w:t>
      </w:r>
    </w:p>
    <w:p>
      <w:pPr>
        <w:spacing w:after="0" w:line="199" w:lineRule="exact"/>
        <w:rPr>
          <w:sz w:val="20"/>
          <w:szCs w:val="20"/>
          <w:color w:val="auto"/>
        </w:rPr>
      </w:pPr>
    </w:p>
    <w:p>
      <w:pPr>
        <w:ind w:right="1699"/>
        <w:spacing w:after="0" w:line="294" w:lineRule="auto"/>
        <w:rPr>
          <w:sz w:val="20"/>
          <w:szCs w:val="20"/>
          <w:color w:val="auto"/>
        </w:rPr>
      </w:pPr>
      <w:r>
        <w:rPr>
          <w:rFonts w:ascii="Arial" w:cs="Arial" w:eastAsia="Arial" w:hAnsi="Arial"/>
          <w:sz w:val="16"/>
          <w:szCs w:val="16"/>
          <w:color w:val="auto"/>
        </w:rPr>
        <w:t>The Underwriter shall not be liable on account of any loss(es) in connection with the central handling of securities within the systems established and maintained by such Corporations, unless such loss(es) shall be in excess of the amount(s) recoverable or recovered under any bond or policy of insurance indemnifying such Corporations, against such loss(es), and then the Underwriter shall be liable hereunder only for the Insured's share of such excess loss(es), but in no event for more than the Limit of Liability applicable hereunder.</w:t>
      </w:r>
    </w:p>
    <w:p>
      <w:pPr>
        <w:spacing w:after="0" w:line="197" w:lineRule="exact"/>
        <w:rPr>
          <w:sz w:val="20"/>
          <w:szCs w:val="20"/>
          <w:color w:val="auto"/>
        </w:rPr>
      </w:pPr>
    </w:p>
    <w:p>
      <w:pPr>
        <w:ind w:right="1619"/>
        <w:spacing w:after="0" w:line="287" w:lineRule="auto"/>
        <w:rPr>
          <w:sz w:val="20"/>
          <w:szCs w:val="20"/>
          <w:color w:val="auto"/>
        </w:rPr>
      </w:pPr>
      <w:r>
        <w:rPr>
          <w:rFonts w:ascii="Arial" w:cs="Arial" w:eastAsia="Arial" w:hAnsi="Arial"/>
          <w:sz w:val="16"/>
          <w:szCs w:val="16"/>
          <w:color w:val="auto"/>
        </w:rPr>
        <w:t>For the purpose of determining the Insured's share of excess loss(es) it shall be deemed that the Insured has an interest in any certificate representing any security included within such systems equivalent to the interest the Insured then has in all certificates representing the same security included within such systems and that such Corporations shall use their best judgement in apportioning the amount(s) recoverable or recovered under any bond or policy of insurance indemnifying such Corporations against such loss(es) in connection with the central handling of securities within such systems among all those having an interest as recorded by appropriate entries in the books and records of such Corporations in Property involved in such loss(es) on the basis that each such interest shall share in the amount(s) so recoverable or recovered in the ratio that the value of each such interest bears to the total value of all such interests and that the Insured's share of such excess loss(es) shall be the amount of the Insured's interest in such Property in excess of the amount(s) so apportioned to the Insured by such Corporations.</w:t>
      </w:r>
    </w:p>
    <w:p>
      <w:pPr>
        <w:spacing w:after="0" w:line="204" w:lineRule="exact"/>
        <w:rPr>
          <w:sz w:val="20"/>
          <w:szCs w:val="20"/>
          <w:color w:val="auto"/>
        </w:rPr>
      </w:pPr>
    </w:p>
    <w:p>
      <w:pPr>
        <w:ind w:right="1679"/>
        <w:spacing w:after="0" w:line="291" w:lineRule="auto"/>
        <w:rPr>
          <w:sz w:val="20"/>
          <w:szCs w:val="20"/>
          <w:color w:val="auto"/>
        </w:rPr>
      </w:pPr>
      <w:r>
        <w:rPr>
          <w:rFonts w:ascii="Arial" w:cs="Arial" w:eastAsia="Arial" w:hAnsi="Arial"/>
          <w:sz w:val="16"/>
          <w:szCs w:val="16"/>
          <w:color w:val="auto"/>
        </w:rPr>
        <w:t>This bond does not afford coverage in favor of such Corporations or Exchanges or any nominee in whose name is registered any security included within the systems for the central handling of securities established and maintained by such Corporations, and upon payment to the Insured by the Underwriter on account of any loss(es) within the systems, an assignment of such of the Insured's rights and causes of action as it may have against such Corporations or Exchanges shall to the extent of such payment, be given by the Insured to the Underwriter, and the Insured shall execute all papers necessary to secure to the Underwriter the rights provided for herein.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16. ADDITIONAL COMPANIES INCLUDED AS INSURED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If more than one corporation, co-partnership or person or any combination of them be included as the Insured herein:</w:t>
      </w:r>
    </w:p>
    <w:p>
      <w:pPr>
        <w:spacing w:after="0" w:line="275" w:lineRule="exact"/>
        <w:rPr>
          <w:sz w:val="20"/>
          <w:szCs w:val="20"/>
          <w:color w:val="auto"/>
        </w:rPr>
      </w:pPr>
    </w:p>
    <w:p>
      <w:pPr>
        <w:jc w:val="both"/>
        <w:ind w:right="1759" w:firstLine="8"/>
        <w:spacing w:after="0" w:line="332" w:lineRule="auto"/>
        <w:tabs>
          <w:tab w:leader="none" w:pos="239"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total liability of the Underwriter hereunder for loss or losses sustained by any one or more or all of them shall not exceed the limit for which the Underwriter would be liable hereunder if all such loss were sustained by any one of them,</w:t>
      </w:r>
    </w:p>
    <w:p>
      <w:pPr>
        <w:spacing w:after="0" w:line="166" w:lineRule="exact"/>
        <w:rPr>
          <w:rFonts w:ascii="Arial" w:cs="Arial" w:eastAsia="Arial" w:hAnsi="Arial"/>
          <w:sz w:val="16"/>
          <w:szCs w:val="16"/>
          <w:color w:val="auto"/>
        </w:rPr>
      </w:pPr>
    </w:p>
    <w:p>
      <w:pPr>
        <w:ind w:right="1619" w:firstLine="8"/>
        <w:spacing w:after="0" w:line="335" w:lineRule="auto"/>
        <w:tabs>
          <w:tab w:leader="none" w:pos="249"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one first named herein shall be deemed authorized to make, adjust and receive and enforce payment of all claims hereunder and shall be deemed to be the agent of the others for such purposes and for the giving or receiving of any notice required or permitted to be given by the terms hereof, provided that the Underwriter shall furnish each named Investment</w:t>
      </w:r>
    </w:p>
    <w:p>
      <w:pPr>
        <w:sectPr>
          <w:pgSz w:w="11900" w:h="16838" w:orient="portrait"/>
          <w:cols w:equalWidth="0" w:num="1">
            <w:col w:w="10219"/>
          </w:cols>
          <w:pgMar w:left="240" w:top="590" w:right="1440" w:bottom="0" w:gutter="0" w:footer="0" w:header="0"/>
        </w:sectPr>
      </w:pPr>
    </w:p>
    <w:bookmarkStart w:id="10" w:name="page11"/>
    <w:bookmarkEnd w:id="10"/>
    <w:p>
      <w:pPr>
        <w:ind w:right="2019"/>
        <w:spacing w:after="0" w:line="268" w:lineRule="auto"/>
        <w:rPr>
          <w:sz w:val="20"/>
          <w:szCs w:val="20"/>
          <w:color w:val="auto"/>
        </w:rPr>
      </w:pPr>
      <w:r>
        <w:rPr>
          <w:rFonts w:ascii="Arial" w:cs="Arial" w:eastAsia="Arial" w:hAnsi="Arial"/>
          <w:sz w:val="18"/>
          <w:szCs w:val="18"/>
          <w:color w:val="auto"/>
        </w:rPr>
        <w:t>Company with a copy of the bond and with any amendment thereto, together with a copy of each formal filing of the settlement of each such claim prior to the execution of such settlement,</w:t>
      </w:r>
    </w:p>
    <w:p>
      <w:pPr>
        <w:spacing w:after="0" w:line="213" w:lineRule="exact"/>
        <w:rPr>
          <w:sz w:val="20"/>
          <w:szCs w:val="20"/>
          <w:color w:val="auto"/>
        </w:rPr>
      </w:pPr>
    </w:p>
    <w:p>
      <w:pPr>
        <w:ind w:right="1679" w:firstLine="8"/>
        <w:spacing w:after="0" w:line="268"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Underwriter shall not be responsible for the proper application of any payment made hereunder to said first named Insured,</w:t>
      </w:r>
    </w:p>
    <w:p>
      <w:pPr>
        <w:spacing w:after="0" w:line="212" w:lineRule="exact"/>
        <w:rPr>
          <w:rFonts w:ascii="Arial" w:cs="Arial" w:eastAsia="Arial" w:hAnsi="Arial"/>
          <w:sz w:val="18"/>
          <w:szCs w:val="18"/>
          <w:color w:val="auto"/>
        </w:rPr>
      </w:pPr>
    </w:p>
    <w:p>
      <w:pPr>
        <w:ind w:right="1759" w:firstLine="8"/>
        <w:spacing w:after="0" w:line="332" w:lineRule="auto"/>
        <w:tabs>
          <w:tab w:leader="none" w:pos="249" w:val="left"/>
        </w:tabs>
        <w:numPr>
          <w:ilvl w:val="0"/>
          <w:numId w:val="23"/>
        </w:numPr>
        <w:rPr>
          <w:rFonts w:ascii="Arial" w:cs="Arial" w:eastAsia="Arial" w:hAnsi="Arial"/>
          <w:sz w:val="16"/>
          <w:szCs w:val="16"/>
          <w:color w:val="auto"/>
        </w:rPr>
      </w:pPr>
      <w:r>
        <w:rPr>
          <w:rFonts w:ascii="Arial" w:cs="Arial" w:eastAsia="Arial" w:hAnsi="Arial"/>
          <w:sz w:val="16"/>
          <w:szCs w:val="16"/>
          <w:color w:val="auto"/>
        </w:rPr>
        <w:t>knowledge possessed or discovery made by any partner, officer or supervisory Employee of any Insured shall for the purposes of Section 4 and Section 13 of this bond constitute knowledge or discovery by all the Insured, and</w:t>
      </w:r>
    </w:p>
    <w:p>
      <w:pPr>
        <w:spacing w:after="0" w:line="166" w:lineRule="exact"/>
        <w:rPr>
          <w:rFonts w:ascii="Arial" w:cs="Arial" w:eastAsia="Arial" w:hAnsi="Arial"/>
          <w:sz w:val="16"/>
          <w:szCs w:val="16"/>
          <w:color w:val="auto"/>
        </w:rPr>
      </w:pPr>
    </w:p>
    <w:p>
      <w:pPr>
        <w:ind w:right="2079" w:firstLine="8"/>
        <w:spacing w:after="0" w:line="268"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the first named Insured ceases for any reason to be covered under this bond, then the Insured next named shall thereafter be considered as the first named Insured for the purposes of this bond.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17. NOTICE AND CHANGE OF CONTROL</w:t>
      </w:r>
    </w:p>
    <w:p>
      <w:pPr>
        <w:spacing w:after="0" w:line="252" w:lineRule="exact"/>
        <w:rPr>
          <w:sz w:val="20"/>
          <w:szCs w:val="20"/>
          <w:color w:val="auto"/>
        </w:rPr>
      </w:pPr>
    </w:p>
    <w:p>
      <w:pPr>
        <w:ind w:right="1819"/>
        <w:spacing w:after="0" w:line="306" w:lineRule="auto"/>
        <w:rPr>
          <w:sz w:val="20"/>
          <w:szCs w:val="20"/>
          <w:color w:val="auto"/>
        </w:rPr>
      </w:pPr>
      <w:r>
        <w:rPr>
          <w:rFonts w:ascii="Arial" w:cs="Arial" w:eastAsia="Arial" w:hAnsi="Arial"/>
          <w:sz w:val="16"/>
          <w:szCs w:val="16"/>
          <w:color w:val="auto"/>
        </w:rPr>
        <w:t>Upon the Insured's obtaining knowledge of a transfer of its outstanding voting securities which results in a change in control (as set forth in Section 2(a) (9) of the Investment Company Act of 1940) of the Insured, the Insured shall within thirty (30) days of such knowledge give written notice to the Underwriter setting forth:</w:t>
      </w:r>
    </w:p>
    <w:p>
      <w:pPr>
        <w:spacing w:after="0" w:line="188" w:lineRule="exact"/>
        <w:rPr>
          <w:sz w:val="20"/>
          <w:szCs w:val="20"/>
          <w:color w:val="auto"/>
        </w:rPr>
      </w:pPr>
    </w:p>
    <w:p>
      <w:pPr>
        <w:ind w:right="1599" w:firstLine="8"/>
        <w:spacing w:after="0" w:line="268" w:lineRule="auto"/>
        <w:tabs>
          <w:tab w:leader="none" w:pos="23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names of the transferors and transferees (or the names of the beneficial owners if the voting securities are requested in another name), and</w:t>
      </w:r>
    </w:p>
    <w:p>
      <w:pPr>
        <w:spacing w:after="0" w:line="212" w:lineRule="exact"/>
        <w:rPr>
          <w:rFonts w:ascii="Arial" w:cs="Arial" w:eastAsia="Arial" w:hAnsi="Arial"/>
          <w:sz w:val="18"/>
          <w:szCs w:val="18"/>
          <w:color w:val="auto"/>
        </w:rPr>
      </w:pPr>
    </w:p>
    <w:p>
      <w:pPr>
        <w:ind w:right="2019" w:firstLine="8"/>
        <w:spacing w:after="0" w:line="268" w:lineRule="auto"/>
        <w:tabs>
          <w:tab w:leader="none" w:pos="249"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voting securities owned by the transferors and the transferees (or the beneficial owners), both immediately before and after the transfer, and</w:t>
      </w:r>
    </w:p>
    <w:p>
      <w:pPr>
        <w:spacing w:after="0" w:line="212" w:lineRule="exact"/>
        <w:rPr>
          <w:rFonts w:ascii="Arial" w:cs="Arial" w:eastAsia="Arial" w:hAnsi="Arial"/>
          <w:sz w:val="18"/>
          <w:szCs w:val="18"/>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total number of outstanding voting securities.</w:t>
      </w:r>
    </w:p>
    <w:p>
      <w:pPr>
        <w:spacing w:after="0" w:line="252" w:lineRule="exact"/>
        <w:rPr>
          <w:sz w:val="20"/>
          <w:szCs w:val="20"/>
          <w:color w:val="auto"/>
        </w:rPr>
      </w:pPr>
    </w:p>
    <w:p>
      <w:pPr>
        <w:ind w:right="1599"/>
        <w:spacing w:after="0" w:line="268" w:lineRule="auto"/>
        <w:rPr>
          <w:sz w:val="20"/>
          <w:szCs w:val="20"/>
          <w:color w:val="auto"/>
        </w:rPr>
      </w:pPr>
      <w:r>
        <w:rPr>
          <w:rFonts w:ascii="Arial" w:cs="Arial" w:eastAsia="Arial" w:hAnsi="Arial"/>
          <w:sz w:val="18"/>
          <w:szCs w:val="18"/>
          <w:color w:val="auto"/>
        </w:rPr>
        <w:t>As used in this section, control means the power to exercise a controlling influence over the management or policies of the Insured.</w:t>
      </w:r>
    </w:p>
    <w:p>
      <w:pPr>
        <w:spacing w:after="0" w:line="213" w:lineRule="exact"/>
        <w:rPr>
          <w:sz w:val="20"/>
          <w:szCs w:val="20"/>
          <w:color w:val="auto"/>
        </w:rPr>
      </w:pPr>
    </w:p>
    <w:p>
      <w:pPr>
        <w:ind w:right="1939"/>
        <w:spacing w:after="0" w:line="254" w:lineRule="auto"/>
        <w:rPr>
          <w:sz w:val="20"/>
          <w:szCs w:val="20"/>
          <w:color w:val="auto"/>
        </w:rPr>
      </w:pPr>
      <w:r>
        <w:rPr>
          <w:rFonts w:ascii="Arial" w:cs="Arial" w:eastAsia="Arial" w:hAnsi="Arial"/>
          <w:sz w:val="18"/>
          <w:szCs w:val="18"/>
          <w:color w:val="auto"/>
        </w:rPr>
        <w:t>Failure to give the required notice shall result in termination of coverage of this bond, effective upon the date of stock transfer for any loss in which any transferee is concerned or implicated.</w:t>
      </w:r>
    </w:p>
    <w:p>
      <w:pPr>
        <w:spacing w:after="0"/>
        <w:rPr>
          <w:sz w:val="20"/>
          <w:szCs w:val="20"/>
          <w:color w:val="auto"/>
        </w:rPr>
      </w:pPr>
      <w:r>
        <w:rPr>
          <w:rFonts w:ascii="Arial" w:cs="Arial" w:eastAsia="Arial" w:hAnsi="Arial"/>
          <w:sz w:val="18"/>
          <w:szCs w:val="18"/>
          <w:color w:val="auto"/>
        </w:rPr>
        <w:t>Such notice is not required to be given in the case of an Insured which is an Investment Company.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SECTION 18. CHANGE OR MODIFICATION</w:t>
      </w:r>
    </w:p>
    <w:p>
      <w:pPr>
        <w:spacing w:after="0" w:line="252" w:lineRule="exact"/>
        <w:rPr>
          <w:sz w:val="20"/>
          <w:szCs w:val="20"/>
          <w:color w:val="auto"/>
        </w:rPr>
      </w:pPr>
    </w:p>
    <w:p>
      <w:pPr>
        <w:ind w:right="1639"/>
        <w:spacing w:after="0" w:line="282" w:lineRule="auto"/>
        <w:rPr>
          <w:sz w:val="20"/>
          <w:szCs w:val="20"/>
          <w:color w:val="auto"/>
        </w:rPr>
      </w:pPr>
      <w:r>
        <w:rPr>
          <w:rFonts w:ascii="Arial" w:cs="Arial" w:eastAsia="Arial" w:hAnsi="Arial"/>
          <w:sz w:val="16"/>
          <w:szCs w:val="16"/>
          <w:color w:val="auto"/>
        </w:rPr>
        <w:t>This bond or any instrument amending or effecting same may not be changed or modified orally. No changes in or modification thereof shall be effective unless made by written endorsement issued to form a part hereof over the signature of the Underwriter's Authorized Representative. When a bond covers only one Investment Company no change or modification which would adversely affect the rights of the Investment Company shall be effective prior to 60 days after written notification has been furnished to the Securities and Exchange Commission, Washington, D.C. by the Insured or by the Underwriter. If more than one Investment Company is named as the Insured herein, the Underwriter shall give written notice to each Investment Company and to the Securities and Exchange Commission, Washington, D.C. not less than 60 days prior to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effective date of any change or modification which would adversely affect the rights of such Investment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41206 (9/84)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431165</wp:posOffset>
            </wp:positionV>
            <wp:extent cx="550545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#1</w:t>
      </w:r>
    </w:p>
    <w:p>
      <w:pPr>
        <w:spacing w:after="0" w:line="252" w:lineRule="exact"/>
        <w:rPr>
          <w:sz w:val="20"/>
          <w:szCs w:val="20"/>
          <w:color w:val="auto"/>
        </w:rPr>
      </w:pPr>
    </w:p>
    <w:p>
      <w:pPr>
        <w:spacing w:after="0"/>
        <w:tabs>
          <w:tab w:leader="none" w:pos="4680" w:val="left"/>
        </w:tabs>
        <w:rPr>
          <w:sz w:val="20"/>
          <w:szCs w:val="20"/>
          <w:color w:val="auto"/>
        </w:rPr>
      </w:pPr>
      <w:r>
        <w:rPr>
          <w:rFonts w:ascii="Arial" w:cs="Arial" w:eastAsia="Arial" w:hAnsi="Arial"/>
          <w:sz w:val="18"/>
          <w:szCs w:val="18"/>
          <w:color w:val="auto"/>
        </w:rPr>
        <w:t>This endorsement, effective 12:01 a.m.,</w:t>
      </w:r>
      <w:r>
        <w:rPr>
          <w:sz w:val="20"/>
          <w:szCs w:val="20"/>
          <w:color w:val="auto"/>
        </w:rPr>
        <w:tab/>
      </w: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21"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6"/>
          <w:szCs w:val="16"/>
          <w:b w:val="1"/>
          <w:bCs w:val="1"/>
          <w:color w:val="auto"/>
        </w:rPr>
        <w:t>501-00-29</w:t>
      </w:r>
    </w:p>
    <w:p>
      <w:pPr>
        <w:spacing w:after="0" w:line="24" w:lineRule="exact"/>
        <w:rPr>
          <w:sz w:val="20"/>
          <w:szCs w:val="20"/>
          <w:color w:val="auto"/>
        </w:rPr>
      </w:pPr>
    </w:p>
    <w:p>
      <w:pPr>
        <w:spacing w:after="0"/>
        <w:tabs>
          <w:tab w:leader="none" w:pos="232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color w:val="auto"/>
        </w:rPr>
        <w:t>PENNANTPARK INVESTMENT CORPORATION</w:t>
      </w:r>
    </w:p>
    <w:p>
      <w:pPr>
        <w:sectPr>
          <w:pgSz w:w="11900" w:h="16838" w:orient="portrait"/>
          <w:cols w:equalWidth="0" w:num="1">
            <w:col w:w="10219"/>
          </w:cols>
          <w:pgMar w:left="240" w:top="131" w:right="1440" w:bottom="0" w:gutter="0" w:footer="0" w:header="0"/>
        </w:sectPr>
      </w:pP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6" w:lineRule="exact"/>
        <w:rPr>
          <w:sz w:val="20"/>
          <w:szCs w:val="20"/>
          <w:color w:val="auto"/>
        </w:rPr>
      </w:pPr>
    </w:p>
    <w:p>
      <w:pPr>
        <w:sectPr>
          <w:pgSz w:w="11900" w:h="16838" w:orient="portrait"/>
          <w:cols w:equalWidth="0" w:num="2">
            <w:col w:w="1620" w:space="720"/>
            <w:col w:w="7879"/>
          </w:cols>
          <w:pgMar w:left="240" w:top="131" w:right="1440" w:bottom="0" w:gutter="0" w:footer="0" w:header="0"/>
          <w:type w:val="continuous"/>
        </w:sectPr>
      </w:pPr>
    </w:p>
    <w:p>
      <w:pPr>
        <w:spacing w:after="0" w:line="312" w:lineRule="exact"/>
        <w:rPr>
          <w:sz w:val="20"/>
          <w:szCs w:val="20"/>
          <w:color w:val="auto"/>
        </w:rPr>
      </w:pPr>
    </w:p>
    <w:p>
      <w:pPr>
        <w:ind w:left="2960"/>
        <w:spacing w:after="0"/>
        <w:rPr>
          <w:sz w:val="20"/>
          <w:szCs w:val="20"/>
          <w:color w:val="auto"/>
        </w:rPr>
      </w:pPr>
      <w:r>
        <w:rPr>
          <w:rFonts w:ascii="Arial" w:cs="Arial" w:eastAsia="Arial" w:hAnsi="Arial"/>
          <w:sz w:val="16"/>
          <w:szCs w:val="16"/>
          <w:b w:val="1"/>
          <w:bCs w:val="1"/>
          <w:color w:val="auto"/>
        </w:rPr>
        <w:t>AMENDED TERMINATION (SEC)</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ectPr>
          <w:pgSz w:w="11900" w:h="16838" w:orient="portrait"/>
          <w:cols w:equalWidth="0" w:num="1">
            <w:col w:w="10219"/>
          </w:cols>
          <w:pgMar w:left="240" w:top="131" w:right="1440" w:bottom="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1719"/>
        <w:spacing w:after="0" w:line="268" w:lineRule="auto"/>
        <w:rPr>
          <w:sz w:val="20"/>
          <w:szCs w:val="20"/>
          <w:color w:val="auto"/>
        </w:rPr>
      </w:pPr>
      <w:r>
        <w:rPr>
          <w:rFonts w:ascii="Arial" w:cs="Arial" w:eastAsia="Arial" w:hAnsi="Arial"/>
          <w:sz w:val="18"/>
          <w:szCs w:val="18"/>
          <w:color w:val="auto"/>
        </w:rPr>
        <w:t>The attached bond is hereby amended by deleting Section 13., TERMINATION, in its entirety and substituting the following:</w:t>
      </w:r>
    </w:p>
    <w:p>
      <w:pPr>
        <w:spacing w:after="0" w:line="200" w:lineRule="exact"/>
        <w:rPr>
          <w:sz w:val="20"/>
          <w:szCs w:val="20"/>
          <w:color w:val="auto"/>
        </w:rPr>
      </w:pPr>
    </w:p>
    <w:p>
      <w:pPr>
        <w:sectPr>
          <w:pgSz w:w="11900" w:h="16838" w:orient="portrait"/>
          <w:cols w:equalWidth="0" w:num="2">
            <w:col w:w="860" w:space="720"/>
            <w:col w:w="8639"/>
          </w:cols>
          <w:pgMar w:left="240" w:top="131" w:right="1440" w:bottom="0" w:gutter="0" w:footer="0" w:header="0"/>
          <w:type w:val="continuous"/>
        </w:sectPr>
      </w:pPr>
    </w:p>
    <w:p>
      <w:pPr>
        <w:spacing w:after="0" w:line="13" w:lineRule="exact"/>
        <w:rPr>
          <w:sz w:val="20"/>
          <w:szCs w:val="20"/>
          <w:color w:val="auto"/>
        </w:rPr>
      </w:pPr>
    </w:p>
    <w:p>
      <w:pPr>
        <w:ind w:left="1580" w:right="1639"/>
        <w:spacing w:after="0" w:line="323" w:lineRule="auto"/>
        <w:rPr>
          <w:sz w:val="20"/>
          <w:szCs w:val="20"/>
          <w:color w:val="auto"/>
        </w:rPr>
      </w:pPr>
      <w:r>
        <w:rPr>
          <w:rFonts w:ascii="Arial" w:cs="Arial" w:eastAsia="Arial" w:hAnsi="Arial"/>
          <w:sz w:val="15"/>
          <w:szCs w:val="15"/>
          <w:color w:val="auto"/>
        </w:rPr>
        <w:t>The Underwriter may terminate this bond as an entirety by furnishing written notice specifying the termination date which cannot be prior to 90 days after the receipt of such written notice by each Investment Company named as Insured and the Securities and Exchange Commission, Washington, DC. The Insured may terminate this bond as an entirety by furnishing written notice to the</w:t>
      </w:r>
    </w:p>
    <w:p>
      <w:pPr>
        <w:sectPr>
          <w:pgSz w:w="11900" w:h="16838" w:orient="portrait"/>
          <w:cols w:equalWidth="0" w:num="1">
            <w:col w:w="10219"/>
          </w:cols>
          <w:pgMar w:left="240" w:top="131" w:right="1440" w:bottom="0" w:gutter="0" w:footer="0" w:header="0"/>
          <w:type w:val="continuous"/>
        </w:sectPr>
      </w:pPr>
    </w:p>
    <w:bookmarkStart w:id="11" w:name="page12"/>
    <w:bookmarkEnd w:id="11"/>
    <w:p>
      <w:pPr>
        <w:ind w:left="1580" w:right="1599"/>
        <w:spacing w:after="0" w:line="291" w:lineRule="auto"/>
        <w:rPr>
          <w:sz w:val="20"/>
          <w:szCs w:val="20"/>
          <w:color w:val="auto"/>
        </w:rPr>
      </w:pPr>
      <w:r>
        <w:rPr>
          <w:rFonts w:ascii="Arial" w:cs="Arial" w:eastAsia="Arial" w:hAnsi="Arial"/>
          <w:sz w:val="16"/>
          <w:szCs w:val="16"/>
          <w:color w:val="auto"/>
        </w:rPr>
        <w:t>Underwriter. When the Insured cancels, the Insured shall furnish written notice to the Securities and Exchange Commission, Washington, DC prior to 90 days before the effective date of termination. The Underwriter shall notify all other Investment Companies named as Insured of the receipt of such termination notice and the termination cannot be effective prior to 90 days after receipt of written notice by all other Investment Companies. Premiums are earned until the termination date as set forth herein.</w:t>
      </w:r>
    </w:p>
    <w:p>
      <w:pPr>
        <w:spacing w:after="0" w:line="201" w:lineRule="exact"/>
        <w:rPr>
          <w:sz w:val="20"/>
          <w:szCs w:val="20"/>
          <w:color w:val="auto"/>
        </w:rPr>
      </w:pPr>
    </w:p>
    <w:p>
      <w:pPr>
        <w:ind w:left="1580" w:right="1619"/>
        <w:spacing w:after="0" w:line="291" w:lineRule="auto"/>
        <w:rPr>
          <w:sz w:val="20"/>
          <w:szCs w:val="20"/>
          <w:color w:val="auto"/>
        </w:rPr>
      </w:pPr>
      <w:r>
        <w:rPr>
          <w:rFonts w:ascii="Arial" w:cs="Arial" w:eastAsia="Arial" w:hAnsi="Arial"/>
          <w:sz w:val="16"/>
          <w:szCs w:val="16"/>
          <w:color w:val="auto"/>
        </w:rPr>
        <w:t>This bond will terminate as to any one Insured, (other than a registered management investment company), immediately upon taking over of such Insured by a receiver or other liquidator or by State or Federal officials, or immediately upon the filing of a petition under any State or Federal statute relative to bankruptcy or reorganization of the Insured, or assignment for the benefit of creditors of the Insured, or immediately upon such Insured ceasing to exist, whether through merger into another entity, or by disposition of all of its assets.</w:t>
      </w:r>
    </w:p>
    <w:p>
      <w:pPr>
        <w:spacing w:after="0" w:line="201" w:lineRule="exact"/>
        <w:rPr>
          <w:sz w:val="20"/>
          <w:szCs w:val="20"/>
          <w:color w:val="auto"/>
        </w:rPr>
      </w:pPr>
    </w:p>
    <w:p>
      <w:pPr>
        <w:ind w:left="1580" w:right="1659"/>
        <w:spacing w:after="0" w:line="259" w:lineRule="auto"/>
        <w:rPr>
          <w:sz w:val="20"/>
          <w:szCs w:val="20"/>
          <w:color w:val="auto"/>
        </w:rPr>
      </w:pPr>
      <w:r>
        <w:rPr>
          <w:rFonts w:ascii="Arial" w:cs="Arial" w:eastAsia="Arial" w:hAnsi="Arial"/>
          <w:sz w:val="18"/>
          <w:szCs w:val="18"/>
          <w:color w:val="auto"/>
        </w:rPr>
        <w:t>This bond will terminate as to any registered management investment company upon the expiration of 90 days after written notice has been given to the Securities and Exchange Commission, Washington, DC.</w:t>
      </w:r>
    </w:p>
    <w:p>
      <w:pPr>
        <w:spacing w:after="0" w:line="221" w:lineRule="exact"/>
        <w:rPr>
          <w:sz w:val="20"/>
          <w:szCs w:val="20"/>
          <w:color w:val="auto"/>
        </w:rPr>
      </w:pPr>
    </w:p>
    <w:p>
      <w:pPr>
        <w:ind w:left="1580" w:right="1659"/>
        <w:spacing w:after="0" w:line="259" w:lineRule="auto"/>
        <w:rPr>
          <w:sz w:val="20"/>
          <w:szCs w:val="20"/>
          <w:color w:val="auto"/>
        </w:rPr>
      </w:pPr>
      <w:r>
        <w:rPr>
          <w:rFonts w:ascii="Arial" w:cs="Arial" w:eastAsia="Arial" w:hAnsi="Arial"/>
          <w:sz w:val="18"/>
          <w:szCs w:val="18"/>
          <w:color w:val="auto"/>
        </w:rPr>
        <w:t>The Underwriter shall refund the unearned premium computed at short rates in accordance with the standard short rate cancellation tables if terminated by the Insured or pro rata if terminated for any other reason.</w:t>
      </w:r>
    </w:p>
    <w:p>
      <w:pPr>
        <w:spacing w:after="0" w:line="200" w:lineRule="exact"/>
        <w:rPr>
          <w:sz w:val="20"/>
          <w:szCs w:val="20"/>
          <w:color w:val="auto"/>
        </w:rPr>
      </w:pPr>
    </w:p>
    <w:p>
      <w:pPr>
        <w:spacing w:after="0" w:line="25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ENDORSEMENT #1 (continued)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This bond shall terminate:</w:t>
      </w:r>
    </w:p>
    <w:p>
      <w:pPr>
        <w:spacing w:after="0" w:line="252"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6"/>
          <w:szCs w:val="16"/>
          <w:color w:val="auto"/>
        </w:rPr>
        <w:t>as to any Employee as soon as any partner, officer or supervisory Employee of the Insured, who is</w:t>
      </w:r>
    </w:p>
    <w:p>
      <w:pPr>
        <w:spacing w:after="0" w:line="38" w:lineRule="exact"/>
        <w:rPr>
          <w:sz w:val="20"/>
          <w:szCs w:val="20"/>
          <w:color w:val="auto"/>
        </w:rPr>
      </w:pPr>
    </w:p>
    <w:p>
      <w:pPr>
        <w:ind w:left="1580" w:right="1839"/>
        <w:spacing w:after="0" w:line="292" w:lineRule="auto"/>
        <w:rPr>
          <w:sz w:val="20"/>
          <w:szCs w:val="20"/>
          <w:color w:val="auto"/>
        </w:rPr>
      </w:pPr>
      <w:r>
        <w:rPr>
          <w:rFonts w:ascii="Arial" w:cs="Arial" w:eastAsia="Arial" w:hAnsi="Arial"/>
          <w:sz w:val="16"/>
          <w:szCs w:val="16"/>
          <w:color w:val="auto"/>
        </w:rPr>
        <w:t>not in collusion with such Employee, shall learn of any dishonest or fraudulent act(s), including Larceny or Embezzlement, on the part of such Employee without prejudice to the loss of any Property then in transit in the custody of such Employee and upon the expiration of 90 days after written notice has been given to the Securities and Exchange Commission, Washington, DC (see Section 16(d)) and to the Insured Investment Company; or</w:t>
      </w:r>
    </w:p>
    <w:p>
      <w:pPr>
        <w:spacing w:after="0" w:line="198"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b.</w:t>
      </w:r>
      <w:r>
        <w:rPr>
          <w:sz w:val="20"/>
          <w:szCs w:val="20"/>
          <w:color w:val="auto"/>
        </w:rPr>
        <w:tab/>
      </w:r>
      <w:r>
        <w:rPr>
          <w:rFonts w:ascii="Arial" w:cs="Arial" w:eastAsia="Arial" w:hAnsi="Arial"/>
          <w:sz w:val="16"/>
          <w:szCs w:val="16"/>
          <w:color w:val="auto"/>
        </w:rPr>
        <w:t>as to any Employee 90 days after receipt by each Insured and by the Securities and Exchange</w:t>
      </w:r>
    </w:p>
    <w:p>
      <w:pPr>
        <w:spacing w:after="0" w:line="38" w:lineRule="exact"/>
        <w:rPr>
          <w:sz w:val="20"/>
          <w:szCs w:val="20"/>
          <w:color w:val="auto"/>
        </w:rPr>
      </w:pPr>
    </w:p>
    <w:p>
      <w:pPr>
        <w:ind w:left="1580" w:right="1699"/>
        <w:spacing w:after="0" w:line="261" w:lineRule="auto"/>
        <w:rPr>
          <w:sz w:val="20"/>
          <w:szCs w:val="20"/>
          <w:color w:val="auto"/>
        </w:rPr>
      </w:pPr>
      <w:r>
        <w:rPr>
          <w:rFonts w:ascii="Arial" w:cs="Arial" w:eastAsia="Arial" w:hAnsi="Arial"/>
          <w:sz w:val="18"/>
          <w:szCs w:val="18"/>
          <w:color w:val="auto"/>
        </w:rPr>
        <w:t>Commission of a written notice from the Underwriter of its desire to terminate this bond as to such Employee; or</w:t>
      </w:r>
    </w:p>
    <w:p>
      <w:pPr>
        <w:spacing w:after="0" w:line="21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c.</w:t>
      </w:r>
      <w:r>
        <w:rPr>
          <w:sz w:val="20"/>
          <w:szCs w:val="20"/>
          <w:color w:val="auto"/>
        </w:rPr>
        <w:tab/>
      </w:r>
      <w:r>
        <w:rPr>
          <w:rFonts w:ascii="Arial" w:cs="Arial" w:eastAsia="Arial" w:hAnsi="Arial"/>
          <w:sz w:val="16"/>
          <w:szCs w:val="16"/>
          <w:color w:val="auto"/>
        </w:rPr>
        <w:t>as to any person, who is a partner, officer or employee of any electronic data processor covered</w:t>
      </w:r>
    </w:p>
    <w:p>
      <w:pPr>
        <w:spacing w:after="0" w:line="38" w:lineRule="exact"/>
        <w:rPr>
          <w:sz w:val="20"/>
          <w:szCs w:val="20"/>
          <w:color w:val="auto"/>
        </w:rPr>
      </w:pPr>
    </w:p>
    <w:p>
      <w:pPr>
        <w:ind w:left="1580" w:right="1579"/>
        <w:spacing w:after="0" w:line="290" w:lineRule="auto"/>
        <w:rPr>
          <w:sz w:val="20"/>
          <w:szCs w:val="20"/>
          <w:color w:val="auto"/>
        </w:rPr>
      </w:pPr>
      <w:r>
        <w:rPr>
          <w:rFonts w:ascii="Arial" w:cs="Arial" w:eastAsia="Arial" w:hAnsi="Arial"/>
          <w:sz w:val="16"/>
          <w:szCs w:val="16"/>
          <w:color w:val="auto"/>
        </w:rPr>
        <w:t>under this bond, from and after the time that the Insured or any partner or officer thereof not in collusion with such person shall have knowledge or information that such person has committed any dishonest or fraudulent act(s), including Larceny or Embezzlement, in the service of the Insured or otherwise, whether such act be committed before or after the time this bond is effective and upon the expiration of 90 days after written notice has been given by the Underwriter to the Securities and Exchange Commission, Washington, DC and to the insured Investment Company.</w:t>
      </w:r>
    </w:p>
    <w:p>
      <w:pPr>
        <w:spacing w:after="0" w:line="199" w:lineRule="exact"/>
        <w:rPr>
          <w:sz w:val="20"/>
          <w:szCs w:val="20"/>
          <w:color w:val="auto"/>
        </w:rPr>
      </w:pPr>
    </w:p>
    <w:p>
      <w:pPr>
        <w:spacing w:after="0"/>
        <w:tabs>
          <w:tab w:leader="none" w:pos="1560" w:val="left"/>
        </w:tabs>
        <w:rPr>
          <w:sz w:val="20"/>
          <w:szCs w:val="20"/>
          <w:color w:val="auto"/>
        </w:rPr>
      </w:pPr>
      <w:r>
        <w:rPr>
          <w:rFonts w:ascii="Arial" w:cs="Arial" w:eastAsia="Arial" w:hAnsi="Arial"/>
          <w:sz w:val="16"/>
          <w:szCs w:val="16"/>
          <w:color w:val="auto"/>
        </w:rPr>
        <w:t>2.</w:t>
      </w:r>
      <w:r>
        <w:rPr>
          <w:sz w:val="20"/>
          <w:szCs w:val="20"/>
          <w:color w:val="auto"/>
        </w:rPr>
        <w:tab/>
      </w:r>
      <w:r>
        <w:rPr>
          <w:rFonts w:ascii="Arial" w:cs="Arial" w:eastAsia="Arial" w:hAnsi="Arial"/>
          <w:sz w:val="16"/>
          <w:szCs w:val="16"/>
          <w:color w:val="auto"/>
        </w:rPr>
        <w:t>Nothing herein contained shall be held to vary, alter, waive or extend any of the terms, limitations,</w:t>
      </w:r>
    </w:p>
    <w:p>
      <w:pPr>
        <w:spacing w:after="0" w:line="38"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615950</wp:posOffset>
            </wp:positionV>
            <wp:extent cx="212661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579"/>
        <w:spacing w:after="0"/>
        <w:rPr>
          <w:sz w:val="20"/>
          <w:szCs w:val="20"/>
          <w:color w:val="auto"/>
        </w:rPr>
      </w:pPr>
      <w:r>
        <w:rPr>
          <w:rFonts w:ascii="Arial" w:cs="Arial" w:eastAsia="Arial" w:hAnsi="Arial"/>
          <w:sz w:val="18"/>
          <w:szCs w:val="18"/>
          <w:b w:val="1"/>
          <w:bCs w:val="1"/>
          <w:color w:val="auto"/>
        </w:rPr>
        <w:t>ENDORSEMENT #2</w:t>
      </w:r>
    </w:p>
    <w:p>
      <w:pPr>
        <w:spacing w:after="0" w:line="252"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This endorsement, effective 12:01 a.m.,</w:t>
      </w:r>
      <w:r>
        <w:rPr>
          <w:sz w:val="20"/>
          <w:szCs w:val="20"/>
          <w:color w:val="auto"/>
        </w:rPr>
        <w:tab/>
      </w: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21"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Policy number:</w:t>
      </w:r>
      <w:r>
        <w:rPr>
          <w:sz w:val="20"/>
          <w:szCs w:val="20"/>
          <w:color w:val="auto"/>
        </w:rPr>
        <w:tab/>
      </w:r>
      <w:r>
        <w:rPr>
          <w:rFonts w:ascii="Arial" w:cs="Arial" w:eastAsia="Arial" w:hAnsi="Arial"/>
          <w:sz w:val="16"/>
          <w:szCs w:val="16"/>
          <w:b w:val="1"/>
          <w:bCs w:val="1"/>
          <w:color w:val="auto"/>
        </w:rPr>
        <w:t>501-00-29</w:t>
      </w:r>
    </w:p>
    <w:p>
      <w:pPr>
        <w:spacing w:after="0" w:line="24"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Issued to:</w:t>
      </w:r>
      <w:r>
        <w:rPr>
          <w:sz w:val="20"/>
          <w:szCs w:val="20"/>
          <w:color w:val="auto"/>
        </w:rPr>
        <w:tab/>
      </w:r>
      <w:r>
        <w:rPr>
          <w:rFonts w:ascii="Arial" w:cs="Arial" w:eastAsia="Arial" w:hAnsi="Arial"/>
          <w:sz w:val="16"/>
          <w:szCs w:val="16"/>
          <w:b w:val="1"/>
          <w:bCs w:val="1"/>
          <w:color w:val="auto"/>
        </w:rPr>
        <w:t>PENNANTPARK INVESTMENT CORPORATION</w:t>
      </w:r>
    </w:p>
    <w:p>
      <w:pPr>
        <w:spacing w:after="0" w:line="252" w:lineRule="exact"/>
        <w:rPr>
          <w:sz w:val="20"/>
          <w:szCs w:val="20"/>
          <w:color w:val="auto"/>
        </w:rPr>
      </w:pPr>
    </w:p>
    <w:p>
      <w:pPr>
        <w:spacing w:after="0"/>
        <w:tabs>
          <w:tab w:leader="none" w:pos="31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b w:val="1"/>
          <w:bCs w:val="1"/>
          <w:color w:val="auto"/>
        </w:rPr>
        <w:t>National Union Fire Insurance Company of Pittsburgh, Pa.</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295"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AMEND DEFINITION OF EMPLOYEE</w:t>
      </w:r>
    </w:p>
    <w:p>
      <w:pPr>
        <w:sectPr>
          <w:pgSz w:w="11900" w:h="16838" w:orient="portrait"/>
          <w:cols w:equalWidth="0" w:num="1">
            <w:col w:w="10219"/>
          </w:cols>
          <w:pgMar w:left="240" w:top="131" w:right="1440" w:bottom="0" w:gutter="0" w:footer="0" w:header="0"/>
          <w:type w:val="continuous"/>
        </w:sectPr>
      </w:pPr>
    </w:p>
    <w:bookmarkStart w:id="12" w:name="page13"/>
    <w:bookmarkEnd w:id="12"/>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79" w:lineRule="exact"/>
        <w:rPr>
          <w:sz w:val="20"/>
          <w:szCs w:val="20"/>
          <w:color w:val="auto"/>
        </w:rPr>
      </w:pPr>
    </w:p>
    <w:p>
      <w:pPr>
        <w:ind w:left="1400" w:hanging="1392"/>
        <w:spacing w:after="0"/>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DEFINITIONS, Section 1(a), Employee, is amended to include the following:</w:t>
      </w:r>
    </w:p>
    <w:p>
      <w:pPr>
        <w:spacing w:after="0" w:line="252" w:lineRule="exact"/>
        <w:rPr>
          <w:rFonts w:ascii="Arial" w:cs="Arial" w:eastAsia="Arial" w:hAnsi="Arial"/>
          <w:sz w:val="18"/>
          <w:szCs w:val="18"/>
          <w:color w:val="auto"/>
        </w:rPr>
      </w:pPr>
    </w:p>
    <w:p>
      <w:pPr>
        <w:ind w:left="1400" w:right="1759"/>
        <w:spacing w:after="0" w:line="268" w:lineRule="auto"/>
        <w:rPr>
          <w:rFonts w:ascii="Arial" w:cs="Arial" w:eastAsia="Arial" w:hAnsi="Arial"/>
          <w:sz w:val="18"/>
          <w:szCs w:val="18"/>
          <w:color w:val="auto"/>
        </w:rPr>
      </w:pPr>
      <w:r>
        <w:rPr>
          <w:rFonts w:ascii="Arial" w:cs="Arial" w:eastAsia="Arial" w:hAnsi="Arial"/>
          <w:sz w:val="18"/>
          <w:szCs w:val="18"/>
          <w:color w:val="auto"/>
        </w:rPr>
        <w:t>(10) non-compensated directors and officers while performing duties coming within the scope of the usual duties of an Employee;</w:t>
      </w:r>
    </w:p>
    <w:p>
      <w:pPr>
        <w:spacing w:after="0" w:line="212" w:lineRule="exact"/>
        <w:rPr>
          <w:rFonts w:ascii="Arial" w:cs="Arial" w:eastAsia="Arial" w:hAnsi="Arial"/>
          <w:sz w:val="18"/>
          <w:szCs w:val="18"/>
          <w:color w:val="auto"/>
        </w:rPr>
      </w:pPr>
    </w:p>
    <w:p>
      <w:pPr>
        <w:ind w:left="1400" w:right="1919" w:hanging="1392"/>
        <w:spacing w:after="0" w:line="268" w:lineRule="auto"/>
        <w:tabs>
          <w:tab w:leader="none" w:pos="14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594995</wp:posOffset>
            </wp:positionV>
            <wp:extent cx="2126615" cy="6172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#3</w:t>
      </w:r>
    </w:p>
    <w:p>
      <w:pPr>
        <w:sectPr>
          <w:pgSz w:w="11900" w:h="16941" w:orient="portrait"/>
          <w:cols w:equalWidth="0" w:num="1">
            <w:col w:w="10219"/>
          </w:cols>
          <w:pgMar w:left="240" w:top="374" w:right="1440" w:bottom="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941" w:orient="portrait"/>
          <w:cols w:equalWidth="0" w:num="2">
            <w:col w:w="5840" w:space="720"/>
            <w:col w:w="3659"/>
          </w:cols>
          <w:pgMar w:left="240" w:top="374" w:right="1440" w:bottom="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2" w:lineRule="exact"/>
        <w:rPr>
          <w:sz w:val="20"/>
          <w:szCs w:val="20"/>
          <w:color w:val="auto"/>
        </w:rPr>
      </w:pPr>
    </w:p>
    <w:p>
      <w:pPr>
        <w:sectPr>
          <w:pgSz w:w="11900" w:h="16941" w:orient="portrait"/>
          <w:cols w:equalWidth="0" w:num="2">
            <w:col w:w="2400" w:space="720"/>
            <w:col w:w="7099"/>
          </w:cols>
          <w:pgMar w:left="240" w:top="374" w:right="1440"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65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941" w:orient="portrait"/>
          <w:cols w:equalWidth="0" w:num="2">
            <w:col w:w="2400" w:space="720"/>
            <w:col w:w="7099"/>
          </w:cols>
          <w:pgMar w:left="240" w:top="374" w:right="1440" w:bottom="0" w:gutter="0" w:footer="0" w:header="0"/>
          <w:type w:val="continuous"/>
        </w:sectPr>
      </w:pPr>
    </w:p>
    <w:p>
      <w:pPr>
        <w:spacing w:after="0" w:line="312" w:lineRule="exact"/>
        <w:rPr>
          <w:sz w:val="20"/>
          <w:szCs w:val="20"/>
          <w:color w:val="auto"/>
        </w:rPr>
      </w:pPr>
    </w:p>
    <w:p>
      <w:pPr>
        <w:ind w:left="3020"/>
        <w:spacing w:after="0"/>
        <w:rPr>
          <w:sz w:val="20"/>
          <w:szCs w:val="20"/>
          <w:color w:val="auto"/>
        </w:rPr>
      </w:pPr>
      <w:r>
        <w:rPr>
          <w:rFonts w:ascii="Arial" w:cs="Arial" w:eastAsia="Arial" w:hAnsi="Arial"/>
          <w:sz w:val="16"/>
          <w:szCs w:val="16"/>
          <w:b w:val="1"/>
          <w:bCs w:val="1"/>
          <w:color w:val="auto"/>
        </w:rPr>
        <w:t>UNAUTHORIZED SIGNATURES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ectPr>
          <w:pgSz w:w="11900" w:h="16941" w:orient="portrait"/>
          <w:cols w:equalWidth="0" w:num="1">
            <w:col w:w="10219"/>
          </w:cols>
          <w:pgMar w:left="240" w:top="374" w:right="1440" w:bottom="0" w:gutter="0" w:footer="0" w:header="0"/>
          <w:type w:val="continuous"/>
        </w:sectPr>
      </w:pP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spacing w:after="0"/>
        <w:rPr>
          <w:sz w:val="20"/>
          <w:szCs w:val="20"/>
          <w:color w:val="auto"/>
        </w:rPr>
      </w:pPr>
      <w:r>
        <w:rPr>
          <w:rFonts w:ascii="Arial" w:cs="Arial" w:eastAsia="Arial" w:hAnsi="Arial"/>
          <w:sz w:val="15"/>
          <w:szCs w:val="15"/>
          <w:color w:val="auto"/>
        </w:rPr>
        <w:t>The attached bond is amended by adding an Insuring Agreement as follows:</w:t>
      </w:r>
    </w:p>
    <w:p>
      <w:pPr>
        <w:spacing w:after="0" w:line="211" w:lineRule="exact"/>
        <w:rPr>
          <w:sz w:val="20"/>
          <w:szCs w:val="20"/>
          <w:color w:val="auto"/>
        </w:rPr>
      </w:pPr>
    </w:p>
    <w:p>
      <w:pPr>
        <w:sectPr>
          <w:pgSz w:w="11900" w:h="16941" w:orient="portrait"/>
          <w:cols w:equalWidth="0" w:num="2">
            <w:col w:w="760" w:space="720"/>
            <w:col w:w="8739"/>
          </w:cols>
          <w:pgMar w:left="240" w:top="374" w:right="1440" w:bottom="0" w:gutter="0" w:footer="0" w:header="0"/>
          <w:type w:val="continuous"/>
        </w:sectPr>
      </w:pPr>
    </w:p>
    <w:p>
      <w:pPr>
        <w:spacing w:after="0" w:line="69"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Unauthorized Signatures</w:t>
      </w:r>
    </w:p>
    <w:p>
      <w:pPr>
        <w:spacing w:after="0" w:line="258" w:lineRule="exact"/>
        <w:rPr>
          <w:sz w:val="20"/>
          <w:szCs w:val="20"/>
          <w:color w:val="auto"/>
        </w:rPr>
      </w:pPr>
    </w:p>
    <w:p>
      <w:pPr>
        <w:ind w:left="1480" w:right="1739"/>
        <w:spacing w:after="0" w:line="318" w:lineRule="auto"/>
        <w:rPr>
          <w:sz w:val="20"/>
          <w:szCs w:val="20"/>
          <w:color w:val="auto"/>
        </w:rPr>
      </w:pPr>
      <w:r>
        <w:rPr>
          <w:rFonts w:ascii="Arial" w:cs="Arial" w:eastAsia="Arial" w:hAnsi="Arial"/>
          <w:sz w:val="15"/>
          <w:szCs w:val="15"/>
          <w:color w:val="auto"/>
        </w:rPr>
        <w:t>Loss resulting directly from the Insured having accepted, paid or cashed any original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signatures of all persons who are signatories on such account.</w:t>
      </w:r>
    </w:p>
    <w:p>
      <w:pPr>
        <w:sectPr>
          <w:pgSz w:w="11900" w:h="16941" w:orient="portrait"/>
          <w:cols w:equalWidth="0" w:num="1">
            <w:col w:w="10219"/>
          </w:cols>
          <w:pgMar w:left="240" w:top="374" w:right="1440" w:bottom="0" w:gutter="0" w:footer="0" w:header="0"/>
          <w:type w:val="continuous"/>
        </w:sectPr>
      </w:pP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right="1839"/>
        <w:spacing w:after="0" w:line="268" w:lineRule="auto"/>
        <w:rPr>
          <w:sz w:val="20"/>
          <w:szCs w:val="20"/>
          <w:color w:val="auto"/>
        </w:rPr>
      </w:pPr>
      <w:r>
        <w:rPr>
          <w:rFonts w:ascii="Arial" w:cs="Arial" w:eastAsia="Arial" w:hAnsi="Arial"/>
          <w:sz w:val="18"/>
          <w:szCs w:val="18"/>
          <w:color w:val="auto"/>
        </w:rPr>
        <w:t>The Limit of Liability under this coverage is $50,000. A $5,000 deductible shall apply to each and every loss.</w:t>
      </w:r>
    </w:p>
    <w:p>
      <w:pPr>
        <w:spacing w:after="0" w:line="200" w:lineRule="exact"/>
        <w:rPr>
          <w:sz w:val="20"/>
          <w:szCs w:val="20"/>
          <w:color w:val="auto"/>
        </w:rPr>
      </w:pPr>
    </w:p>
    <w:p>
      <w:pPr>
        <w:sectPr>
          <w:pgSz w:w="11900" w:h="16941" w:orient="portrait"/>
          <w:cols w:equalWidth="0" w:num="2">
            <w:col w:w="760" w:space="720"/>
            <w:col w:w="8739"/>
          </w:cols>
          <w:pgMar w:left="240" w:top="374" w:right="1440" w:bottom="0" w:gutter="0" w:footer="0" w:header="0"/>
          <w:type w:val="continuous"/>
        </w:sectPr>
      </w:pP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br w:type="column"/>
      </w:r>
    </w:p>
    <w:p>
      <w:pPr>
        <w:ind w:right="1839"/>
        <w:spacing w:after="0" w:line="268" w:lineRule="auto"/>
        <w:rPr>
          <w:sz w:val="20"/>
          <w:szCs w:val="20"/>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-934085</wp:posOffset>
            </wp:positionH>
            <wp:positionV relativeFrom="paragraph">
              <wp:posOffset>501015</wp:posOffset>
            </wp:positionV>
            <wp:extent cx="2126615" cy="6172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ectPr>
          <w:pgSz w:w="11900" w:h="16941" w:orient="portrait"/>
          <w:cols w:equalWidth="0" w:num="2">
            <w:col w:w="760" w:space="720"/>
            <w:col w:w="8739"/>
          </w:cols>
          <w:pgMar w:left="240" w:top="37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#4</w:t>
      </w:r>
    </w:p>
    <w:p>
      <w:pPr>
        <w:spacing w:after="0" w:line="200" w:lineRule="exact"/>
        <w:rPr>
          <w:sz w:val="20"/>
          <w:szCs w:val="20"/>
          <w:color w:val="auto"/>
        </w:rPr>
      </w:pPr>
    </w:p>
    <w:p>
      <w:pPr>
        <w:spacing w:after="0" w:line="295" w:lineRule="exact"/>
        <w:rPr>
          <w:sz w:val="20"/>
          <w:szCs w:val="20"/>
          <w:color w:val="auto"/>
        </w:rPr>
      </w:pPr>
    </w:p>
    <w:p>
      <w:pPr>
        <w:spacing w:after="0"/>
        <w:tabs>
          <w:tab w:leader="none" w:pos="6540" w:val="left"/>
        </w:tabs>
        <w:rPr>
          <w:sz w:val="20"/>
          <w:szCs w:val="20"/>
          <w:color w:val="auto"/>
        </w:rPr>
      </w:pPr>
      <w:r>
        <w:rPr>
          <w:rFonts w:ascii="Arial" w:cs="Arial" w:eastAsia="Arial" w:hAnsi="Arial"/>
          <w:sz w:val="18"/>
          <w:szCs w:val="18"/>
          <w:color w:val="auto"/>
        </w:rPr>
        <w:t>This endorsement, effective 12:01 a.m.,</w:t>
      </w:r>
      <w:r>
        <w:rPr>
          <w:sz w:val="20"/>
          <w:szCs w:val="20"/>
          <w:color w:val="auto"/>
        </w:rPr>
        <w:tab/>
      </w: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ectPr>
          <w:pgSz w:w="11900" w:h="16941" w:orient="portrait"/>
          <w:cols w:equalWidth="0" w:num="1">
            <w:col w:w="10219"/>
          </w:cols>
          <w:pgMar w:left="240" w:top="374" w:right="1440" w:bottom="0" w:gutter="0" w:footer="0" w:header="0"/>
          <w:type w:val="continuous"/>
        </w:sectPr>
      </w:pPr>
    </w:p>
    <w:bookmarkStart w:id="13" w:name="page14"/>
    <w:bookmarkEnd w:id="13"/>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Policy number: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2" w:lineRule="exact"/>
        <w:rPr>
          <w:sz w:val="20"/>
          <w:szCs w:val="20"/>
          <w:color w:val="auto"/>
        </w:rPr>
      </w:pPr>
    </w:p>
    <w:p>
      <w:pPr>
        <w:sectPr>
          <w:pgSz w:w="11900" w:h="16838" w:orient="portrait"/>
          <w:cols w:equalWidth="0" w:num="2">
            <w:col w:w="2400" w:space="720"/>
            <w:col w:w="7099"/>
          </w:cols>
          <w:pgMar w:left="240" w:top="341" w:right="1440" w:bottom="184"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65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838" w:orient="portrait"/>
          <w:cols w:equalWidth="0" w:num="2">
            <w:col w:w="2400" w:space="720"/>
            <w:col w:w="7099"/>
          </w:cols>
          <w:pgMar w:left="240" w:top="341" w:right="1440" w:bottom="184" w:gutter="0" w:footer="0" w:header="0"/>
          <w:type w:val="continuous"/>
        </w:sectPr>
      </w:pPr>
    </w:p>
    <w:p>
      <w:pPr>
        <w:spacing w:after="0" w:line="312" w:lineRule="exact"/>
        <w:rPr>
          <w:sz w:val="20"/>
          <w:szCs w:val="20"/>
          <w:color w:val="auto"/>
        </w:rPr>
      </w:pPr>
    </w:p>
    <w:p>
      <w:pPr>
        <w:ind w:left="3380"/>
        <w:spacing w:after="0"/>
        <w:rPr>
          <w:sz w:val="20"/>
          <w:szCs w:val="20"/>
          <w:color w:val="auto"/>
        </w:rPr>
      </w:pPr>
      <w:r>
        <w:rPr>
          <w:rFonts w:ascii="Arial" w:cs="Arial" w:eastAsia="Arial" w:hAnsi="Arial"/>
          <w:sz w:val="16"/>
          <w:szCs w:val="16"/>
          <w:b w:val="1"/>
          <w:bCs w:val="1"/>
          <w:color w:val="auto"/>
        </w:rPr>
        <w:t>COMPUTER SYSTEMS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ectPr>
          <w:pgSz w:w="11900" w:h="16838" w:orient="portrait"/>
          <w:cols w:equalWidth="0" w:num="1">
            <w:col w:w="10219"/>
          </w:cols>
          <w:pgMar w:left="240" w:top="341" w:right="1440" w:bottom="184" w:gutter="0" w:footer="0" w:header="0"/>
          <w:type w:val="continuous"/>
        </w:sectPr>
      </w:pPr>
    </w:p>
    <w:p>
      <w:pPr>
        <w:spacing w:after="0" w:line="279" w:lineRule="exact"/>
        <w:rPr>
          <w:sz w:val="20"/>
          <w:szCs w:val="20"/>
          <w:color w:val="auto"/>
        </w:rPr>
      </w:pPr>
    </w:p>
    <w:p>
      <w:pPr>
        <w:ind w:left="1300" w:hanging="1292"/>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attached bond is amended by adding an additional Insuring Agreement as follows:</w:t>
      </w:r>
    </w:p>
    <w:p>
      <w:pPr>
        <w:spacing w:after="0" w:line="246"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COMPUTER SYSTEMS</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Loss resulting directly from a fraudulent</w:t>
      </w:r>
    </w:p>
    <w:p>
      <w:pPr>
        <w:spacing w:after="0" w:line="279" w:lineRule="exact"/>
        <w:rPr>
          <w:sz w:val="20"/>
          <w:szCs w:val="20"/>
          <w:color w:val="auto"/>
        </w:rPr>
      </w:pPr>
    </w:p>
    <w:p>
      <w:pPr>
        <w:ind w:left="1300" w:hanging="746"/>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entry of data into, or</w:t>
      </w:r>
    </w:p>
    <w:p>
      <w:pPr>
        <w:spacing w:after="0" w:line="252" w:lineRule="exact"/>
        <w:rPr>
          <w:rFonts w:ascii="Arial" w:cs="Arial" w:eastAsia="Arial" w:hAnsi="Arial"/>
          <w:sz w:val="18"/>
          <w:szCs w:val="18"/>
          <w:color w:val="auto"/>
        </w:rPr>
      </w:pPr>
    </w:p>
    <w:p>
      <w:pPr>
        <w:ind w:left="1300" w:hanging="746"/>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 of data elements or programs within</w:t>
      </w:r>
    </w:p>
    <w:p>
      <w:pPr>
        <w:spacing w:after="0" w:line="15"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a Computer System; provided the fraudulent entry or change causes</w:t>
      </w:r>
    </w:p>
    <w:p>
      <w:pPr>
        <w:spacing w:after="0" w:line="272" w:lineRule="exact"/>
        <w:rPr>
          <w:rFonts w:ascii="Arial" w:cs="Arial" w:eastAsia="Arial" w:hAnsi="Arial"/>
          <w:sz w:val="18"/>
          <w:szCs w:val="18"/>
          <w:color w:val="auto"/>
        </w:rPr>
      </w:pPr>
    </w:p>
    <w:p>
      <w:pPr>
        <w:ind w:left="1540" w:hanging="235"/>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36" w:lineRule="exact"/>
        <w:rPr>
          <w:rFonts w:ascii="Arial" w:cs="Arial" w:eastAsia="Arial" w:hAnsi="Arial"/>
          <w:sz w:val="18"/>
          <w:szCs w:val="18"/>
          <w:color w:val="auto"/>
        </w:rPr>
      </w:pPr>
    </w:p>
    <w:p>
      <w:pPr>
        <w:ind w:left="1560" w:hanging="255"/>
        <w:spacing w:after="0"/>
        <w:tabs>
          <w:tab w:leader="none" w:pos="15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 account of the Insured, or of its customer, to be added, deleted, debited or credited, or</w:t>
      </w:r>
    </w:p>
    <w:p>
      <w:pPr>
        <w:spacing w:after="0" w:line="59" w:lineRule="exact"/>
        <w:rPr>
          <w:rFonts w:ascii="Arial" w:cs="Arial" w:eastAsia="Arial" w:hAnsi="Arial"/>
          <w:sz w:val="16"/>
          <w:szCs w:val="16"/>
          <w:color w:val="auto"/>
        </w:rPr>
      </w:pPr>
    </w:p>
    <w:p>
      <w:pPr>
        <w:ind w:left="1540" w:hanging="235"/>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279" w:lineRule="exact"/>
        <w:rPr>
          <w:rFonts w:ascii="Arial" w:cs="Arial" w:eastAsia="Arial" w:hAnsi="Arial"/>
          <w:sz w:val="18"/>
          <w:szCs w:val="18"/>
          <w:color w:val="auto"/>
        </w:rPr>
      </w:pPr>
    </w:p>
    <w:p>
      <w:pPr>
        <w:ind w:left="1300" w:right="1859" w:hanging="746"/>
        <w:spacing w:after="0" w:line="253" w:lineRule="auto"/>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voice instructions or advices having been transmitted to the Insured or its agent(s) by telephone; and provided further, the fraudulent entry or change is made or caused by an individual acting with the manifest intent to:</w:t>
      </w:r>
    </w:p>
    <w:p>
      <w:pPr>
        <w:ind w:left="1540" w:hanging="235"/>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cause the Insured or its agent(s) to sustain a loss, and</w:t>
      </w:r>
    </w:p>
    <w:p>
      <w:pPr>
        <w:spacing w:after="0" w:line="29" w:lineRule="exact"/>
        <w:rPr>
          <w:rFonts w:ascii="Arial" w:cs="Arial" w:eastAsia="Arial" w:hAnsi="Arial"/>
          <w:sz w:val="18"/>
          <w:szCs w:val="18"/>
          <w:color w:val="auto"/>
        </w:rPr>
      </w:pPr>
    </w:p>
    <w:p>
      <w:pPr>
        <w:ind w:left="1300" w:right="1639" w:firstLine="5"/>
        <w:spacing w:after="0" w:line="254" w:lineRule="auto"/>
        <w:tabs>
          <w:tab w:leader="none" w:pos="1549" w:val="left"/>
        </w:tabs>
        <w:numPr>
          <w:ilvl w:val="1"/>
          <w:numId w:val="27"/>
        </w:numPr>
        <w:rPr>
          <w:rFonts w:ascii="Arial" w:cs="Arial" w:eastAsia="Arial" w:hAnsi="Arial"/>
          <w:sz w:val="18"/>
          <w:szCs w:val="18"/>
          <w:color w:val="auto"/>
        </w:rPr>
      </w:pPr>
      <w:r>
        <w:rPr>
          <w:rFonts w:ascii="Arial" w:cs="Arial" w:eastAsia="Arial" w:hAnsi="Arial"/>
          <w:sz w:val="18"/>
          <w:szCs w:val="18"/>
          <w:color w:val="auto"/>
        </w:rPr>
        <w:t>obtain financial benefit for that individual or for other persons intended by that individual to receive financial benefit,</w:t>
      </w:r>
    </w:p>
    <w:p>
      <w:pPr>
        <w:ind w:left="1540" w:hanging="235"/>
        <w:spacing w:after="0"/>
        <w:tabs>
          <w:tab w:leader="none" w:pos="154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and further provided such voice instructions or advices:</w:t>
      </w:r>
    </w:p>
    <w:p>
      <w:pPr>
        <w:spacing w:after="0" w:line="273" w:lineRule="exact"/>
        <w:rPr>
          <w:sz w:val="20"/>
          <w:szCs w:val="20"/>
          <w:color w:val="auto"/>
        </w:rPr>
      </w:pPr>
    </w:p>
    <w:p>
      <w:pPr>
        <w:ind w:left="1300" w:right="1999" w:firstLine="5"/>
        <w:spacing w:after="0" w:line="268" w:lineRule="auto"/>
        <w:tabs>
          <w:tab w:leader="none" w:pos="1509"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were made by a person who purported to represent an individual authorized to make such voice instructions or advices; and</w:t>
      </w:r>
    </w:p>
    <w:p>
      <w:pPr>
        <w:spacing w:after="0" w:line="212" w:lineRule="exact"/>
        <w:rPr>
          <w:rFonts w:ascii="Arial" w:cs="Arial" w:eastAsia="Arial" w:hAnsi="Arial"/>
          <w:sz w:val="18"/>
          <w:szCs w:val="18"/>
          <w:color w:val="auto"/>
        </w:rPr>
      </w:pPr>
    </w:p>
    <w:p>
      <w:pPr>
        <w:ind w:left="1560" w:hanging="255"/>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were electronically recorded by the Insured or its agent(s).</w:t>
      </w:r>
    </w:p>
    <w:p>
      <w:pPr>
        <w:spacing w:after="0" w:line="200" w:lineRule="exact"/>
        <w:rPr>
          <w:sz w:val="20"/>
          <w:szCs w:val="20"/>
          <w:color w:val="auto"/>
        </w:rPr>
      </w:pPr>
    </w:p>
    <w:p>
      <w:pPr>
        <w:spacing w:after="0" w:line="316"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ENDORSEMENT #4 (continued)</w:t>
      </w:r>
    </w:p>
    <w:p>
      <w:pPr>
        <w:spacing w:after="0" w:line="200" w:lineRule="exact"/>
        <w:rPr>
          <w:sz w:val="20"/>
          <w:szCs w:val="20"/>
          <w:color w:val="auto"/>
        </w:rPr>
      </w:pPr>
    </w:p>
    <w:p>
      <w:pPr>
        <w:spacing w:after="0" w:line="301" w:lineRule="exact"/>
        <w:rPr>
          <w:sz w:val="20"/>
          <w:szCs w:val="20"/>
          <w:color w:val="auto"/>
        </w:rPr>
      </w:pPr>
    </w:p>
    <w:p>
      <w:pPr>
        <w:ind w:left="1300" w:right="1599" w:hanging="746"/>
        <w:spacing w:after="0" w:line="290" w:lineRule="auto"/>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It shall be a condition to recovery under the Computer Systems Rider that the Insured or its agent(s) shall to the best of their ability electronically record all voice instructions or advices received over telephone. The Insured or its agent(s) warrant that they shall make their best efforts to maintain the electronic recording system on a continuous basis. Nothing, however, in this Rider shall bar the Insured from recovery where no recording is available because of mechanical failure of the device used in making such recording, or because of failure of the media used to record a conversation from any cause, or error or omission of any Employee(s) or agent(s) of the Insured.</w:t>
      </w:r>
    </w:p>
    <w:p>
      <w:pPr>
        <w:spacing w:after="0" w:line="193" w:lineRule="exact"/>
        <w:rPr>
          <w:sz w:val="20"/>
          <w:szCs w:val="20"/>
          <w:color w:val="auto"/>
        </w:rPr>
      </w:pPr>
    </w:p>
    <w:p>
      <w:pPr>
        <w:ind w:left="3260"/>
        <w:spacing w:after="0"/>
        <w:rPr>
          <w:sz w:val="20"/>
          <w:szCs w:val="20"/>
          <w:color w:val="auto"/>
        </w:rPr>
      </w:pPr>
      <w:r>
        <w:rPr>
          <w:rFonts w:ascii="Arial" w:cs="Arial" w:eastAsia="Arial" w:hAnsi="Arial"/>
          <w:sz w:val="18"/>
          <w:szCs w:val="18"/>
          <w:b w:val="1"/>
          <w:bCs w:val="1"/>
          <w:color w:val="auto"/>
        </w:rPr>
        <w:t>SCHEDULE OF SYSTEMS</w:t>
      </w:r>
    </w:p>
    <w:p>
      <w:pPr>
        <w:spacing w:after="0" w:line="25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Insureds Proprietary System</w:t>
      </w:r>
    </w:p>
    <w:p>
      <w:pPr>
        <w:spacing w:after="0" w:line="279" w:lineRule="exact"/>
        <w:rPr>
          <w:sz w:val="20"/>
          <w:szCs w:val="20"/>
          <w:color w:val="auto"/>
        </w:rPr>
      </w:pPr>
    </w:p>
    <w:p>
      <w:pPr>
        <w:ind w:left="1300" w:hanging="1292"/>
        <w:spacing w:after="0"/>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used in this Rider, Computer System means</w:t>
      </w:r>
    </w:p>
    <w:p>
      <w:pPr>
        <w:spacing w:after="0" w:line="252" w:lineRule="exact"/>
        <w:rPr>
          <w:rFonts w:ascii="Arial" w:cs="Arial" w:eastAsia="Arial" w:hAnsi="Arial"/>
          <w:sz w:val="18"/>
          <w:szCs w:val="18"/>
          <w:color w:val="auto"/>
        </w:rPr>
      </w:pPr>
    </w:p>
    <w:p>
      <w:pPr>
        <w:ind w:left="1540" w:hanging="235"/>
        <w:spacing w:after="0"/>
        <w:tabs>
          <w:tab w:leader="none" w:pos="1540" w:val="left"/>
        </w:tabs>
        <w:numPr>
          <w:ilvl w:val="1"/>
          <w:numId w:val="30"/>
        </w:numPr>
        <w:rPr>
          <w:rFonts w:ascii="Arial" w:cs="Arial" w:eastAsia="Arial" w:hAnsi="Arial"/>
          <w:sz w:val="16"/>
          <w:szCs w:val="16"/>
          <w:color w:val="auto"/>
        </w:rPr>
      </w:pPr>
      <w:r>
        <w:rPr>
          <w:rFonts w:ascii="Arial" w:cs="Arial" w:eastAsia="Arial" w:hAnsi="Arial"/>
          <w:sz w:val="16"/>
          <w:szCs w:val="16"/>
          <w:color w:val="auto"/>
        </w:rPr>
        <w:t>computers with related peripheral components, including storage components, wherever located,</w:t>
      </w:r>
    </w:p>
    <w:p>
      <w:pPr>
        <w:spacing w:after="0" w:line="59" w:lineRule="exact"/>
        <w:rPr>
          <w:rFonts w:ascii="Arial" w:cs="Arial" w:eastAsia="Arial" w:hAnsi="Arial"/>
          <w:sz w:val="16"/>
          <w:szCs w:val="16"/>
          <w:color w:val="auto"/>
        </w:rPr>
      </w:pPr>
    </w:p>
    <w:p>
      <w:pPr>
        <w:ind w:left="1560" w:hanging="255"/>
        <w:spacing w:after="0"/>
        <w:tabs>
          <w:tab w:leader="none" w:pos="15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36" w:lineRule="exact"/>
        <w:rPr>
          <w:rFonts w:ascii="Arial" w:cs="Arial" w:eastAsia="Arial" w:hAnsi="Arial"/>
          <w:sz w:val="18"/>
          <w:szCs w:val="18"/>
          <w:color w:val="auto"/>
        </w:rPr>
      </w:pPr>
    </w:p>
    <w:p>
      <w:pPr>
        <w:ind w:left="1540" w:hanging="235"/>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terminal devices,</w:t>
      </w:r>
    </w:p>
    <w:p>
      <w:pPr>
        <w:spacing w:after="0" w:line="36" w:lineRule="exact"/>
        <w:rPr>
          <w:rFonts w:ascii="Arial" w:cs="Arial" w:eastAsia="Arial" w:hAnsi="Arial"/>
          <w:sz w:val="18"/>
          <w:szCs w:val="18"/>
          <w:color w:val="auto"/>
        </w:rPr>
      </w:pPr>
    </w:p>
    <w:p>
      <w:pPr>
        <w:ind w:left="1560" w:hanging="255"/>
        <w:spacing w:after="0"/>
        <w:tabs>
          <w:tab w:leader="none" w:pos="15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related communication networks or customer communication systems, and</w:t>
      </w:r>
    </w:p>
    <w:p>
      <w:pPr>
        <w:spacing w:after="0" w:line="36" w:lineRule="exact"/>
        <w:rPr>
          <w:rFonts w:ascii="Arial" w:cs="Arial" w:eastAsia="Arial" w:hAnsi="Arial"/>
          <w:sz w:val="18"/>
          <w:szCs w:val="18"/>
          <w:color w:val="auto"/>
        </w:rPr>
      </w:pPr>
    </w:p>
    <w:p>
      <w:pPr>
        <w:ind w:left="1540" w:hanging="235"/>
        <w:spacing w:after="0"/>
        <w:tabs>
          <w:tab w:leader="none" w:pos="15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related Electronic Funds Transfer Systems,</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by which data are electronically collected, transmitted, processed, stored, and retrieved,</w:t>
      </w:r>
    </w:p>
    <w:p>
      <w:pPr>
        <w:spacing w:after="0" w:line="279" w:lineRule="exact"/>
        <w:rPr>
          <w:sz w:val="20"/>
          <w:szCs w:val="20"/>
          <w:color w:val="auto"/>
        </w:rPr>
      </w:pPr>
    </w:p>
    <w:p>
      <w:pPr>
        <w:ind w:left="1300" w:right="2139" w:hanging="1292"/>
        <w:spacing w:after="0" w:line="268"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 addition to the exclusions in the attached bond, the following exclusions are applicable to this Insuring Agreement:</w:t>
      </w:r>
    </w:p>
    <w:p>
      <w:pPr>
        <w:spacing w:after="0" w:line="212"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6"/>
          <w:szCs w:val="16"/>
          <w:color w:val="auto"/>
        </w:rPr>
        <w:t>(a) loss resulting directly or indirectly from the theft of confidential information, material or data; and</w:t>
      </w:r>
    </w:p>
    <w:p>
      <w:pPr>
        <w:sectPr>
          <w:pgSz w:w="11900" w:h="16838" w:orient="portrait"/>
          <w:cols w:equalWidth="0" w:num="1">
            <w:col w:w="10219"/>
          </w:cols>
          <w:pgMar w:left="240" w:top="341" w:right="1440" w:bottom="184" w:gutter="0" w:footer="0" w:header="0"/>
          <w:type w:val="continuous"/>
        </w:sectPr>
      </w:pPr>
    </w:p>
    <w:bookmarkStart w:id="14" w:name="page15"/>
    <w:bookmarkEnd w:id="14"/>
    <w:p>
      <w:pPr>
        <w:ind w:left="1292" w:right="1599" w:firstLine="5"/>
        <w:spacing w:after="0" w:line="255" w:lineRule="auto"/>
        <w:tabs>
          <w:tab w:leader="none" w:pos="1541"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resulting directly or indirectly from entries or changes made by an individual authorized to have access to a Computer System who acts in good faith on instructions, unless such instructions are given to that individual by a software contractor (or by a partner, officer or employee thereof) authorized by the Insured to design, develop, prepare, supply service, write or implement programs for the Insured's Computer System.</w:t>
      </w:r>
    </w:p>
    <w:p>
      <w:pPr>
        <w:spacing w:after="0" w:line="218" w:lineRule="exact"/>
        <w:rPr>
          <w:sz w:val="20"/>
          <w:szCs w:val="20"/>
          <w:color w:val="auto"/>
        </w:rPr>
      </w:pPr>
    </w:p>
    <w:p>
      <w:pPr>
        <w:ind w:left="3072"/>
        <w:spacing w:after="0"/>
        <w:rPr>
          <w:sz w:val="20"/>
          <w:szCs w:val="20"/>
          <w:color w:val="auto"/>
        </w:rPr>
      </w:pPr>
      <w:r>
        <w:rPr>
          <w:rFonts w:ascii="Arial" w:cs="Arial" w:eastAsia="Arial" w:hAnsi="Arial"/>
          <w:sz w:val="18"/>
          <w:szCs w:val="18"/>
          <w:b w:val="1"/>
          <w:bCs w:val="1"/>
          <w:color w:val="auto"/>
        </w:rPr>
        <w:t>ENDORSEMENT #4 (continued)</w:t>
      </w:r>
    </w:p>
    <w:p>
      <w:pPr>
        <w:spacing w:after="0" w:line="200" w:lineRule="exact"/>
        <w:rPr>
          <w:sz w:val="20"/>
          <w:szCs w:val="20"/>
          <w:color w:val="auto"/>
        </w:rPr>
      </w:pPr>
    </w:p>
    <w:p>
      <w:pPr>
        <w:spacing w:after="0" w:line="301" w:lineRule="exact"/>
        <w:rPr>
          <w:sz w:val="20"/>
          <w:szCs w:val="20"/>
          <w:color w:val="auto"/>
        </w:rPr>
      </w:pPr>
    </w:p>
    <w:p>
      <w:pPr>
        <w:ind w:left="1292" w:hanging="1292"/>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portions of the attached bond are not applicable to this Rider:</w:t>
      </w:r>
    </w:p>
    <w:p>
      <w:pPr>
        <w:spacing w:after="0" w:line="252" w:lineRule="exact"/>
        <w:rPr>
          <w:rFonts w:ascii="Arial" w:cs="Arial" w:eastAsia="Arial" w:hAnsi="Arial"/>
          <w:sz w:val="18"/>
          <w:szCs w:val="18"/>
          <w:color w:val="auto"/>
        </w:rPr>
      </w:pPr>
    </w:p>
    <w:p>
      <w:pPr>
        <w:ind w:left="1292" w:right="1799" w:firstLine="5"/>
        <w:spacing w:after="0" w:line="254" w:lineRule="auto"/>
        <w:tabs>
          <w:tab w:leader="none" w:pos="15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initial paragraph of the bond preceding the Insuring Agreements which reads " at any time but discovered during the Bond Period,"</w:t>
      </w:r>
    </w:p>
    <w:p>
      <w:pPr>
        <w:ind w:left="1292" w:right="1979" w:firstLine="5"/>
        <w:spacing w:after="0" w:line="250" w:lineRule="auto"/>
        <w:tabs>
          <w:tab w:leader="none" w:pos="15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Section 9-NON-REDUCTION AND NON-ACCUMULATION OF LIABILITY AND TOTAL LIABILITY</w:t>
      </w:r>
    </w:p>
    <w:p>
      <w:pPr>
        <w:ind w:left="1532" w:hanging="235"/>
        <w:spacing w:after="0"/>
        <w:tabs>
          <w:tab w:leader="none" w:pos="1532"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Section 1 a-LIMIT OF LIABILITY</w:t>
      </w:r>
    </w:p>
    <w:p>
      <w:pPr>
        <w:spacing w:after="0" w:line="272" w:lineRule="exact"/>
        <w:rPr>
          <w:rFonts w:ascii="Arial" w:cs="Arial" w:eastAsia="Arial" w:hAnsi="Arial"/>
          <w:sz w:val="18"/>
          <w:szCs w:val="18"/>
          <w:color w:val="auto"/>
        </w:rPr>
      </w:pPr>
    </w:p>
    <w:p>
      <w:pPr>
        <w:ind w:left="1292" w:right="1639" w:hanging="1292"/>
        <w:spacing w:after="0" w:line="268"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coverage afforded by this rider applies only to loss discovered by the Insured during the period this Rider is in force.</w:t>
      </w:r>
    </w:p>
    <w:p>
      <w:pPr>
        <w:spacing w:after="0" w:line="212" w:lineRule="exact"/>
        <w:rPr>
          <w:rFonts w:ascii="Arial" w:cs="Arial" w:eastAsia="Arial" w:hAnsi="Arial"/>
          <w:sz w:val="18"/>
          <w:szCs w:val="18"/>
          <w:color w:val="auto"/>
        </w:rPr>
      </w:pPr>
    </w:p>
    <w:p>
      <w:pPr>
        <w:ind w:left="1292" w:right="1599" w:hanging="1292"/>
        <w:spacing w:after="0" w:line="255"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loss or series of losses involving the fraudulent activity of one individual, or involving fraudulent activity in which one individual is implicated, whether or not that individual is specifically identified, shall be treated as one loss. A series of losses involving unidentified individuals but arising from the same method of operation may be deemed by the Underwriter to involve the same individual and in that event shall be treated as one loss.</w:t>
      </w:r>
    </w:p>
    <w:p>
      <w:pPr>
        <w:spacing w:after="0" w:line="223" w:lineRule="exact"/>
        <w:rPr>
          <w:rFonts w:ascii="Arial" w:cs="Arial" w:eastAsia="Arial" w:hAnsi="Arial"/>
          <w:sz w:val="18"/>
          <w:szCs w:val="18"/>
          <w:color w:val="auto"/>
        </w:rPr>
      </w:pPr>
    </w:p>
    <w:p>
      <w:pPr>
        <w:ind w:left="1292" w:hanging="1292"/>
        <w:spacing w:after="0"/>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Limit of Liability for the coverage provided by this Rider shall be $5,000,000.</w:t>
      </w:r>
    </w:p>
    <w:p>
      <w:pPr>
        <w:spacing w:after="0" w:line="252" w:lineRule="exact"/>
        <w:rPr>
          <w:rFonts w:ascii="Arial" w:cs="Arial" w:eastAsia="Arial" w:hAnsi="Arial"/>
          <w:sz w:val="18"/>
          <w:szCs w:val="18"/>
          <w:color w:val="auto"/>
        </w:rPr>
      </w:pPr>
    </w:p>
    <w:p>
      <w:pPr>
        <w:ind w:left="1292" w:hanging="1292"/>
        <w:spacing w:after="0"/>
        <w:tabs>
          <w:tab w:leader="none" w:pos="1292"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Underwriter shall be liable hereunder for the amount by which one loss shall be in excess of</w:t>
      </w:r>
    </w:p>
    <w:p>
      <w:pPr>
        <w:spacing w:after="0" w:line="38" w:lineRule="exact"/>
        <w:rPr>
          <w:rFonts w:ascii="Arial" w:cs="Arial" w:eastAsia="Arial" w:hAnsi="Arial"/>
          <w:sz w:val="16"/>
          <w:szCs w:val="16"/>
          <w:color w:val="auto"/>
        </w:rPr>
      </w:pPr>
    </w:p>
    <w:p>
      <w:pPr>
        <w:ind w:left="1292"/>
        <w:spacing w:after="0"/>
        <w:rPr>
          <w:rFonts w:ascii="Arial" w:cs="Arial" w:eastAsia="Arial" w:hAnsi="Arial"/>
          <w:sz w:val="16"/>
          <w:szCs w:val="16"/>
          <w:color w:val="auto"/>
        </w:rPr>
      </w:pPr>
      <w:r>
        <w:rPr>
          <w:rFonts w:ascii="Arial" w:cs="Arial" w:eastAsia="Arial" w:hAnsi="Arial"/>
          <w:sz w:val="16"/>
          <w:szCs w:val="16"/>
          <w:color w:val="auto"/>
        </w:rPr>
        <w:t>$50,000 (herein called the Deductible Amount) but not in excess of the Limit of Liability stated above.</w:t>
      </w:r>
    </w:p>
    <w:p>
      <w:pPr>
        <w:spacing w:after="0" w:line="268" w:lineRule="exact"/>
        <w:rPr>
          <w:rFonts w:ascii="Arial" w:cs="Arial" w:eastAsia="Arial" w:hAnsi="Arial"/>
          <w:sz w:val="16"/>
          <w:szCs w:val="16"/>
          <w:color w:val="auto"/>
        </w:rPr>
      </w:pPr>
    </w:p>
    <w:p>
      <w:pPr>
        <w:ind w:left="1292" w:right="1659" w:hanging="1292"/>
        <w:spacing w:after="0" w:line="259"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any loss is covered under this Insuring Agreement and any other Insuring Agreement or Coverage, the maximum amount payable for such loss shall not exceed the largest amount available under anyone Insuring Agreement or Coverage.</w:t>
      </w:r>
    </w:p>
    <w:p>
      <w:pPr>
        <w:spacing w:after="0" w:line="221" w:lineRule="exact"/>
        <w:rPr>
          <w:rFonts w:ascii="Arial" w:cs="Arial" w:eastAsia="Arial" w:hAnsi="Arial"/>
          <w:sz w:val="18"/>
          <w:szCs w:val="18"/>
          <w:color w:val="auto"/>
        </w:rPr>
      </w:pPr>
    </w:p>
    <w:p>
      <w:pPr>
        <w:ind w:left="1292" w:right="1719" w:hanging="1292"/>
        <w:spacing w:after="0" w:line="259" w:lineRule="auto"/>
        <w:tabs>
          <w:tab w:leader="none" w:pos="1292"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Coverage under this Rider shall terminate upon termination or cancellation of the bond to which this Rider is attached. Coverage under this rider may also be terminated or cancelled without canceling the bond as an entirety:</w:t>
      </w:r>
    </w:p>
    <w:p>
      <w:pPr>
        <w:spacing w:after="0" w:line="221" w:lineRule="exact"/>
        <w:rPr>
          <w:rFonts w:ascii="Arial" w:cs="Arial" w:eastAsia="Arial" w:hAnsi="Arial"/>
          <w:sz w:val="18"/>
          <w:szCs w:val="18"/>
          <w:color w:val="auto"/>
        </w:rPr>
      </w:pPr>
    </w:p>
    <w:p>
      <w:pPr>
        <w:ind w:left="1292" w:right="1699" w:firstLine="5"/>
        <w:spacing w:after="0" w:line="254" w:lineRule="auto"/>
        <w:tabs>
          <w:tab w:leader="none" w:pos="1531" w:val="left"/>
        </w:tabs>
        <w:numPr>
          <w:ilvl w:val="1"/>
          <w:numId w:val="33"/>
        </w:numPr>
        <w:rPr>
          <w:rFonts w:ascii="Arial" w:cs="Arial" w:eastAsia="Arial" w:hAnsi="Arial"/>
          <w:sz w:val="18"/>
          <w:szCs w:val="18"/>
          <w:color w:val="auto"/>
        </w:rPr>
      </w:pPr>
      <w:r>
        <w:rPr>
          <w:rFonts w:ascii="Arial" w:cs="Arial" w:eastAsia="Arial" w:hAnsi="Arial"/>
          <w:sz w:val="18"/>
          <w:szCs w:val="18"/>
          <w:color w:val="auto"/>
        </w:rPr>
        <w:t>90 days after receipt by the Insured of written notice from the Underwriter of its desire to terminate or cancel coverage under this Rider, or</w:t>
      </w:r>
    </w:p>
    <w:p>
      <w:pPr>
        <w:ind w:left="1292" w:right="1799" w:firstLine="5"/>
        <w:spacing w:after="0" w:line="261" w:lineRule="auto"/>
        <w:tabs>
          <w:tab w:leader="none" w:pos="1541" w:val="left"/>
        </w:tabs>
        <w:numPr>
          <w:ilvl w:val="1"/>
          <w:numId w:val="33"/>
        </w:numPr>
        <w:rPr>
          <w:rFonts w:ascii="Arial" w:cs="Arial" w:eastAsia="Arial" w:hAnsi="Arial"/>
          <w:sz w:val="18"/>
          <w:szCs w:val="18"/>
          <w:color w:val="auto"/>
        </w:rPr>
      </w:pPr>
      <w:r>
        <w:rPr>
          <w:rFonts w:ascii="Arial" w:cs="Arial" w:eastAsia="Arial" w:hAnsi="Arial"/>
          <w:sz w:val="18"/>
          <w:szCs w:val="18"/>
          <w:color w:val="auto"/>
        </w:rPr>
        <w:t>immediately upon receipt by the Underwriter of a written request from the Insured to terminate or cancel coverage under this Rider.</w:t>
      </w:r>
    </w:p>
    <w:p>
      <w:pPr>
        <w:spacing w:after="0" w:line="219" w:lineRule="exact"/>
        <w:rPr>
          <w:sz w:val="20"/>
          <w:szCs w:val="20"/>
          <w:color w:val="auto"/>
        </w:rPr>
      </w:pPr>
    </w:p>
    <w:p>
      <w:pPr>
        <w:ind w:left="1292" w:right="1659"/>
        <w:spacing w:after="0" w:line="259" w:lineRule="auto"/>
        <w:rPr>
          <w:sz w:val="20"/>
          <w:szCs w:val="20"/>
          <w:color w:val="auto"/>
        </w:rPr>
      </w:pPr>
      <w:r>
        <w:rPr>
          <w:rFonts w:ascii="Arial" w:cs="Arial" w:eastAsia="Arial" w:hAnsi="Arial"/>
          <w:sz w:val="18"/>
          <w:szCs w:val="18"/>
          <w:color w:val="auto"/>
        </w:rPr>
        <w:t>The Underwriter shall refund to the Insured the unearned premium for this coverage under this Rider. The refund shall be computed at short rates if this Rider is terminated or cancelled or reduced by notice from, or at the instance of, the Insured.</w:t>
      </w:r>
    </w:p>
    <w:p>
      <w:pPr>
        <w:spacing w:after="0" w:line="215" w:lineRule="exact"/>
        <w:rPr>
          <w:sz w:val="20"/>
          <w:szCs w:val="20"/>
          <w:color w:val="auto"/>
        </w:rPr>
      </w:pPr>
    </w:p>
    <w:p>
      <w:pPr>
        <w:ind w:left="3072"/>
        <w:spacing w:after="0"/>
        <w:rPr>
          <w:sz w:val="20"/>
          <w:szCs w:val="20"/>
          <w:color w:val="auto"/>
        </w:rPr>
      </w:pPr>
      <w:r>
        <w:rPr>
          <w:rFonts w:ascii="Arial" w:cs="Arial" w:eastAsia="Arial" w:hAnsi="Arial"/>
          <w:sz w:val="18"/>
          <w:szCs w:val="18"/>
          <w:b w:val="1"/>
          <w:bCs w:val="1"/>
          <w:color w:val="auto"/>
        </w:rPr>
        <w:t>ENDORSEMENT #4 (continued)</w:t>
      </w:r>
    </w:p>
    <w:p>
      <w:pPr>
        <w:spacing w:after="0" w:line="200" w:lineRule="exact"/>
        <w:rPr>
          <w:sz w:val="20"/>
          <w:szCs w:val="20"/>
          <w:color w:val="auto"/>
        </w:rPr>
      </w:pPr>
    </w:p>
    <w:p>
      <w:pPr>
        <w:spacing w:after="0" w:line="301" w:lineRule="exact"/>
        <w:rPr>
          <w:sz w:val="20"/>
          <w:szCs w:val="20"/>
          <w:color w:val="auto"/>
        </w:rPr>
      </w:pPr>
    </w:p>
    <w:p>
      <w:pPr>
        <w:ind w:left="1292" w:right="1759" w:hanging="1292"/>
        <w:spacing w:after="0" w:line="268" w:lineRule="auto"/>
        <w:tabs>
          <w:tab w:leader="none" w:pos="12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Section 4-LOSS-NOTICE-PROOF-LEGAL PROCEEDING of the Conditions and Limitations of this bond is amended by adding the following sentence:</w:t>
      </w:r>
    </w:p>
    <w:p>
      <w:pPr>
        <w:spacing w:after="0" w:line="212" w:lineRule="exact"/>
        <w:rPr>
          <w:rFonts w:ascii="Arial" w:cs="Arial" w:eastAsia="Arial" w:hAnsi="Arial"/>
          <w:sz w:val="18"/>
          <w:szCs w:val="18"/>
          <w:color w:val="auto"/>
        </w:rPr>
      </w:pPr>
    </w:p>
    <w:p>
      <w:pPr>
        <w:ind w:left="1292" w:right="2099"/>
        <w:spacing w:after="0" w:line="268" w:lineRule="auto"/>
        <w:rPr>
          <w:rFonts w:ascii="Arial" w:cs="Arial" w:eastAsia="Arial" w:hAnsi="Arial"/>
          <w:sz w:val="18"/>
          <w:szCs w:val="18"/>
          <w:color w:val="auto"/>
        </w:rPr>
      </w:pPr>
      <w:r>
        <w:rPr>
          <w:rFonts w:ascii="Arial" w:cs="Arial" w:eastAsia="Arial" w:hAnsi="Arial"/>
          <w:sz w:val="18"/>
          <w:szCs w:val="18"/>
          <w:color w:val="auto"/>
        </w:rPr>
        <w:t>"Proof of Loss resulting from Voice Instructions or advices covered under this bond shall include Electronic Recordings of such Voice Instructions or advices."</w:t>
      </w:r>
    </w:p>
    <w:p>
      <w:pPr>
        <w:spacing w:after="0" w:line="212" w:lineRule="exact"/>
        <w:rPr>
          <w:rFonts w:ascii="Arial" w:cs="Arial" w:eastAsia="Arial" w:hAnsi="Arial"/>
          <w:sz w:val="18"/>
          <w:szCs w:val="18"/>
          <w:color w:val="auto"/>
        </w:rPr>
      </w:pPr>
    </w:p>
    <w:p>
      <w:pPr>
        <w:ind w:left="1292" w:right="1599" w:hanging="1292"/>
        <w:spacing w:after="0" w:line="255" w:lineRule="auto"/>
        <w:tabs>
          <w:tab w:leader="none" w:pos="1292"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Notwithstanding the foregoing, however, coverage afforded by this Rider is not designed to provide protection against loss covered under a separate Electronic and Computer Crime Policy by whatever title assigned or by whatever Underwriter written. Any loss which is covered under such separate Policy is excluded from coverage under this bond; and the Insured agrees to make claim for such loss under its separate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850900</wp:posOffset>
            </wp:positionV>
            <wp:extent cx="2126615" cy="6172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ectPr>
          <w:pgSz w:w="11900" w:h="16838" w:orient="portrait"/>
          <w:cols w:equalWidth="0" w:num="1">
            <w:col w:w="10211"/>
          </w:cols>
          <w:pgMar w:left="248" w:top="131" w:right="1440"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ENDORSEMENT #5</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838" w:orient="portrait"/>
          <w:cols w:equalWidth="0" w:num="2">
            <w:col w:w="5840" w:space="720"/>
            <w:col w:w="3659"/>
          </w:cols>
          <w:pgMar w:left="240" w:top="131" w:right="1440" w:bottom="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2" w:lineRule="exact"/>
        <w:rPr>
          <w:sz w:val="20"/>
          <w:szCs w:val="20"/>
          <w:color w:val="auto"/>
        </w:rPr>
      </w:pPr>
    </w:p>
    <w:p>
      <w:pPr>
        <w:sectPr>
          <w:pgSz w:w="11900" w:h="16838" w:orient="portrait"/>
          <w:cols w:equalWidth="0" w:num="2">
            <w:col w:w="2400" w:space="720"/>
            <w:col w:w="7099"/>
          </w:cols>
          <w:pgMar w:left="240" w:top="131" w:right="1440"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65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838" w:orient="portrait"/>
          <w:cols w:equalWidth="0" w:num="2">
            <w:col w:w="2400" w:space="720"/>
            <w:col w:w="7099"/>
          </w:cols>
          <w:pgMar w:left="240" w:top="131" w:right="1440" w:bottom="0" w:gutter="0" w:footer="0" w:header="0"/>
          <w:type w:val="continuous"/>
        </w:sectPr>
      </w:pPr>
    </w:p>
    <w:p>
      <w:pPr>
        <w:spacing w:after="0" w:line="312"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TELEFACSIMILE TRANSFER FRAUD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52" w:lineRule="exact"/>
        <w:rPr>
          <w:sz w:val="20"/>
          <w:szCs w:val="20"/>
          <w:color w:val="auto"/>
        </w:rPr>
      </w:pPr>
    </w:p>
    <w:p>
      <w:pPr>
        <w:ind w:left="1300" w:hanging="129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attached bond is amended by adding an Insuring Agreement as follows:</w:t>
      </w:r>
    </w:p>
    <w:p>
      <w:pPr>
        <w:spacing w:after="0" w:line="246" w:lineRule="exact"/>
        <w:rPr>
          <w:rFonts w:ascii="Arial" w:cs="Arial" w:eastAsia="Arial" w:hAnsi="Arial"/>
          <w:sz w:val="18"/>
          <w:szCs w:val="18"/>
          <w:color w:val="auto"/>
        </w:rPr>
      </w:pPr>
    </w:p>
    <w:p>
      <w:pPr>
        <w:ind w:left="2780"/>
        <w:spacing w:after="0"/>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258" w:lineRule="exact"/>
        <w:rPr>
          <w:sz w:val="20"/>
          <w:szCs w:val="20"/>
          <w:color w:val="auto"/>
        </w:rPr>
      </w:pPr>
    </w:p>
    <w:p>
      <w:pPr>
        <w:ind w:left="1300" w:right="1619"/>
        <w:spacing w:after="0" w:line="256"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the Computer System Fraud Insuring Agreement in reliance upon a fraudulent instruction received through a Telefacsimile Device, and which instruction</w:t>
      </w:r>
    </w:p>
    <w:p>
      <w:pPr>
        <w:spacing w:after="0" w:line="224" w:lineRule="exact"/>
        <w:rPr>
          <w:sz w:val="20"/>
          <w:szCs w:val="20"/>
          <w:color w:val="auto"/>
        </w:rPr>
      </w:pPr>
    </w:p>
    <w:p>
      <w:pPr>
        <w:ind w:left="1300" w:hanging="746"/>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252" w:lineRule="exact"/>
        <w:rPr>
          <w:rFonts w:ascii="Arial" w:cs="Arial" w:eastAsia="Arial" w:hAnsi="Arial"/>
          <w:sz w:val="18"/>
          <w:szCs w:val="18"/>
          <w:color w:val="auto"/>
        </w:rPr>
      </w:pPr>
    </w:p>
    <w:p>
      <w:pPr>
        <w:ind w:left="1540" w:hanging="235"/>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279" w:lineRule="exact"/>
        <w:rPr>
          <w:rFonts w:ascii="Arial" w:cs="Arial" w:eastAsia="Arial" w:hAnsi="Arial"/>
          <w:sz w:val="18"/>
          <w:szCs w:val="18"/>
          <w:color w:val="auto"/>
        </w:rPr>
      </w:pPr>
    </w:p>
    <w:p>
      <w:pPr>
        <w:ind w:left="1560" w:hanging="255"/>
        <w:spacing w:after="0"/>
        <w:tabs>
          <w:tab w:leader="none" w:pos="15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279" w:lineRule="exact"/>
        <w:rPr>
          <w:rFonts w:ascii="Arial" w:cs="Arial" w:eastAsia="Arial" w:hAnsi="Arial"/>
          <w:sz w:val="18"/>
          <w:szCs w:val="18"/>
          <w:color w:val="auto"/>
        </w:rPr>
      </w:pPr>
    </w:p>
    <w:p>
      <w:pPr>
        <w:ind w:left="1540" w:hanging="235"/>
        <w:spacing w:after="0"/>
        <w:tabs>
          <w:tab w:leader="none" w:pos="15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27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279" w:lineRule="exact"/>
        <w:rPr>
          <w:sz w:val="20"/>
          <w:szCs w:val="20"/>
          <w:color w:val="auto"/>
        </w:rPr>
      </w:pPr>
    </w:p>
    <w:p>
      <w:pPr>
        <w:ind w:left="1300" w:right="1699" w:hanging="746"/>
        <w:spacing w:after="0" w:line="268"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212" w:lineRule="exact"/>
        <w:rPr>
          <w:rFonts w:ascii="Arial" w:cs="Arial" w:eastAsia="Arial" w:hAnsi="Arial"/>
          <w:sz w:val="18"/>
          <w:szCs w:val="18"/>
          <w:color w:val="auto"/>
        </w:rPr>
      </w:pPr>
    </w:p>
    <w:p>
      <w:pPr>
        <w:ind w:left="1300" w:hanging="746"/>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 and</w:t>
      </w:r>
    </w:p>
    <w:p>
      <w:pPr>
        <w:spacing w:after="0" w:line="252" w:lineRule="exact"/>
        <w:rPr>
          <w:sz w:val="20"/>
          <w:szCs w:val="20"/>
          <w:color w:val="auto"/>
        </w:rPr>
      </w:pPr>
    </w:p>
    <w:p>
      <w:pPr>
        <w:ind w:left="1300" w:right="2159"/>
        <w:spacing w:after="0" w:line="268" w:lineRule="auto"/>
        <w:rPr>
          <w:sz w:val="20"/>
          <w:szCs w:val="20"/>
          <w:color w:val="auto"/>
        </w:rPr>
      </w:pPr>
      <w:r>
        <w:rPr>
          <w:rFonts w:ascii="Arial" w:cs="Arial" w:eastAsia="Arial" w:hAnsi="Arial"/>
          <w:sz w:val="18"/>
          <w:szCs w:val="18"/>
          <w:color w:val="auto"/>
        </w:rPr>
        <w:t>provided that, if the transfer was in excess of $50,000 the instruction was verified by a call-back according to a prearranged procedure.</w:t>
      </w:r>
    </w:p>
    <w:p>
      <w:pPr>
        <w:spacing w:after="0" w:line="213" w:lineRule="exact"/>
        <w:rPr>
          <w:sz w:val="20"/>
          <w:szCs w:val="20"/>
          <w:color w:val="auto"/>
        </w:rPr>
      </w:pPr>
    </w:p>
    <w:p>
      <w:pPr>
        <w:ind w:right="1679"/>
        <w:spacing w:after="0" w:line="298" w:lineRule="auto"/>
        <w:rPr>
          <w:sz w:val="20"/>
          <w:szCs w:val="20"/>
          <w:color w:val="auto"/>
        </w:rPr>
      </w:pPr>
      <w:r>
        <w:rPr>
          <w:rFonts w:ascii="Arial" w:cs="Arial" w:eastAsia="Arial" w:hAnsi="Arial"/>
          <w:sz w:val="16"/>
          <w:szCs w:val="16"/>
          <w:color w:val="auto"/>
        </w:rPr>
        <w:t>In this Insuring Agreement, Customer means an entity or individual which has a written agreement with the Insured authorizing the Insured to rely on Telefacsimile Device instructions to initiate transfers and has provided the Insured with the names of persons authorized to initiate such transfers, and with which the Insured has established an instruction verification mechanism, and Funds means Money on deposit in an account.</w:t>
      </w:r>
    </w:p>
    <w:p>
      <w:pPr>
        <w:spacing w:after="0" w:line="18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ENDORSEMENT #5 (continued)</w:t>
      </w:r>
    </w:p>
    <w:p>
      <w:pPr>
        <w:spacing w:after="0" w:line="200" w:lineRule="exact"/>
        <w:rPr>
          <w:sz w:val="20"/>
          <w:szCs w:val="20"/>
          <w:color w:val="auto"/>
        </w:rPr>
      </w:pPr>
    </w:p>
    <w:p>
      <w:pPr>
        <w:spacing w:after="0" w:line="301" w:lineRule="exact"/>
        <w:rPr>
          <w:sz w:val="20"/>
          <w:szCs w:val="20"/>
          <w:color w:val="auto"/>
        </w:rPr>
      </w:pPr>
    </w:p>
    <w:p>
      <w:pPr>
        <w:ind w:left="1300" w:right="1799" w:hanging="1292"/>
        <w:spacing w:after="0" w:line="259" w:lineRule="auto"/>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 addition to the Conditions and Limitations in the bond and Computer Systems Fraud Insuring Agreement rider, the following provisions are applicable to the Telefacsimile Transfer Fraud Insuring Agreement:</w:t>
      </w:r>
    </w:p>
    <w:p>
      <w:pPr>
        <w:spacing w:after="0" w:line="221" w:lineRule="exact"/>
        <w:rPr>
          <w:rFonts w:ascii="Arial" w:cs="Arial" w:eastAsia="Arial" w:hAnsi="Arial"/>
          <w:sz w:val="18"/>
          <w:szCs w:val="18"/>
          <w:color w:val="auto"/>
        </w:rPr>
      </w:pPr>
    </w:p>
    <w:p>
      <w:pPr>
        <w:ind w:left="1300" w:right="1599"/>
        <w:spacing w:after="0" w:line="259" w:lineRule="auto"/>
        <w:rPr>
          <w:rFonts w:ascii="Arial" w:cs="Arial" w:eastAsia="Arial" w:hAnsi="Arial"/>
          <w:sz w:val="18"/>
          <w:szCs w:val="18"/>
          <w:color w:val="auto"/>
        </w:rPr>
      </w:pPr>
      <w:r>
        <w:rPr>
          <w:rFonts w:ascii="Arial" w:cs="Arial" w:eastAsia="Arial" w:hAnsi="Arial"/>
          <w:sz w:val="18"/>
          <w:szCs w:val="18"/>
          <w:color w:val="auto"/>
        </w:rPr>
        <w:t>Telefacsimile Device means a machine capable of sending or receiving a duplicate image of a document by means of electronic impulses transmitted through a telephone line and which reproduces the duplicate image on paper.</w:t>
      </w:r>
    </w:p>
    <w:p>
      <w:pPr>
        <w:spacing w:after="0" w:line="221" w:lineRule="exact"/>
        <w:rPr>
          <w:rFonts w:ascii="Arial" w:cs="Arial" w:eastAsia="Arial" w:hAnsi="Arial"/>
          <w:sz w:val="18"/>
          <w:szCs w:val="18"/>
          <w:color w:val="auto"/>
        </w:rPr>
      </w:pPr>
    </w:p>
    <w:p>
      <w:pPr>
        <w:ind w:left="1300" w:right="1659"/>
        <w:spacing w:after="0" w:line="256" w:lineRule="auto"/>
        <w:rPr>
          <w:rFonts w:ascii="Arial" w:cs="Arial" w:eastAsia="Arial" w:hAnsi="Arial"/>
          <w:sz w:val="18"/>
          <w:szCs w:val="18"/>
          <w:color w:val="auto"/>
        </w:rPr>
      </w:pPr>
      <w:r>
        <w:rPr>
          <w:rFonts w:ascii="Arial" w:cs="Arial" w:eastAsia="Arial" w:hAnsi="Arial"/>
          <w:sz w:val="18"/>
          <w:szCs w:val="18"/>
          <w:color w:val="auto"/>
        </w:rPr>
        <w:t>This Insuring Agreement does not cover loss resulting directly or indirectly from the assumption of liability by the Insured by contract unless the liability arises from a loss covered by the Telefacsimile Transfer Fraud Insuring Agreement and would be imposed on the Insured regardless of the existence of the contract.</w:t>
      </w:r>
    </w:p>
    <w:p>
      <w:pPr>
        <w:spacing w:after="0" w:line="224" w:lineRule="exact"/>
        <w:rPr>
          <w:sz w:val="20"/>
          <w:szCs w:val="20"/>
          <w:color w:val="auto"/>
        </w:rPr>
      </w:pPr>
    </w:p>
    <w:p>
      <w:pPr>
        <w:ind w:left="1300" w:right="1659"/>
        <w:spacing w:after="0" w:line="268" w:lineRule="auto"/>
        <w:rPr>
          <w:sz w:val="20"/>
          <w:szCs w:val="20"/>
          <w:color w:val="auto"/>
        </w:rPr>
      </w:pPr>
      <w:r>
        <w:rPr>
          <w:rFonts w:ascii="Arial" w:cs="Arial" w:eastAsia="Arial" w:hAnsi="Arial"/>
          <w:sz w:val="18"/>
          <w:szCs w:val="18"/>
          <w:color w:val="auto"/>
        </w:rPr>
        <w:t>Proof of loss for claim under the Telefacsimile Transfer Fraud Insuring Agreement must include a copy of the document reproduced by the Telefacsimile Device.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19"/>
          </w:cols>
          <w:pgMar w:left="240" w:top="131" w:right="1440" w:bottom="0" w:gutter="0" w:footer="0" w:header="0"/>
          <w:type w:val="continuous"/>
        </w:sectPr>
      </w:pPr>
    </w:p>
    <w:bookmarkStart w:id="16" w:name="page17"/>
    <w:bookmarkEnd w:id="16"/>
    <w:p>
      <w:pPr>
        <w:ind w:left="1300" w:right="2019"/>
        <w:spacing w:after="0" w:line="268" w:lineRule="auto"/>
        <w:rPr>
          <w:sz w:val="20"/>
          <w:szCs w:val="20"/>
          <w:color w:val="auto"/>
        </w:rPr>
      </w:pPr>
      <w:r>
        <w:rPr>
          <w:rFonts w:ascii="Arial" w:cs="Arial" w:eastAsia="Arial" w:hAnsi="Arial"/>
          <w:sz w:val="18"/>
          <w:szCs w:val="18"/>
          <w:color w:val="auto"/>
        </w:rPr>
        <w:t>Nothing herein contained shall be held to vary, alter, waive or extend any of the terms, limitations, conditions or agreements of the attached bond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749300</wp:posOffset>
            </wp:positionV>
            <wp:extent cx="2126615" cy="6172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#6</w:t>
      </w:r>
    </w:p>
    <w:p>
      <w:pPr>
        <w:sectPr>
          <w:pgSz w:w="11900" w:h="16838" w:orient="portrait"/>
          <w:cols w:equalWidth="0" w:num="1">
            <w:col w:w="10219"/>
          </w:cols>
          <w:pgMar w:left="240" w:top="131" w:right="1440" w:bottom="0"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838" w:orient="portrait"/>
          <w:cols w:equalWidth="0" w:num="2">
            <w:col w:w="5840" w:space="720"/>
            <w:col w:w="3659"/>
          </w:cols>
          <w:pgMar w:left="240" w:top="131" w:right="1440" w:bottom="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2" w:lineRule="exact"/>
        <w:rPr>
          <w:sz w:val="20"/>
          <w:szCs w:val="20"/>
          <w:color w:val="auto"/>
        </w:rPr>
      </w:pPr>
    </w:p>
    <w:p>
      <w:pPr>
        <w:sectPr>
          <w:pgSz w:w="11900" w:h="16838" w:orient="portrait"/>
          <w:cols w:equalWidth="0" w:num="2">
            <w:col w:w="2660" w:space="720"/>
            <w:col w:w="6839"/>
          </w:cols>
          <w:pgMar w:left="240" w:top="131" w:right="1440"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838" w:orient="portrait"/>
          <w:cols w:equalWidth="0" w:num="2">
            <w:col w:w="2660" w:space="720"/>
            <w:col w:w="6839"/>
          </w:cols>
          <w:pgMar w:left="240" w:top="131" w:right="1440" w:bottom="0" w:gutter="0" w:footer="0" w:header="0"/>
          <w:type w:val="continuous"/>
        </w:sectPr>
      </w:pPr>
    </w:p>
    <w:p>
      <w:pPr>
        <w:spacing w:after="0" w:line="312"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ERISA RIDER</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ectPr>
          <w:pgSz w:w="11900" w:h="16838" w:orient="portrait"/>
          <w:cols w:equalWidth="0" w:num="1">
            <w:col w:w="10219"/>
          </w:cols>
          <w:pgMar w:left="240" w:top="131" w:right="1440" w:bottom="0" w:gutter="0" w:footer="0" w:header="0"/>
          <w:type w:val="continuous"/>
        </w:sectPr>
      </w:pPr>
    </w:p>
    <w:p>
      <w:pPr>
        <w:spacing w:after="0" w:line="252" w:lineRule="exact"/>
        <w:rPr>
          <w:sz w:val="20"/>
          <w:szCs w:val="20"/>
          <w:color w:val="auto"/>
        </w:rPr>
      </w:pPr>
    </w:p>
    <w:p>
      <w:pPr>
        <w:ind w:left="1300" w:hanging="1292"/>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shall be included as Insured:</w:t>
      </w:r>
    </w:p>
    <w:p>
      <w:pPr>
        <w:spacing w:after="0" w:line="252" w:lineRule="exact"/>
        <w:rPr>
          <w:rFonts w:ascii="Arial" w:cs="Arial" w:eastAsia="Arial" w:hAnsi="Arial"/>
          <w:sz w:val="18"/>
          <w:szCs w:val="18"/>
          <w:color w:val="auto"/>
        </w:rPr>
      </w:pPr>
    </w:p>
    <w:p>
      <w:pPr>
        <w:ind w:left="1300" w:right="1639"/>
        <w:spacing w:after="0" w:line="268" w:lineRule="auto"/>
        <w:rPr>
          <w:rFonts w:ascii="Arial" w:cs="Arial" w:eastAsia="Arial" w:hAnsi="Arial"/>
          <w:sz w:val="18"/>
          <w:szCs w:val="18"/>
          <w:color w:val="auto"/>
        </w:rPr>
      </w:pPr>
      <w:r>
        <w:rPr>
          <w:rFonts w:ascii="Arial" w:cs="Arial" w:eastAsia="Arial" w:hAnsi="Arial"/>
          <w:sz w:val="18"/>
          <w:szCs w:val="18"/>
          <w:color w:val="auto"/>
        </w:rPr>
        <w:t>All of the Insured's plans which may be required to be bonded under The Employee Retirement Income Security Act of 1974.</w:t>
      </w:r>
    </w:p>
    <w:p>
      <w:pPr>
        <w:spacing w:after="0" w:line="212" w:lineRule="exact"/>
        <w:rPr>
          <w:rFonts w:ascii="Arial" w:cs="Arial" w:eastAsia="Arial" w:hAnsi="Arial"/>
          <w:sz w:val="18"/>
          <w:szCs w:val="18"/>
          <w:color w:val="auto"/>
        </w:rPr>
      </w:pPr>
    </w:p>
    <w:p>
      <w:pPr>
        <w:ind w:left="1300" w:right="1659" w:hanging="1292"/>
        <w:spacing w:after="0" w:line="298"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"Employee" as used in the attached bond shall include any natural person who is a director or trustee of the Insured while such director or trustee is engaged in handling funds or other property of any Employee Welfare or Pension Benefit Plan owned, controlled or operated by the Insured or any natural person who is a trustee, manager, officer or employee of any such Plan.</w:t>
      </w:r>
    </w:p>
    <w:p>
      <w:pPr>
        <w:spacing w:after="0" w:line="193" w:lineRule="exact"/>
        <w:rPr>
          <w:rFonts w:ascii="Arial" w:cs="Arial" w:eastAsia="Arial" w:hAnsi="Arial"/>
          <w:sz w:val="16"/>
          <w:szCs w:val="16"/>
          <w:color w:val="auto"/>
        </w:rPr>
      </w:pPr>
    </w:p>
    <w:p>
      <w:pPr>
        <w:ind w:left="1300" w:right="1599" w:hanging="1292"/>
        <w:spacing w:after="0" w:line="290"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 Disclosure Act of 1958 to obtain under one or more bonds issued by one or more Insurers an amount of coverage for each such Plan at least equal to that which would be required if such Plans were bonded separately.</w:t>
      </w:r>
    </w:p>
    <w:p>
      <w:pPr>
        <w:spacing w:after="0" w:line="199" w:lineRule="exact"/>
        <w:rPr>
          <w:rFonts w:ascii="Arial" w:cs="Arial" w:eastAsia="Arial" w:hAnsi="Arial"/>
          <w:sz w:val="16"/>
          <w:szCs w:val="16"/>
          <w:color w:val="auto"/>
        </w:rPr>
      </w:pPr>
    </w:p>
    <w:p>
      <w:pPr>
        <w:ind w:left="1300" w:right="1639" w:hanging="1292"/>
        <w:spacing w:after="0" w:line="290" w:lineRule="auto"/>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of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199" w:lineRule="exact"/>
        <w:rPr>
          <w:rFonts w:ascii="Arial" w:cs="Arial" w:eastAsia="Arial" w:hAnsi="Arial"/>
          <w:sz w:val="16"/>
          <w:szCs w:val="16"/>
          <w:color w:val="auto"/>
        </w:rPr>
      </w:pPr>
    </w:p>
    <w:p>
      <w:pPr>
        <w:ind w:left="1300" w:right="1779" w:hanging="1292"/>
        <w:spacing w:after="0" w:line="255"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218"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ENDORSEMENT #6 (continued)</w:t>
      </w:r>
    </w:p>
    <w:p>
      <w:pPr>
        <w:spacing w:after="0" w:line="200" w:lineRule="exact"/>
        <w:rPr>
          <w:sz w:val="20"/>
          <w:szCs w:val="20"/>
          <w:color w:val="auto"/>
        </w:rPr>
      </w:pPr>
    </w:p>
    <w:p>
      <w:pPr>
        <w:spacing w:after="0" w:line="301" w:lineRule="exact"/>
        <w:rPr>
          <w:sz w:val="20"/>
          <w:szCs w:val="20"/>
          <w:color w:val="auto"/>
        </w:rPr>
      </w:pPr>
    </w:p>
    <w:p>
      <w:pPr>
        <w:ind w:left="1300" w:right="1739" w:hanging="1292"/>
        <w:spacing w:after="0" w:line="256"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131" w:right="1440" w:bottom="0" w:gutter="0" w:footer="0" w:header="0"/>
          <w:type w:val="continuous"/>
        </w:sectPr>
      </w:pPr>
    </w:p>
    <w:bookmarkStart w:id="17" w:name="page18"/>
    <w:bookmarkEnd w:id="17"/>
    <w:p>
      <w:pPr>
        <w:ind w:left="1300" w:right="2019"/>
        <w:spacing w:after="0" w:line="332" w:lineRule="auto"/>
        <w:rPr>
          <w:sz w:val="20"/>
          <w:szCs w:val="20"/>
          <w:color w:val="auto"/>
        </w:rPr>
      </w:pPr>
      <w:r>
        <w:rPr>
          <w:rFonts w:ascii="Arial" w:cs="Arial" w:eastAsia="Arial" w:hAnsi="Arial"/>
          <w:sz w:val="16"/>
          <w:szCs w:val="16"/>
          <w:color w:val="auto"/>
        </w:rPr>
        <w:t>Nothing herein contained shall be held to vary, alter, waive or extend any of the terms, conditions, provisions, agreements or limitations of the bond, other than as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316865</wp:posOffset>
            </wp:positionV>
            <wp:extent cx="2126615" cy="617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#7</w:t>
      </w:r>
    </w:p>
    <w:p>
      <w:pPr>
        <w:sectPr>
          <w:pgSz w:w="11900" w:h="16838" w:orient="portrait"/>
          <w:cols w:equalWidth="0" w:num="1">
            <w:col w:w="10219"/>
          </w:cols>
          <w:pgMar w:left="240" w:top="131" w:right="1440" w:bottom="101"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838" w:orient="portrait"/>
          <w:cols w:equalWidth="0" w:num="2">
            <w:col w:w="5840" w:space="720"/>
            <w:col w:w="3659"/>
          </w:cols>
          <w:pgMar w:left="240" w:top="131" w:right="1440" w:bottom="101"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8" w:lineRule="exact"/>
        <w:rPr>
          <w:sz w:val="20"/>
          <w:szCs w:val="20"/>
          <w:color w:val="auto"/>
        </w:rPr>
      </w:pPr>
    </w:p>
    <w:p>
      <w:pPr>
        <w:sectPr>
          <w:pgSz w:w="11900" w:h="16838" w:orient="portrait"/>
          <w:cols w:equalWidth="0" w:num="2">
            <w:col w:w="2420" w:space="720"/>
            <w:col w:w="7079"/>
          </w:cols>
          <w:pgMar w:left="240" w:top="131" w:right="1440" w:bottom="101"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63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838" w:orient="portrait"/>
          <w:cols w:equalWidth="0" w:num="2">
            <w:col w:w="2420" w:space="720"/>
            <w:col w:w="7079"/>
          </w:cols>
          <w:pgMar w:left="240" w:top="131" w:right="1440" w:bottom="101" w:gutter="0" w:footer="0" w:header="0"/>
          <w:type w:val="continuous"/>
        </w:sectPr>
      </w:pPr>
    </w:p>
    <w:p>
      <w:pPr>
        <w:spacing w:after="0" w:line="312" w:lineRule="exact"/>
        <w:rPr>
          <w:sz w:val="20"/>
          <w:szCs w:val="20"/>
          <w:color w:val="auto"/>
        </w:rPr>
      </w:pPr>
    </w:p>
    <w:p>
      <w:pPr>
        <w:ind w:left="3100"/>
        <w:spacing w:after="0"/>
        <w:rPr>
          <w:sz w:val="20"/>
          <w:szCs w:val="20"/>
          <w:color w:val="auto"/>
        </w:rPr>
      </w:pPr>
      <w:r>
        <w:rPr>
          <w:rFonts w:ascii="Arial" w:cs="Arial" w:eastAsia="Arial" w:hAnsi="Arial"/>
          <w:sz w:val="16"/>
          <w:szCs w:val="16"/>
          <w:b w:val="1"/>
          <w:bCs w:val="1"/>
          <w:color w:val="auto"/>
        </w:rPr>
        <w:t>NAMED INSURED AMENDED</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ectPr>
          <w:pgSz w:w="11900" w:h="16838" w:orient="portrait"/>
          <w:cols w:equalWidth="0" w:num="1">
            <w:col w:w="10219"/>
          </w:cols>
          <w:pgMar w:left="240" w:top="131" w:right="1440" w:bottom="101"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1300" w:right="1919" w:hanging="1292"/>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Item 1 of the Declarations page, Name of Insured (herein called Insured), is amended to include the following:</w:t>
      </w:r>
    </w:p>
    <w:p>
      <w:pPr>
        <w:spacing w:after="0" w:line="212" w:lineRule="exact"/>
        <w:rPr>
          <w:rFonts w:ascii="Arial" w:cs="Arial" w:eastAsia="Arial" w:hAnsi="Arial"/>
          <w:sz w:val="18"/>
          <w:szCs w:val="18"/>
          <w:color w:val="auto"/>
        </w:rPr>
      </w:pPr>
    </w:p>
    <w:p>
      <w:pPr>
        <w:ind w:left="1480" w:hanging="175"/>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PennantPark Investment Advisers, LLC</w:t>
      </w:r>
    </w:p>
    <w:p>
      <w:pPr>
        <w:spacing w:after="0" w:line="36" w:lineRule="exact"/>
        <w:rPr>
          <w:rFonts w:ascii="Arial" w:cs="Arial" w:eastAsia="Arial" w:hAnsi="Arial"/>
          <w:sz w:val="18"/>
          <w:szCs w:val="18"/>
          <w:color w:val="auto"/>
        </w:rPr>
      </w:pPr>
    </w:p>
    <w:p>
      <w:pPr>
        <w:ind w:left="1480" w:hanging="175"/>
        <w:spacing w:after="0"/>
        <w:tabs>
          <w:tab w:leader="none" w:pos="1480"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PennantPark Investment Administration, LLC</w:t>
      </w:r>
    </w:p>
    <w:p>
      <w:pPr>
        <w:spacing w:after="0" w:line="279" w:lineRule="exact"/>
        <w:rPr>
          <w:rFonts w:ascii="Arial" w:cs="Arial" w:eastAsia="Arial" w:hAnsi="Arial"/>
          <w:sz w:val="18"/>
          <w:szCs w:val="18"/>
          <w:color w:val="auto"/>
        </w:rPr>
      </w:pPr>
    </w:p>
    <w:p>
      <w:pPr>
        <w:ind w:left="1300" w:right="1959" w:hanging="1292"/>
        <w:spacing w:after="0" w:line="268"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Nothing contained herein shall be held to vary, alter, waive, or extend any of the terms, limitations, conditions or agreements of the attached policy other than as above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2126615" cy="6172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550545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ENDORSEMENT #8</w:t>
      </w:r>
    </w:p>
    <w:p>
      <w:pPr>
        <w:sectPr>
          <w:pgSz w:w="11900" w:h="16838" w:orient="portrait"/>
          <w:cols w:equalWidth="0" w:num="1">
            <w:col w:w="10219"/>
          </w:cols>
          <w:pgMar w:left="240" w:top="131" w:right="1440" w:bottom="101" w:gutter="0" w:footer="0" w:header="0"/>
          <w:type w:val="continuous"/>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838" w:orient="portrait"/>
          <w:cols w:equalWidth="0" w:num="2">
            <w:col w:w="5840" w:space="720"/>
            <w:col w:w="3659"/>
          </w:cols>
          <w:pgMar w:left="240" w:top="131" w:right="1440" w:bottom="101"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8" w:lineRule="exact"/>
        <w:rPr>
          <w:sz w:val="20"/>
          <w:szCs w:val="20"/>
          <w:color w:val="auto"/>
        </w:rPr>
      </w:pPr>
    </w:p>
    <w:p>
      <w:pPr>
        <w:sectPr>
          <w:pgSz w:w="11900" w:h="16838" w:orient="portrait"/>
          <w:cols w:equalWidth="0" w:num="2">
            <w:col w:w="2420" w:space="720"/>
            <w:col w:w="7079"/>
          </w:cols>
          <w:pgMar w:left="240" w:top="131" w:right="1440" w:bottom="101" w:gutter="0" w:footer="0" w:header="0"/>
          <w:type w:val="continuous"/>
        </w:sectPr>
      </w:pP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jc w:val="center"/>
        <w:ind w:right="263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6" w:lineRule="exact"/>
        <w:rPr>
          <w:sz w:val="20"/>
          <w:szCs w:val="20"/>
          <w:color w:val="auto"/>
        </w:rPr>
      </w:pPr>
    </w:p>
    <w:p>
      <w:pPr>
        <w:sectPr>
          <w:pgSz w:w="11900" w:h="16838" w:orient="portrait"/>
          <w:cols w:equalWidth="0" w:num="2">
            <w:col w:w="2420" w:space="720"/>
            <w:col w:w="7079"/>
          </w:cols>
          <w:pgMar w:left="240" w:top="131" w:right="1440" w:bottom="101" w:gutter="0" w:footer="0" w:header="0"/>
          <w:type w:val="continuous"/>
        </w:sectPr>
      </w:pPr>
    </w:p>
    <w:p>
      <w:pPr>
        <w:spacing w:after="0" w:line="312" w:lineRule="exact"/>
        <w:rPr>
          <w:sz w:val="20"/>
          <w:szCs w:val="20"/>
          <w:color w:val="auto"/>
        </w:rPr>
      </w:pPr>
    </w:p>
    <w:p>
      <w:pPr>
        <w:jc w:val="center"/>
        <w:ind w:right="1579"/>
        <w:spacing w:after="0"/>
        <w:rPr>
          <w:sz w:val="20"/>
          <w:szCs w:val="20"/>
          <w:color w:val="auto"/>
        </w:rPr>
      </w:pPr>
      <w:r>
        <w:rPr>
          <w:rFonts w:ascii="Arial" w:cs="Arial" w:eastAsia="Arial" w:hAnsi="Arial"/>
          <w:sz w:val="18"/>
          <w:szCs w:val="18"/>
          <w:b w:val="1"/>
          <w:bCs w:val="1"/>
          <w:color w:val="auto"/>
        </w:rPr>
        <w:t>COVERAGE TERRITORY ENDORSEMENT (OFAC)</w:t>
      </w:r>
    </w:p>
    <w:p>
      <w:pPr>
        <w:spacing w:after="0" w:line="252" w:lineRule="exact"/>
        <w:rPr>
          <w:sz w:val="20"/>
          <w:szCs w:val="20"/>
          <w:color w:val="auto"/>
        </w:rPr>
      </w:pPr>
    </w:p>
    <w:p>
      <w:pPr>
        <w:ind w:left="1040"/>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58" w:lineRule="exact"/>
        <w:rPr>
          <w:sz w:val="20"/>
          <w:szCs w:val="20"/>
          <w:color w:val="auto"/>
        </w:rPr>
      </w:pPr>
    </w:p>
    <w:p>
      <w:pPr>
        <w:ind w:right="1619"/>
        <w:spacing w:after="0" w:line="253" w:lineRule="auto"/>
        <w:rPr>
          <w:sz w:val="20"/>
          <w:szCs w:val="20"/>
          <w:color w:val="auto"/>
        </w:rPr>
      </w:pPr>
      <w:r>
        <w:rPr>
          <w:rFonts w:ascii="Arial" w:cs="Arial" w:eastAsia="Arial" w:hAnsi="Arial"/>
          <w:sz w:val="18"/>
          <w:szCs w:val="18"/>
          <w:color w:val="auto"/>
        </w:rPr>
        <w:t>Payment of loss under this policy shall only be made in full compliance with all United States of America economic or trade sanction laws or regulations, including, but not limited to, sanctions, laws and regulations administered and enforced by the U.S. Treasury Department's Office of Foreign Assets Control ("OFAC").</w:t>
      </w:r>
    </w:p>
    <w:p>
      <w:pPr>
        <w:spacing w:after="0"/>
        <w:rPr>
          <w:sz w:val="20"/>
          <w:szCs w:val="20"/>
          <w:color w:val="auto"/>
        </w:rPr>
      </w:pPr>
      <w:r>
        <w:rPr>
          <w:rFonts w:ascii="Arial" w:cs="Arial" w:eastAsia="Arial" w:hAnsi="Arial"/>
          <w:sz w:val="18"/>
          <w:szCs w:val="18"/>
          <w:color w:val="auto"/>
        </w:rPr>
        <w:t>ALL OTHER TERMS, CONDITIONS AND EXCLUSIONS REMAIN UNCHANGED.</w:t>
      </w:r>
    </w:p>
    <w:p>
      <w:pPr>
        <w:sectPr>
          <w:pgSz w:w="11900" w:h="16838" w:orient="portrait"/>
          <w:cols w:equalWidth="0" w:num="1">
            <w:col w:w="10219"/>
          </w:cols>
          <w:pgMar w:left="240" w:top="131" w:right="1440" w:bottom="101" w:gutter="0" w:footer="0" w:header="0"/>
          <w:type w:val="continuous"/>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2126615" cy="6172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89644 (07/05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550545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50545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20"/>
        <w:spacing w:after="0"/>
        <w:rPr>
          <w:sz w:val="20"/>
          <w:szCs w:val="20"/>
          <w:color w:val="auto"/>
        </w:rPr>
      </w:pPr>
      <w:r>
        <w:rPr>
          <w:rFonts w:ascii="Arial" w:cs="Arial" w:eastAsia="Arial" w:hAnsi="Arial"/>
          <w:sz w:val="16"/>
          <w:szCs w:val="16"/>
          <w:b w:val="1"/>
          <w:bCs w:val="1"/>
          <w:color w:val="auto"/>
        </w:rPr>
        <w:t>ENDORSEMENT #9</w:t>
      </w:r>
    </w:p>
    <w:p>
      <w:pPr>
        <w:sectPr>
          <w:pgSz w:w="11900" w:h="16838" w:orient="portrait"/>
          <w:cols w:equalWidth="0" w:num="1">
            <w:col w:w="10219"/>
          </w:cols>
          <w:pgMar w:left="240" w:top="1440" w:right="1440" w:bottom="0" w:gutter="0" w:footer="0" w:header="0"/>
        </w:sect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color w:val="auto"/>
        </w:rPr>
        <w:t>This endorsement, effective 12:01 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May 31, 2008 </w:t>
      </w:r>
      <w:r>
        <w:rPr>
          <w:rFonts w:ascii="Arial" w:cs="Arial" w:eastAsia="Arial" w:hAnsi="Arial"/>
          <w:sz w:val="16"/>
          <w:szCs w:val="16"/>
          <w:color w:val="auto"/>
        </w:rPr>
        <w:t>forms a part of</w:t>
      </w:r>
    </w:p>
    <w:p>
      <w:pPr>
        <w:spacing w:after="0" w:line="44" w:lineRule="exact"/>
        <w:rPr>
          <w:sz w:val="20"/>
          <w:szCs w:val="20"/>
          <w:color w:val="auto"/>
        </w:rPr>
      </w:pPr>
    </w:p>
    <w:p>
      <w:pPr>
        <w:sectPr>
          <w:pgSz w:w="11900" w:h="16838" w:orient="portrait"/>
          <w:cols w:equalWidth="0" w:num="2">
            <w:col w:w="5840" w:space="720"/>
            <w:col w:w="3659"/>
          </w:cols>
          <w:pgMar w:left="240" w:top="1440" w:right="1440" w:bottom="0" w:gutter="0" w:footer="0" w:header="0"/>
          <w:type w:val="continuous"/>
        </w:sectPr>
      </w:pPr>
    </w:p>
    <w:p>
      <w:pPr>
        <w:spacing w:after="0"/>
        <w:rPr>
          <w:sz w:val="20"/>
          <w:szCs w:val="20"/>
          <w:color w:val="auto"/>
        </w:rPr>
      </w:pPr>
      <w:r>
        <w:rPr>
          <w:rFonts w:ascii="Arial" w:cs="Arial" w:eastAsia="Arial" w:hAnsi="Arial"/>
          <w:sz w:val="16"/>
          <w:szCs w:val="16"/>
          <w:color w:val="auto"/>
        </w:rPr>
        <w:t>Policy number: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Issued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501-00-29</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PENNANTPARK INVESTMENT CORPORATION</w:t>
      </w:r>
    </w:p>
    <w:p>
      <w:pPr>
        <w:spacing w:after="0" w:line="222" w:lineRule="exact"/>
        <w:rPr>
          <w:sz w:val="20"/>
          <w:szCs w:val="20"/>
          <w:color w:val="auto"/>
        </w:rPr>
      </w:pPr>
    </w:p>
    <w:p>
      <w:pPr>
        <w:sectPr>
          <w:pgSz w:w="11900" w:h="16838" w:orient="portrait"/>
          <w:cols w:equalWidth="0" w:num="2">
            <w:col w:w="2400" w:space="720"/>
            <w:col w:w="7099"/>
          </w:cols>
          <w:pgMar w:left="240" w:top="1440" w:right="1440" w:bottom="0" w:gutter="0" w:footer="0" w:header="0"/>
          <w:type w:val="continuous"/>
        </w:sectPr>
      </w:pP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jc w:val="center"/>
        <w:ind w:right="2659"/>
        <w:spacing w:after="0"/>
        <w:rPr>
          <w:sz w:val="20"/>
          <w:szCs w:val="20"/>
          <w:color w:val="auto"/>
        </w:rPr>
      </w:pPr>
      <w:r>
        <w:rPr>
          <w:rFonts w:ascii="Arial" w:cs="Arial" w:eastAsia="Arial" w:hAnsi="Arial"/>
          <w:sz w:val="16"/>
          <w:szCs w:val="16"/>
          <w:b w:val="1"/>
          <w:bCs w:val="1"/>
          <w:color w:val="auto"/>
        </w:rPr>
        <w:t>National Union Fire Insurance Company of Pittsburgh, Pa.</w:t>
      </w:r>
    </w:p>
    <w:p>
      <w:pPr>
        <w:spacing w:after="0" w:line="205" w:lineRule="exact"/>
        <w:rPr>
          <w:sz w:val="20"/>
          <w:szCs w:val="20"/>
          <w:color w:val="auto"/>
        </w:rPr>
      </w:pPr>
    </w:p>
    <w:p>
      <w:pPr>
        <w:sectPr>
          <w:pgSz w:w="11900" w:h="16838" w:orient="portrait"/>
          <w:cols w:equalWidth="0" w:num="2">
            <w:col w:w="2400" w:space="720"/>
            <w:col w:w="7099"/>
          </w:cols>
          <w:pgMar w:left="240" w:top="1440" w:right="1440" w:bottom="0" w:gutter="0" w:footer="0" w:header="0"/>
          <w:type w:val="continuous"/>
        </w:sectPr>
      </w:pPr>
    </w:p>
    <w:p>
      <w:pPr>
        <w:spacing w:after="0" w:line="312"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FORMS INDEX ENDORSEMENT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The contents of the Policy is comprised of the following forms:</w:t>
      </w:r>
    </w:p>
    <w:p>
      <w:pPr>
        <w:spacing w:after="0" w:line="15"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1620" w:type="dxa"/>
            <w:vAlign w:val="bottom"/>
            <w:tcBorders>
              <w:top w:val="single" w:sz="8" w:color="111111"/>
              <w:left w:val="single" w:sz="8" w:color="111111"/>
              <w:bottom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FORM NUMBER</w:t>
            </w:r>
          </w:p>
        </w:tc>
        <w:tc>
          <w:tcPr>
            <w:tcW w:w="1260" w:type="dxa"/>
            <w:vAlign w:val="bottom"/>
            <w:tcBorders>
              <w:top w:val="single" w:sz="8" w:color="111111"/>
              <w:bottom w:val="single" w:sz="8" w:color="111111"/>
              <w:right w:val="single" w:sz="8" w:color="111111"/>
            </w:tcBorders>
          </w:tcPr>
          <w:p>
            <w:pPr>
              <w:spacing w:after="0"/>
              <w:rPr>
                <w:sz w:val="20"/>
                <w:szCs w:val="20"/>
                <w:color w:val="auto"/>
              </w:rPr>
            </w:pPr>
            <w:r>
              <w:rPr>
                <w:rFonts w:ascii="Arial" w:cs="Arial" w:eastAsia="Arial" w:hAnsi="Arial"/>
                <w:sz w:val="18"/>
                <w:szCs w:val="18"/>
                <w:color w:val="auto"/>
                <w:w w:val="96"/>
              </w:rPr>
              <w:t>EDITION DATE</w:t>
            </w:r>
          </w:p>
        </w:tc>
        <w:tc>
          <w:tcPr>
            <w:tcW w:w="5500" w:type="dxa"/>
            <w:vAlign w:val="bottom"/>
            <w:tcBorders>
              <w:top w:val="single" w:sz="8" w:color="111111"/>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FORM TITLE</w:t>
            </w: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INVESTMENT COMPANY BLANKET BOND DEC PAGE</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0"/>
        </w:trPr>
        <w:tc>
          <w:tcPr>
            <w:tcW w:w="1620" w:type="dxa"/>
            <w:vAlign w:val="bottom"/>
            <w:tcBorders>
              <w:left w:val="single" w:sz="8" w:color="111111"/>
              <w:bottom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41206</w:t>
            </w:r>
          </w:p>
        </w:tc>
        <w:tc>
          <w:tcPr>
            <w:tcW w:w="126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09/84</w:t>
            </w:r>
          </w:p>
        </w:tc>
        <w:tc>
          <w:tcPr>
            <w:tcW w:w="550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INVESTMENT COMPANY BLANKET BOND</w:t>
            </w: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AMENDED TERMINATION (SEC)</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AMEND DEFINITION OF EMPLOYEE</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UNAUTHORIZED SIGNATURES</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COMPUTER SYSTEMS</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TELEFACSIMILE TRANSFER FRAUD</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ERISA RIDER</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6"/>
        </w:trPr>
        <w:tc>
          <w:tcPr>
            <w:tcW w:w="1620" w:type="dxa"/>
            <w:vAlign w:val="bottom"/>
            <w:tcBorders>
              <w:left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MNSCPT</w:t>
            </w:r>
          </w:p>
        </w:tc>
        <w:tc>
          <w:tcPr>
            <w:tcW w:w="1260" w:type="dxa"/>
            <w:vAlign w:val="bottom"/>
            <w:tcBorders>
              <w:right w:val="single" w:sz="8" w:color="111111"/>
            </w:tcBorders>
          </w:tcPr>
          <w:p>
            <w:pPr>
              <w:spacing w:after="0"/>
              <w:rPr>
                <w:sz w:val="18"/>
                <w:szCs w:val="18"/>
                <w:color w:val="auto"/>
              </w:rPr>
            </w:pPr>
          </w:p>
        </w:tc>
        <w:tc>
          <w:tcPr>
            <w:tcW w:w="5500" w:type="dxa"/>
            <w:vAlign w:val="bottom"/>
            <w:tcBorders>
              <w:right w:val="single" w:sz="8" w:color="111111"/>
            </w:tcBorders>
          </w:tcPr>
          <w:p>
            <w:pPr>
              <w:spacing w:after="0"/>
              <w:rPr>
                <w:sz w:val="20"/>
                <w:szCs w:val="20"/>
                <w:color w:val="auto"/>
              </w:rPr>
            </w:pPr>
            <w:r>
              <w:rPr>
                <w:rFonts w:ascii="Arial" w:cs="Arial" w:eastAsia="Arial" w:hAnsi="Arial"/>
                <w:sz w:val="18"/>
                <w:szCs w:val="18"/>
                <w:color w:val="auto"/>
              </w:rPr>
              <w:t>NAMED INSURED AMENDED</w:t>
            </w:r>
          </w:p>
        </w:tc>
      </w:tr>
      <w:tr>
        <w:trPr>
          <w:trHeight w:val="21"/>
        </w:trPr>
        <w:tc>
          <w:tcPr>
            <w:tcW w:w="1620" w:type="dxa"/>
            <w:vAlign w:val="bottom"/>
            <w:tcBorders>
              <w:left w:val="single" w:sz="8" w:color="111111"/>
              <w:bottom w:val="single" w:sz="8" w:color="111111"/>
              <w:right w:val="single" w:sz="8" w:color="111111"/>
            </w:tcBorders>
          </w:tcPr>
          <w:p>
            <w:pPr>
              <w:spacing w:after="0" w:line="20" w:lineRule="exact"/>
              <w:rPr>
                <w:sz w:val="1"/>
                <w:szCs w:val="1"/>
                <w:color w:val="auto"/>
              </w:rPr>
            </w:pPr>
          </w:p>
        </w:tc>
        <w:tc>
          <w:tcPr>
            <w:tcW w:w="1260" w:type="dxa"/>
            <w:vAlign w:val="bottom"/>
            <w:tcBorders>
              <w:bottom w:val="single" w:sz="8" w:color="111111"/>
              <w:right w:val="single" w:sz="8" w:color="111111"/>
            </w:tcBorders>
          </w:tcPr>
          <w:p>
            <w:pPr>
              <w:spacing w:after="0" w:line="20" w:lineRule="exact"/>
              <w:rPr>
                <w:sz w:val="1"/>
                <w:szCs w:val="1"/>
                <w:color w:val="auto"/>
              </w:rPr>
            </w:pPr>
          </w:p>
        </w:tc>
        <w:tc>
          <w:tcPr>
            <w:tcW w:w="5500" w:type="dxa"/>
            <w:vAlign w:val="bottom"/>
            <w:tcBorders>
              <w:bottom w:val="single" w:sz="8" w:color="111111"/>
              <w:right w:val="single" w:sz="8" w:color="111111"/>
            </w:tcBorders>
          </w:tcPr>
          <w:p>
            <w:pPr>
              <w:spacing w:after="0" w:line="20" w:lineRule="exact"/>
              <w:rPr>
                <w:sz w:val="1"/>
                <w:szCs w:val="1"/>
                <w:color w:val="auto"/>
              </w:rPr>
            </w:pPr>
          </w:p>
        </w:tc>
      </w:tr>
      <w:tr>
        <w:trPr>
          <w:trHeight w:val="210"/>
        </w:trPr>
        <w:tc>
          <w:tcPr>
            <w:tcW w:w="1620" w:type="dxa"/>
            <w:vAlign w:val="bottom"/>
            <w:tcBorders>
              <w:left w:val="single" w:sz="8" w:color="111111"/>
              <w:bottom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89644</w:t>
            </w:r>
          </w:p>
        </w:tc>
        <w:tc>
          <w:tcPr>
            <w:tcW w:w="126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07/05</w:t>
            </w:r>
          </w:p>
        </w:tc>
        <w:tc>
          <w:tcPr>
            <w:tcW w:w="550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COVERAGE TERRITORY ENDORSEMENT (OFAC)</w:t>
            </w:r>
          </w:p>
        </w:tc>
      </w:tr>
      <w:tr>
        <w:trPr>
          <w:trHeight w:val="210"/>
        </w:trPr>
        <w:tc>
          <w:tcPr>
            <w:tcW w:w="1620" w:type="dxa"/>
            <w:vAlign w:val="bottom"/>
            <w:tcBorders>
              <w:left w:val="single" w:sz="8" w:color="111111"/>
              <w:bottom w:val="single" w:sz="8" w:color="111111"/>
              <w:right w:val="single" w:sz="8" w:color="111111"/>
            </w:tcBorders>
          </w:tcPr>
          <w:p>
            <w:pPr>
              <w:ind w:left="20"/>
              <w:spacing w:after="0"/>
              <w:rPr>
                <w:sz w:val="20"/>
                <w:szCs w:val="20"/>
                <w:color w:val="auto"/>
              </w:rPr>
            </w:pPr>
            <w:r>
              <w:rPr>
                <w:rFonts w:ascii="Arial" w:cs="Arial" w:eastAsia="Arial" w:hAnsi="Arial"/>
                <w:sz w:val="18"/>
                <w:szCs w:val="18"/>
                <w:color w:val="auto"/>
              </w:rPr>
              <w:t>78859</w:t>
            </w:r>
          </w:p>
        </w:tc>
        <w:tc>
          <w:tcPr>
            <w:tcW w:w="126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10/01</w:t>
            </w:r>
          </w:p>
        </w:tc>
        <w:tc>
          <w:tcPr>
            <w:tcW w:w="5500" w:type="dxa"/>
            <w:vAlign w:val="bottom"/>
            <w:tcBorders>
              <w:bottom w:val="single" w:sz="8" w:color="111111"/>
              <w:right w:val="single" w:sz="8" w:color="111111"/>
            </w:tcBorders>
          </w:tcPr>
          <w:p>
            <w:pPr>
              <w:spacing w:after="0"/>
              <w:rPr>
                <w:sz w:val="20"/>
                <w:szCs w:val="20"/>
                <w:color w:val="auto"/>
              </w:rPr>
            </w:pPr>
            <w:r>
              <w:rPr>
                <w:rFonts w:ascii="Arial" w:cs="Arial" w:eastAsia="Arial" w:hAnsi="Arial"/>
                <w:sz w:val="18"/>
                <w:szCs w:val="18"/>
                <w:color w:val="auto"/>
              </w:rPr>
              <w:t>FORM INDEX ENDORSEMENT</w:t>
            </w: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r>
        <w:trPr>
          <w:trHeight w:val="237"/>
        </w:trPr>
        <w:tc>
          <w:tcPr>
            <w:tcW w:w="1620" w:type="dxa"/>
            <w:vAlign w:val="bottom"/>
            <w:tcBorders>
              <w:left w:val="single" w:sz="8" w:color="111111"/>
              <w:bottom w:val="single" w:sz="8" w:color="111111"/>
              <w:right w:val="single" w:sz="8" w:color="111111"/>
            </w:tcBorders>
          </w:tcPr>
          <w:p>
            <w:pPr>
              <w:spacing w:after="0"/>
              <w:rPr>
                <w:sz w:val="20"/>
                <w:szCs w:val="20"/>
                <w:color w:val="auto"/>
              </w:rPr>
            </w:pPr>
          </w:p>
        </w:tc>
        <w:tc>
          <w:tcPr>
            <w:tcW w:w="1260" w:type="dxa"/>
            <w:vAlign w:val="bottom"/>
            <w:tcBorders>
              <w:bottom w:val="single" w:sz="8" w:color="111111"/>
              <w:right w:val="single" w:sz="8" w:color="111111"/>
            </w:tcBorders>
          </w:tcPr>
          <w:p>
            <w:pPr>
              <w:spacing w:after="0"/>
              <w:rPr>
                <w:sz w:val="20"/>
                <w:szCs w:val="20"/>
                <w:color w:val="auto"/>
              </w:rPr>
            </w:pPr>
          </w:p>
        </w:tc>
        <w:tc>
          <w:tcPr>
            <w:tcW w:w="5500" w:type="dxa"/>
            <w:vAlign w:val="bottom"/>
            <w:tcBorders>
              <w:bottom w:val="single" w:sz="8" w:color="111111"/>
              <w:right w:val="single" w:sz="8" w:color="111111"/>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360045</wp:posOffset>
            </wp:positionV>
            <wp:extent cx="2126615" cy="6172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2661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AUTHORIZED REPRESENTATIVE</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78859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178435</wp:posOffset>
            </wp:positionV>
            <wp:extent cx="508508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08508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239"/>
        <w:spacing w:after="0"/>
        <w:rPr>
          <w:sz w:val="20"/>
          <w:szCs w:val="20"/>
          <w:color w:val="auto"/>
        </w:rPr>
      </w:pPr>
      <w:r>
        <w:rPr>
          <w:rFonts w:ascii="Arial" w:cs="Arial" w:eastAsia="Arial" w:hAnsi="Arial"/>
          <w:sz w:val="18"/>
          <w:szCs w:val="18"/>
          <w:b w:val="1"/>
          <w:bCs w:val="1"/>
          <w:color w:val="auto"/>
        </w:rPr>
        <w:t>CERTIFICATE OF THE SECRETARY OF PENNANTPARK INVESTMENT CORPORATION</w:t>
      </w:r>
    </w:p>
    <w:p>
      <w:pPr>
        <w:spacing w:after="0" w:line="21" w:lineRule="exact"/>
        <w:rPr>
          <w:sz w:val="20"/>
          <w:szCs w:val="20"/>
          <w:color w:val="auto"/>
        </w:rPr>
      </w:pPr>
    </w:p>
    <w:p>
      <w:pPr>
        <w:jc w:val="center"/>
        <w:ind w:right="2239"/>
        <w:spacing w:after="0"/>
        <w:rPr>
          <w:sz w:val="20"/>
          <w:szCs w:val="20"/>
          <w:color w:val="auto"/>
        </w:rPr>
      </w:pPr>
      <w:r>
        <w:rPr>
          <w:rFonts w:ascii="Arial" w:cs="Arial" w:eastAsia="Arial" w:hAnsi="Arial"/>
          <w:sz w:val="18"/>
          <w:szCs w:val="18"/>
          <w:b w:val="1"/>
          <w:bCs w:val="1"/>
          <w:color w:val="auto"/>
        </w:rPr>
        <w:t>CERTIFYING RESOLUTIONS APPROVING</w:t>
      </w:r>
    </w:p>
    <w:p>
      <w:pPr>
        <w:spacing w:after="0" w:line="9" w:lineRule="exact"/>
        <w:rPr>
          <w:sz w:val="20"/>
          <w:szCs w:val="20"/>
          <w:color w:val="auto"/>
        </w:rPr>
      </w:pPr>
    </w:p>
    <w:p>
      <w:pPr>
        <w:jc w:val="center"/>
        <w:ind w:right="2239"/>
        <w:spacing w:after="0"/>
        <w:rPr>
          <w:sz w:val="20"/>
          <w:szCs w:val="20"/>
          <w:color w:val="auto"/>
        </w:rPr>
      </w:pPr>
      <w:r>
        <w:rPr>
          <w:rFonts w:ascii="Arial" w:cs="Arial" w:eastAsia="Arial" w:hAnsi="Arial"/>
          <w:sz w:val="18"/>
          <w:szCs w:val="18"/>
          <w:b w:val="1"/>
          <w:bCs w:val="1"/>
          <w:color w:val="auto"/>
        </w:rPr>
        <w:t>THE JOINT FIDELITY BOND</w:t>
      </w:r>
    </w:p>
    <w:p>
      <w:pPr>
        <w:spacing w:after="0" w:line="200" w:lineRule="exact"/>
        <w:rPr>
          <w:sz w:val="20"/>
          <w:szCs w:val="20"/>
          <w:color w:val="auto"/>
        </w:rPr>
      </w:pPr>
    </w:p>
    <w:p>
      <w:pPr>
        <w:spacing w:after="0" w:line="329" w:lineRule="exact"/>
        <w:rPr>
          <w:sz w:val="20"/>
          <w:szCs w:val="20"/>
          <w:color w:val="auto"/>
        </w:rPr>
      </w:pPr>
    </w:p>
    <w:p>
      <w:pPr>
        <w:ind w:right="2339" w:firstLine="615"/>
        <w:spacing w:after="0" w:line="298" w:lineRule="auto"/>
        <w:rPr>
          <w:sz w:val="20"/>
          <w:szCs w:val="20"/>
          <w:color w:val="auto"/>
        </w:rPr>
      </w:pPr>
      <w:r>
        <w:rPr>
          <w:rFonts w:ascii="Arial" w:cs="Arial" w:eastAsia="Arial" w:hAnsi="Arial"/>
          <w:sz w:val="16"/>
          <w:szCs w:val="16"/>
          <w:color w:val="auto"/>
        </w:rPr>
        <w:t>THE UNDERSIGNED, the duly appointed Secretary of PennantPark Investment Corporation, a Maryland corporation (the "Corporation"), an externally managed, non-diversified investment company that has elected to be treated as a business development company under the Investment Company Act of 1940, as amended (the "1940 Act"), does hereby certify that the resolutions set forth below were approved by the Board</w:t>
      </w:r>
    </w:p>
    <w:p>
      <w:pPr>
        <w:sectPr>
          <w:pgSz w:w="11900" w:h="16838" w:orient="portrait"/>
          <w:cols w:equalWidth="0" w:num="1">
            <w:col w:w="10219"/>
          </w:cols>
          <w:pgMar w:left="240" w:top="1440" w:right="1440" w:bottom="0" w:gutter="0" w:footer="0" w:header="0"/>
          <w:type w:val="continuous"/>
        </w:sectPr>
      </w:pPr>
    </w:p>
    <w:bookmarkStart w:id="19" w:name="page20"/>
    <w:bookmarkEnd w:id="19"/>
    <w:p>
      <w:pPr>
        <w:spacing w:after="0" w:line="87" w:lineRule="exact"/>
        <w:rPr>
          <w:sz w:val="20"/>
          <w:szCs w:val="20"/>
          <w:color w:val="auto"/>
        </w:rPr>
      </w:pPr>
    </w:p>
    <w:p>
      <w:pPr>
        <w:jc w:val="both"/>
        <w:ind w:right="3680"/>
        <w:spacing w:after="0" w:line="259" w:lineRule="auto"/>
        <w:rPr>
          <w:sz w:val="20"/>
          <w:szCs w:val="20"/>
          <w:color w:val="auto"/>
        </w:rPr>
      </w:pPr>
      <w:r>
        <w:rPr>
          <w:rFonts w:ascii="Arial" w:cs="Arial" w:eastAsia="Arial" w:hAnsi="Arial"/>
          <w:sz w:val="18"/>
          <w:szCs w:val="18"/>
          <w:color w:val="auto"/>
        </w:rPr>
        <w:t>of Directors of the Corporation (the "Directors"), including a majority of the Directors who are not "interested persons" of the Corporation, as defined in Section 2(a)(19) of the 1940 Act (the "Independent Directors"), on May 6, 2008 at a meeting of the Directors:</w:t>
      </w:r>
    </w:p>
    <w:p>
      <w:pPr>
        <w:spacing w:after="0" w:line="215" w:lineRule="exact"/>
        <w:rPr>
          <w:sz w:val="20"/>
          <w:szCs w:val="20"/>
          <w:color w:val="auto"/>
        </w:rPr>
      </w:pPr>
    </w:p>
    <w:p>
      <w:pPr>
        <w:ind w:left="720" w:right="4200"/>
        <w:spacing w:after="0" w:line="29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Corporation, PennantPark Investment Advisers, LLC (the "Adviser")</w:t>
      </w:r>
      <w:r>
        <w:rPr>
          <w:rFonts w:ascii="Arial" w:cs="Arial" w:eastAsia="Arial" w:hAnsi="Arial"/>
          <w:sz w:val="16"/>
          <w:szCs w:val="16"/>
          <w:b w:val="1"/>
          <w:bCs w:val="1"/>
          <w:color w:val="auto"/>
        </w:rPr>
        <w:t xml:space="preserve"> </w:t>
      </w:r>
      <w:r>
        <w:rPr>
          <w:rFonts w:ascii="Arial" w:cs="Arial" w:eastAsia="Arial" w:hAnsi="Arial"/>
          <w:sz w:val="16"/>
          <w:szCs w:val="16"/>
          <w:color w:val="auto"/>
        </w:rPr>
        <w:t>and PennantPark Investment Administration, LLC (the "Administrator") shall be named insureds under a joint fidelity bond (the "Bond") having an aggregate coverage of $5 million issued by National Union Fire Insurance Company of Pittsburgh, PA, a reputable fidelity insurance company, against larceny and embezzlement and such other types of losses as are included in standard fidelity bonds, covering the officers and the other employees of the Corporation, Adviser and Administrator from time to time, containing such provisions as may be required by the rules promulgated under the 1940 Act;</w:t>
      </w:r>
    </w:p>
    <w:p>
      <w:pPr>
        <w:spacing w:after="0" w:line="193" w:lineRule="exact"/>
        <w:rPr>
          <w:sz w:val="20"/>
          <w:szCs w:val="20"/>
          <w:color w:val="auto"/>
        </w:rPr>
      </w:pPr>
    </w:p>
    <w:p>
      <w:pPr>
        <w:ind w:left="720" w:right="4220"/>
        <w:spacing w:after="0" w:line="29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proposed form and amount of the Bond considered at the meeting be,</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same hereby are, approved after consideration of all factors deemed relevant by the Directors, and separately approved by the Directors who are not "interested persons" of the Corporation (as defined in the 1940 Act) including, but not limited to, (i) the amount of the bond, (ii) the value of the assets of the Corporation to which any person covered under the bond may have access, the estimated amount of the premium for such bond, (iii) the type and terms of the arrangements made for the custody and safekeeping of the Corporation's assets and (iv) the nature of the securities in the Corporation's portfolio;</w:t>
      </w:r>
    </w:p>
    <w:p>
      <w:pPr>
        <w:spacing w:after="0" w:line="193" w:lineRule="exact"/>
        <w:rPr>
          <w:sz w:val="20"/>
          <w:szCs w:val="20"/>
          <w:color w:val="auto"/>
        </w:rPr>
      </w:pPr>
    </w:p>
    <w:p>
      <w:pPr>
        <w:ind w:left="720" w:right="4260"/>
        <w:spacing w:after="0" w:line="29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 of the premium to be paid by the Corporation for the Bond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method of allocating the premium be, and the same hereby are, approved, after the Directors having given due consideration to, among other things, (i) the number of parties insured under the Bond, (ii) the nature of the business activities of those parties, (iii) the amount of the Bond, (iv) the amount of the premium for the Bond, (v) the ratable allocation of the premium among all the insured parties and (vi) the extent to which the share of the premium allocated to the Corporation under the Bond is less than the premium the Corporation would have had to pay had it maintained a single insured bond;</w:t>
      </w:r>
    </w:p>
    <w:p>
      <w:pPr>
        <w:spacing w:after="0" w:line="193" w:lineRule="exact"/>
        <w:rPr>
          <w:sz w:val="20"/>
          <w:szCs w:val="20"/>
          <w:color w:val="auto"/>
        </w:rPr>
      </w:pPr>
    </w:p>
    <w:p>
      <w:pPr>
        <w:ind w:left="720" w:right="4180"/>
        <w:spacing w:after="0" w:line="290"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officers of the Corporation be, and each of them hereby is, 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and directed to obtain said Bond in substantially the form discussed at the meeting with the other named insureds under said Bond, providing that in the event that any recovery is received under the Bond as a result of a loss sustained by the Corporation and also by the other named insured, the Corporation shall receive an equitable and proportionate share of the recovery, but in no event less than the amount it would have received had it provided and maintained a single insured bond with the minimum coverage required by Rule 17g-1(d) under the 1940 Act;</w:t>
      </w:r>
    </w:p>
    <w:p>
      <w:pPr>
        <w:spacing w:after="0" w:line="193" w:lineRule="exact"/>
        <w:rPr>
          <w:sz w:val="20"/>
          <w:szCs w:val="20"/>
          <w:color w:val="auto"/>
        </w:rPr>
      </w:pPr>
    </w:p>
    <w:p>
      <w:pPr>
        <w:ind w:left="720" w:right="4200"/>
        <w:spacing w:after="0" w:line="289" w:lineRule="auto"/>
        <w:rPr>
          <w:sz w:val="20"/>
          <w:szCs w:val="20"/>
          <w:color w:val="auto"/>
        </w:rPr>
      </w:pPr>
      <w:r>
        <w:rPr>
          <w:rFonts w:ascii="Arial" w:cs="Arial" w:eastAsia="Arial" w:hAnsi="Arial"/>
          <w:sz w:val="16"/>
          <w:szCs w:val="16"/>
          <w:b w:val="1"/>
          <w:bCs w:val="1"/>
          <w:color w:val="auto"/>
        </w:rPr>
        <w:t xml:space="preserve">RESOLVED, </w:t>
      </w:r>
      <w:r>
        <w:rPr>
          <w:rFonts w:ascii="Arial" w:cs="Arial" w:eastAsia="Arial" w:hAnsi="Arial"/>
          <w:sz w:val="16"/>
          <w:szCs w:val="16"/>
          <w:color w:val="auto"/>
        </w:rPr>
        <w:t>that the share of the premium to be allocated to the Corporation, the Adviser</w:t>
      </w:r>
      <w:r>
        <w:rPr>
          <w:rFonts w:ascii="Arial" w:cs="Arial" w:eastAsia="Arial" w:hAnsi="Arial"/>
          <w:sz w:val="16"/>
          <w:szCs w:val="16"/>
          <w:b w:val="1"/>
          <w:bCs w:val="1"/>
          <w:color w:val="auto"/>
        </w:rPr>
        <w:t xml:space="preserve"> </w:t>
      </w:r>
      <w:r>
        <w:rPr>
          <w:rFonts w:ascii="Arial" w:cs="Arial" w:eastAsia="Arial" w:hAnsi="Arial"/>
          <w:sz w:val="16"/>
          <w:szCs w:val="16"/>
          <w:color w:val="auto"/>
        </w:rPr>
        <w:t>and the Administrator for the Bond, which is based upon their proportionate share of the sum of the premiums that would have been paid if such fidelity bond coverage had been purchased separately, be, and the same hereby is, approved, after the Directors having given due consideration to, among other things, the number of other parties insured under the Bond, the nature of the business activities of those other parties, the amount of the Bond and the extent to which the share of the premium allocated to the Corporation under the Bond is less than the premium the Corporation would have had to pay had it maintained a single insured bond; and</w:t>
      </w:r>
    </w:p>
    <w:p>
      <w:pPr>
        <w:spacing w:after="0" w:line="194" w:lineRule="exact"/>
        <w:rPr>
          <w:sz w:val="20"/>
          <w:szCs w:val="20"/>
          <w:color w:val="auto"/>
        </w:rPr>
      </w:pPr>
    </w:p>
    <w:p>
      <w:pPr>
        <w:jc w:val="both"/>
        <w:ind w:left="720" w:right="4520"/>
        <w:spacing w:after="0" w:line="310"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Secretary of the Corporation be, and hereby is, designated as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party responsible for making the necessary filings and giving the notices with respect to such bond required by paragraph (g) of Rule 17g-1 under the 1940 Act.</w:t>
      </w:r>
    </w:p>
    <w:p>
      <w:pPr>
        <w:spacing w:after="0" w:line="184" w:lineRule="exact"/>
        <w:rPr>
          <w:sz w:val="20"/>
          <w:szCs w:val="20"/>
          <w:color w:val="auto"/>
        </w:rPr>
      </w:pPr>
    </w:p>
    <w:p>
      <w:pPr>
        <w:ind w:right="3520"/>
        <w:spacing w:after="0" w:line="268" w:lineRule="auto"/>
        <w:rPr>
          <w:sz w:val="20"/>
          <w:szCs w:val="20"/>
          <w:color w:val="auto"/>
        </w:rPr>
      </w:pPr>
      <w:r>
        <w:rPr>
          <w:rFonts w:ascii="Arial" w:cs="Arial" w:eastAsia="Arial" w:hAnsi="Arial"/>
          <w:sz w:val="18"/>
          <w:szCs w:val="18"/>
          <w:color w:val="auto"/>
        </w:rPr>
        <w:t>IN WITNESS WHEREOF, I have hereunto set my hand as such officer of the Corporation this 19th day of June, 2008.</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PENNANTPARK INVESTMENT CORPORATION</w:t>
      </w:r>
    </w:p>
    <w:p>
      <w:pPr>
        <w:spacing w:after="0" w:line="200" w:lineRule="exact"/>
        <w:rPr>
          <w:sz w:val="20"/>
          <w:szCs w:val="20"/>
          <w:color w:val="auto"/>
        </w:rPr>
      </w:pPr>
    </w:p>
    <w:p>
      <w:pPr>
        <w:spacing w:after="0" w:line="322"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/s/ Thomas J. Friedmann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27940</wp:posOffset>
            </wp:positionV>
            <wp:extent cx="3387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0"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Name: Thomas J. Friedmann</w:t>
      </w:r>
    </w:p>
    <w:p>
      <w:pPr>
        <w:spacing w:after="0" w:line="23" w:lineRule="exact"/>
        <w:rPr>
          <w:sz w:val="20"/>
          <w:szCs w:val="20"/>
          <w:color w:val="auto"/>
        </w:rPr>
      </w:pPr>
    </w:p>
    <w:p>
      <w:pPr>
        <w:ind w:left="2640"/>
        <w:spacing w:after="0"/>
        <w:rPr>
          <w:sz w:val="20"/>
          <w:szCs w:val="20"/>
          <w:color w:val="auto"/>
        </w:rPr>
      </w:pPr>
      <w:r>
        <w:rPr>
          <w:rFonts w:ascii="Arial" w:cs="Arial" w:eastAsia="Arial" w:hAnsi="Arial"/>
          <w:sz w:val="18"/>
          <w:szCs w:val="18"/>
          <w:color w:val="auto"/>
        </w:rPr>
        <w:t>Title: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401320</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FIDELITY BOND AGREEMENT</w:t>
      </w:r>
    </w:p>
    <w:p>
      <w:pPr>
        <w:spacing w:after="0" w:line="171"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JOINT FIDELITY BOND AGREEMENT is dated as of April 19, 2007 by and Between Pennant Investment Corporation (the "Corporation"), a Maryland corporation, Pennant Investment Advisers, LLC (the "Adviser"), a Delaware limited liability company, and Pennant Investment Administration, LLC</w:t>
      </w:r>
    </w:p>
    <w:p>
      <w:pPr>
        <w:sectPr>
          <w:pgSz w:w="11900" w:h="16925" w:orient="portrait"/>
          <w:cols w:equalWidth="0" w:num="1">
            <w:col w:w="11420"/>
          </w:cols>
          <w:pgMar w:left="240" w:top="131"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t>(the "Administrator"), a Delaware limited liability company.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WITNESSETH:</w:t>
      </w:r>
    </w:p>
    <w:p>
      <w:pPr>
        <w:spacing w:after="0" w:line="171"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WHEREAS, the Corporation, the Adviser, and the Administrator are joint named insureds (each, an "Insured" and collectively, the "Insureds") under a bond issued by Aon (the "Bond");</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WHEREAS, the Corporation is required to provide and maintain a fidelity bond pursuant to Rule 17g-1 under the Investment Company Act of 1940, as amended (the "1940 Act");</w:t>
      </w:r>
    </w:p>
    <w:p>
      <w:pPr>
        <w:spacing w:after="0" w:line="13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WHEREAS, Rule 17g-1 under the 1940 Act requires that the Insureds enter into an agreement with each other, containing certain provisions regarding the respective amounts to be received by them in the event recovery is received under the Bond as a result of a loss sustained by them; and</w:t>
      </w:r>
    </w:p>
    <w:p>
      <w:pPr>
        <w:spacing w:after="0" w:line="85"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WHEREAS, this Agreement has been approved by the directors of the Corporation, including a majority of the directors who are not "interested persons" of the Corporation (as defined in the 1940 Act).</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NOW THEREFORE, the parties hereto, in consideration of the premises and the mutual covenants contained herein, hereby agree as follows:</w:t>
      </w:r>
    </w:p>
    <w:p>
      <w:pPr>
        <w:spacing w:after="0" w:line="113" w:lineRule="exact"/>
        <w:rPr>
          <w:sz w:val="20"/>
          <w:szCs w:val="20"/>
          <w:color w:val="auto"/>
        </w:rPr>
      </w:pPr>
    </w:p>
    <w:p>
      <w:pPr>
        <w:ind w:left="460" w:firstLine="443"/>
        <w:spacing w:after="0" w:line="268" w:lineRule="auto"/>
        <w:tabs>
          <w:tab w:leader="none" w:pos="10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Insured agrees to maintain in effect, and will pay a portion of the premiums for, the Bond, which premium will be allocated prorata according to the relative premium that such Insured would pay for separate fidelity bond coverage.</w:t>
      </w:r>
    </w:p>
    <w:p>
      <w:pPr>
        <w:spacing w:after="0" w:line="50" w:lineRule="exact"/>
        <w:rPr>
          <w:rFonts w:ascii="Arial" w:cs="Arial" w:eastAsia="Arial" w:hAnsi="Arial"/>
          <w:sz w:val="18"/>
          <w:szCs w:val="18"/>
          <w:color w:val="auto"/>
        </w:rPr>
      </w:pPr>
    </w:p>
    <w:p>
      <w:pPr>
        <w:ind w:left="460" w:right="540" w:firstLine="443"/>
        <w:spacing w:after="0" w:line="306" w:lineRule="auto"/>
        <w:tabs>
          <w:tab w:leader="none" w:pos="1074"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the event recovery is received under the Bond as a result of a loss sustained by each Insured, each Insured shall receive an equitable and proportionate share of the recovery, but each Insured shall receive an amount at least equal to the amount it would have received had it provided and maintained a single insured bond with the minimum coverage required by paragraph (d) (1) of Rule 17g-1 under the 1940 Act.</w:t>
      </w:r>
    </w:p>
    <w:p>
      <w:pPr>
        <w:spacing w:after="0" w:line="25" w:lineRule="exact"/>
        <w:rPr>
          <w:rFonts w:ascii="Arial" w:cs="Arial" w:eastAsia="Arial" w:hAnsi="Arial"/>
          <w:sz w:val="16"/>
          <w:szCs w:val="16"/>
          <w:color w:val="auto"/>
        </w:rPr>
      </w:pPr>
    </w:p>
    <w:p>
      <w:pPr>
        <w:ind w:left="460" w:right="200" w:firstLine="443"/>
        <w:spacing w:after="0" w:line="259" w:lineRule="auto"/>
        <w:tabs>
          <w:tab w:leader="none" w:pos="10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Each party shall, within ten days after making any claim under the Bond, provide the other party with written notice of the amount and nature of such claim. Each party shall, within ten days after the receipt thereof, provide the other party with written notice of the terms of settlement of any claim made under the Bond by such party.</w:t>
      </w:r>
    </w:p>
    <w:p>
      <w:pPr>
        <w:spacing w:after="0" w:line="59"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Agreement and the rights and duties hereunder shall not be assignable by any party hereto without written consent of the other party.</w:t>
      </w:r>
    </w:p>
    <w:p>
      <w:pPr>
        <w:spacing w:after="0" w:line="113" w:lineRule="exact"/>
        <w:rPr>
          <w:rFonts w:ascii="Arial" w:cs="Arial" w:eastAsia="Arial" w:hAnsi="Arial"/>
          <w:sz w:val="16"/>
          <w:szCs w:val="16"/>
          <w:color w:val="auto"/>
        </w:rPr>
      </w:pPr>
    </w:p>
    <w:p>
      <w:pPr>
        <w:ind w:left="460" w:right="60" w:firstLine="443"/>
        <w:spacing w:after="0" w:line="268" w:lineRule="auto"/>
        <w:tabs>
          <w:tab w:leader="none" w:pos="1074"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may be amended by the parties hereto only if such amendment is approved by the Board of Directors of the Corporation and such amendment is set forth in a written instrument executed by each of the parties hereto.</w:t>
      </w:r>
    </w:p>
    <w:p>
      <w:pPr>
        <w:spacing w:after="0" w:line="50" w:lineRule="exact"/>
        <w:rPr>
          <w:rFonts w:ascii="Arial" w:cs="Arial" w:eastAsia="Arial" w:hAnsi="Arial"/>
          <w:sz w:val="18"/>
          <w:szCs w:val="18"/>
          <w:color w:val="auto"/>
        </w:rPr>
      </w:pPr>
    </w:p>
    <w:p>
      <w:pPr>
        <w:ind w:left="1080" w:hanging="177"/>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Agreement shall be construed in accordance with the laws of the State of New York.</w:t>
      </w:r>
    </w:p>
    <w:p>
      <w:pPr>
        <w:spacing w:after="0" w:line="15" w:lineRule="exact"/>
        <w:rPr>
          <w:sz w:val="20"/>
          <w:szCs w:val="20"/>
          <w:color w:val="auto"/>
        </w:rPr>
      </w:pPr>
    </w:p>
    <w:p>
      <w:pPr>
        <w:ind w:right="260" w:firstLine="456"/>
        <w:spacing w:after="0" w:line="261" w:lineRule="auto"/>
        <w:rPr>
          <w:sz w:val="20"/>
          <w:szCs w:val="20"/>
          <w:color w:val="auto"/>
        </w:rPr>
      </w:pPr>
      <w:r>
        <w:rPr>
          <w:rFonts w:ascii="Arial" w:cs="Arial" w:eastAsia="Arial" w:hAnsi="Arial"/>
          <w:sz w:val="18"/>
          <w:szCs w:val="18"/>
          <w:color w:val="auto"/>
        </w:rPr>
        <w:t>This agreement may be executed simultaneously in two or more counterparts, each of which shall be deemed an original, but all of which taken together shall constitute one and the same instrument.</w:t>
      </w:r>
    </w:p>
    <w:p>
      <w:pPr>
        <w:spacing w:after="0" w:line="1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this Agreement has been executed by the parties as of the date first set forth above.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ADVISERS,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Arthur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Arthur Penn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Member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PENNANT INVESTMENT ADMINISTRATION,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Aviv Efrat</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1"/>
    </w:lvl>
  </w:abstractNum>
  <w:abstractNum w:abstractNumId="1">
    <w:nsid w:val="721DA317"/>
    <w:multiLevelType w:val="hybridMultilevel"/>
    <w:lvl w:ilvl="0">
      <w:lvlJc w:val="left"/>
      <w:lvlText w:val="(%1)"/>
      <w:numFmt w:val="decimal"/>
      <w:start w:val="2"/>
    </w:lvl>
  </w:abstractNum>
  <w:abstractNum w:abstractNumId="2">
    <w:nsid w:val="2443A858"/>
    <w:multiLevelType w:val="hybridMultilevel"/>
    <w:lvl w:ilvl="0">
      <w:lvlJc w:val="left"/>
      <w:lvlText w:val="(%1)"/>
      <w:numFmt w:val="decimal"/>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decimal"/>
      <w:start w:val="2"/>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1)"/>
      <w:numFmt w:val="decimal"/>
      <w:start w:val="1"/>
    </w:lvl>
  </w:abstractNum>
  <w:abstractNum w:abstractNumId="7">
    <w:nsid w:val="79838CB2"/>
    <w:multiLevelType w:val="hybridMultilevel"/>
    <w:lvl w:ilvl="0">
      <w:lvlJc w:val="left"/>
      <w:lvlText w:val="(%1)"/>
      <w:numFmt w:val="decimal"/>
      <w:start w:val="3"/>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2"/>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lowerLetter"/>
      <w:start w:val="7"/>
    </w:lvl>
  </w:abstractNum>
  <w:abstractNum w:abstractNumId="14">
    <w:nsid w:val="836C40E"/>
    <w:multiLevelType w:val="hybridMultilevel"/>
    <w:lvl w:ilvl="0">
      <w:lvlJc w:val="left"/>
      <w:lvlText w:val="(%1)"/>
      <w:numFmt w:val="lowerLetter"/>
      <w:start w:val="8"/>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1)"/>
      <w:numFmt w:val="lowerLetter"/>
      <w:start w:val="1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1"/>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abstractNum>
  <w:abstractNum w:abstractNumId="21">
    <w:nsid w:val="6CEAF087"/>
    <w:multiLevelType w:val="hybridMultilevel"/>
    <w:lvl w:ilvl="0">
      <w:lvlJc w:val="left"/>
      <w:lvlText w:val="(%1)"/>
      <w:numFmt w:val="lowerLetter"/>
      <w:start w:val="1"/>
    </w:lvl>
  </w:abstractNum>
  <w:abstractNum w:abstractNumId="22">
    <w:nsid w:val="22221A70"/>
    <w:multiLevelType w:val="hybridMultilevel"/>
    <w:lvl w:ilvl="0">
      <w:lvlJc w:val="left"/>
      <w:lvlText w:val="(%1)"/>
      <w:numFmt w:val="lowerLetter"/>
      <w:start w:val="3"/>
    </w:lvl>
  </w:abstractNum>
  <w:abstractNum w:abstractNumId="23">
    <w:nsid w:val="4516DDE9"/>
    <w:multiLevelType w:val="hybridMultilevel"/>
    <w:lvl w:ilvl="0">
      <w:lvlJc w:val="left"/>
      <w:lvlText w:val="(%1)"/>
      <w:numFmt w:val="lowerLetter"/>
      <w:start w:val="1"/>
    </w:lvl>
  </w:abstractNum>
  <w:abstractNum w:abstractNumId="24">
    <w:nsid w:val="3006C83E"/>
    <w:multiLevelType w:val="hybridMultilevel"/>
    <w:lvl w:ilvl="0">
      <w:lvlJc w:val="left"/>
      <w:lvlText w:val="%1."/>
      <w:numFmt w:val="decimal"/>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lvl w:ilvl="1">
      <w:lvlJc w:val="left"/>
      <w:lvlText w:val="(%2)"/>
      <w:numFmt w:val="lowerLetter"/>
      <w:start w:val="1"/>
    </w:lvl>
  </w:abstractNum>
  <w:abstractNum w:abstractNumId="27">
    <w:nsid w:val="5577F8E1"/>
    <w:multiLevelType w:val="hybridMultilevel"/>
    <w:lvl w:ilvl="0">
      <w:lvlJc w:val="left"/>
      <w:lvlText w:val="(%1)"/>
      <w:numFmt w:val="lowerRoman"/>
      <w:start w:val="1"/>
    </w:lvl>
  </w:abstractNum>
  <w:abstractNum w:abstractNumId="28">
    <w:nsid w:val="440BADFC"/>
    <w:multiLevelType w:val="hybridMultilevel"/>
    <w:lvl w:ilvl="0">
      <w:lvlJc w:val="left"/>
      <w:lvlText w:val="(%1)"/>
      <w:numFmt w:val="decimal"/>
      <w:start w:val="4"/>
    </w:lvl>
  </w:abstractNum>
  <w:abstractNum w:abstractNumId="29">
    <w:nsid w:val="5072367"/>
    <w:multiLevelType w:val="hybridMultilevel"/>
    <w:lvl w:ilvl="0">
      <w:lvlJc w:val="left"/>
      <w:lvlText w:val="%1."/>
      <w:numFmt w:val="decimal"/>
      <w:start w:val="2"/>
    </w:lvl>
    <w:lvl w:ilvl="1">
      <w:lvlJc w:val="left"/>
      <w:lvlText w:val="(%2)"/>
      <w:numFmt w:val="lowerLetter"/>
      <w:start w:val="1"/>
    </w:lvl>
  </w:abstractNum>
  <w:abstractNum w:abstractNumId="30">
    <w:nsid w:val="3804823E"/>
    <w:multiLevelType w:val="hybridMultilevel"/>
    <w:lvl w:ilvl="0">
      <w:lvlJc w:val="left"/>
      <w:lvlText w:val="%1."/>
      <w:numFmt w:val="decimal"/>
      <w:start w:val="3"/>
    </w:lvl>
  </w:abstractNum>
  <w:abstractNum w:abstractNumId="31">
    <w:nsid w:val="77465F01"/>
    <w:multiLevelType w:val="hybridMultilevel"/>
    <w:lvl w:ilvl="0">
      <w:lvlJc w:val="left"/>
      <w:lvlText w:val="(%1)"/>
      <w:numFmt w:val="lowerLetter"/>
      <w:start w:val="2"/>
    </w:lvl>
  </w:abstractNum>
  <w:abstractNum w:abstractNumId="32">
    <w:nsid w:val="7724C67E"/>
    <w:multiLevelType w:val="hybridMultilevel"/>
    <w:lvl w:ilvl="0">
      <w:lvlJc w:val="left"/>
      <w:lvlText w:val="%1."/>
      <w:numFmt w:val="decimal"/>
      <w:start w:val="4"/>
    </w:lvl>
    <w:lvl w:ilvl="1">
      <w:lvlJc w:val="left"/>
      <w:lvlText w:val="(%2)"/>
      <w:numFmt w:val="lowerLetter"/>
      <w:start w:val="1"/>
    </w:lvl>
  </w:abstractNum>
  <w:abstractNum w:abstractNumId="33">
    <w:nsid w:val="5C482A97"/>
    <w:multiLevelType w:val="hybridMultilevel"/>
    <w:lvl w:ilvl="0">
      <w:lvlJc w:val="left"/>
      <w:lvlText w:val="%1."/>
      <w:numFmt w:val="decimal"/>
      <w:start w:val="11"/>
    </w:lvl>
  </w:abstractNum>
  <w:abstractNum w:abstractNumId="34">
    <w:nsid w:val="2463B9EA"/>
    <w:multiLevelType w:val="hybridMultilevel"/>
    <w:lvl w:ilvl="0">
      <w:lvlJc w:val="left"/>
      <w:lvlText w:val="%1."/>
      <w:numFmt w:val="decimal"/>
      <w:start w:val="1"/>
    </w:lvl>
  </w:abstractNum>
  <w:abstractNum w:abstractNumId="35">
    <w:nsid w:val="5E884ADC"/>
    <w:multiLevelType w:val="hybridMultilevel"/>
    <w:lvl w:ilvl="0">
      <w:lvlJc w:val="left"/>
      <w:lvlText w:val="(%1)"/>
      <w:numFmt w:val="decimal"/>
      <w:start w:val="1"/>
    </w:lvl>
    <w:lvl w:ilvl="1">
      <w:lvlJc w:val="left"/>
      <w:lvlText w:val="(%2)"/>
      <w:numFmt w:val="lowerLetter"/>
      <w:start w:val="1"/>
    </w:lvl>
  </w:abstractNum>
  <w:abstractNum w:abstractNumId="36">
    <w:nsid w:val="51EAD36B"/>
    <w:multiLevelType w:val="hybridMultilevel"/>
    <w:lvl w:ilvl="0">
      <w:lvlJc w:val="left"/>
      <w:lvlText w:val="(%1)"/>
      <w:numFmt w:val="decimal"/>
      <w:start w:val="2"/>
    </w:lvl>
  </w:abstractNum>
  <w:abstractNum w:abstractNumId="37">
    <w:nsid w:val="2D517796"/>
    <w:multiLevelType w:val="hybridMultilevel"/>
    <w:lvl w:ilvl="0">
      <w:lvlJc w:val="left"/>
      <w:lvlText w:val="%1."/>
      <w:numFmt w:val="decimal"/>
      <w:start w:val="2"/>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6"/>
    </w:lvl>
  </w:abstractNum>
  <w:abstractNum w:abstractNumId="40">
    <w:nsid w:val="3855585C"/>
    <w:multiLevelType w:val="hybridMultilevel"/>
    <w:lvl w:ilvl="0">
      <w:lvlJc w:val="left"/>
      <w:lvlText w:val="%1."/>
      <w:numFmt w:val="decimal"/>
      <w:start w:val="1"/>
    </w:lvl>
    <w:lvl w:ilvl="1">
      <w:lvlJc w:val="left"/>
      <w:lvlText w:val="%2."/>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2019-12-15T14:36:45Z</dcterms:created>
  <dcterms:modified xsi:type="dcterms:W3CDTF">2019-12-15T14:36:45Z</dcterms:modified>
</cp:coreProperties>
</file>