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05,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August 5, 2015, PennantPark Investment Corporation issued a press release announcing financial results for the third fiscal quarter ended June 30, 2015.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ind w:right="6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August 05,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05, 2015</w:t>
            </w:r>
          </w:p>
        </w:tc>
        <w:tc>
          <w:tcPr>
            <w:tcW w:w="6600" w:type="dxa"/>
            <w:vAlign w:val="bottom"/>
            <w:gridSpan w:val="3"/>
          </w:tcPr>
          <w:p>
            <w:pPr>
              <w:ind w:left="178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40" w:type="dxa"/>
            <w:vAlign w:val="bottom"/>
          </w:tcPr>
          <w:p>
            <w:pPr>
              <w:spacing w:after="0"/>
              <w:rPr>
                <w:sz w:val="24"/>
                <w:szCs w:val="24"/>
                <w:color w:val="auto"/>
              </w:rPr>
            </w:pPr>
          </w:p>
        </w:tc>
        <w:tc>
          <w:tcPr>
            <w:tcW w:w="660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60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60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August 05,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361"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2015</w:t>
      </w:r>
    </w:p>
    <w:p>
      <w:pPr>
        <w:spacing w:after="0" w:line="212"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NEW YORK, NY -- (Marketwired - August 05, 2015) - PennantPark Investment Corporation (NASDAQ: PNNT) announced today financial results for the third fiscal quarter ended June 30, 2015.</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HIGHLIGHTS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Quarter ended June 30, 2015</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 except per share amounts)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1,294.0</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745.5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10.04</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98.6</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71.9</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107.0</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4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6, 2015</w:t>
      </w:r>
    </w:p>
    <w:p>
      <w:pPr>
        <w:spacing w:after="0" w:line="212" w:lineRule="exact"/>
        <w:rPr>
          <w:sz w:val="20"/>
          <w:szCs w:val="20"/>
          <w:color w:val="auto"/>
        </w:rPr>
      </w:pPr>
    </w:p>
    <w:p>
      <w:pPr>
        <w:jc w:val="both"/>
        <w:ind w:right="160"/>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August 6, 2015 to discuss its financial results. All interested parties are welcome to participate. You can access the conference call by dialing (888) 452-4005 approximately 5-10 minutes prior to the call. International callers should dial (719)</w:t>
      </w:r>
    </w:p>
    <w:p>
      <w:pPr>
        <w:spacing w:after="0" w:line="1" w:lineRule="exact"/>
        <w:rPr>
          <w:sz w:val="20"/>
          <w:szCs w:val="20"/>
          <w:color w:val="auto"/>
        </w:rPr>
      </w:pPr>
    </w:p>
    <w:p>
      <w:pPr>
        <w:jc w:val="both"/>
        <w:ind w:right="500"/>
        <w:spacing w:after="0" w:line="234" w:lineRule="auto"/>
        <w:rPr>
          <w:sz w:val="20"/>
          <w:szCs w:val="20"/>
          <w:color w:val="auto"/>
        </w:rPr>
      </w:pPr>
      <w:r>
        <w:rPr>
          <w:rFonts w:ascii="Arial" w:cs="Arial" w:eastAsia="Arial" w:hAnsi="Arial"/>
          <w:sz w:val="22"/>
          <w:szCs w:val="22"/>
          <w:color w:val="auto"/>
        </w:rPr>
        <w:t>325-2474. All callers should reference PennantPark Investment Corporation. An archived replay of the call will be available through August 20, 2015 by calling (888) 203-1112. International callers please dial (719) 457-0820. For all phone replays, please reference conference ID #6223691.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As of June 30, 2015, our portfolio totaled $1,294.0 million and consisted of $381.4 million of senior secured loans, $611.7 million of second lien secured debt, $191.4 million of subordinated debt and $109.5 million of preferred and common equity. Our debt portfolio consisted of 71% variable-rate investments (including 65% with a London Interbank Offered Rate, or LIBOR, or prime floor) and 29% fixed-rate investments. Overall, the portfolio had net unrealized depreciation of $109.0 million. As of June 30, 2015, we had two non-accrual debt investments, representing 1.2% of our overall portfolio on a cost basis. Our overall portfolio consisted of 64 companies with an average investment size of $20.2 million, had a weighted average yield on debt investments of 12.4% and was invested 30% in senior secured loans, 47% in second lien secured debt, 15% in subordinated debt and 8% in preferred and common equity.</w:t>
      </w:r>
    </w:p>
    <w:p>
      <w:pPr>
        <w:spacing w:after="0" w:line="180"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67% variable-rate investments (including 61% with a LIBOR or prime floor) and 33% fixed-rate investments. Overall, the portfolio had net unrealized depreciation of $0.9 million.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For the three months ended June 30, 2015, we invested $113.3 million in three new and nine existing portfolio companies with a weighted average yield on debt investments of 10.8%. Sales and repayments of investments for the three months ended June 30, 2015 totaled $107.0 million. For the nine months ended June 30, 2015, we invested $344.8 million in eight new and 22 existing portfolio companies with a weighted average yield on debt investments of 12.1%. Sales and repayments of investments for the nine months ended June 30, 2015 totaled $289.5 million.</w:t>
      </w:r>
    </w:p>
    <w:p>
      <w:pPr>
        <w:sectPr>
          <w:pgSz w:w="11900" w:h="16838" w:orient="portrait"/>
          <w:cols w:equalWidth="0" w:num="1">
            <w:col w:w="11240"/>
          </w:cols>
          <w:pgMar w:left="320" w:top="111" w:right="339" w:bottom="0" w:gutter="0" w:footer="0" w:header="0"/>
        </w:sectPr>
      </w:pPr>
    </w:p>
    <w:bookmarkStart w:id="3" w:name="page4"/>
    <w:bookmarkEnd w:id="3"/>
    <w:p>
      <w:pPr>
        <w:ind w:right="100"/>
        <w:spacing w:after="0" w:line="249" w:lineRule="auto"/>
        <w:rPr>
          <w:sz w:val="20"/>
          <w:szCs w:val="20"/>
          <w:color w:val="auto"/>
        </w:rPr>
      </w:pPr>
      <w:r>
        <w:rPr>
          <w:rFonts w:ascii="Arial" w:cs="Arial" w:eastAsia="Arial" w:hAnsi="Arial"/>
          <w:sz w:val="21"/>
          <w:szCs w:val="21"/>
          <w:color w:val="auto"/>
        </w:rPr>
        <w:t>For the three months ended June 30, 2014, we invested $191.8 million in three new and nine existing portfolio companies with a weighted average yield on debt investments of 11.7%. Sales and repayments of investments for the three months ended June 30, 2014 totaled $273.6 million. For the nine months ended June 30, 2014, we invested $561.8 million in 16 new and 22 existing portfolio companies with a weighted average yield on debt investments of 12.1%. Sales and repayments of investments for the nine months ended June 30, 2014 totaled $534.4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2015 and 2014.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Investment income for the three and nine months ended June 30, 2015 was $40.6 million and $122.5 million, respectively, and was attributable to $12.3 million and $42.6 million from senior secured loans, $19.5 million and $54.1 million from second lien secured debt, $7.2 million and $23.5 million from subordinated debt, and $1.6 million and $2.3 million from preferred and common equity, respectively. This compares to investment income for the three and nine months ended June 30, 2014, which was $35.5 million and $107.8 million, respectively, and was attributable to $9.8 million and $30.0 million from senior secured loans, $13.3 million and $39.9 million from second lien secured debt, $11.6 million and $35.7 million from subordinated debt, and $0.8 million and $2.2 million from preferred and common equity, respectively. The increase in investment income compared with the same periods in the prior year was primarily due to the growth of our portfolio.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Expenses for the three and nine months ended June 30, 2015 totaled $20.0 million and $60.3 million, respectively. Base management fee for the same periods totaled $6.5 million and $20.1 million, incentive fee totaled $5.2 million and $15.6 million, debt related interest and expenses totaled $6.6 million and $19.7 million and general and administrative expenses totaled $1.7 million and $4.9 million, respectively. This compares to expenses for the three and nine months ended June 30, 2014, which totaled $22.3 million and $56.6 million, respectively. Base management fee for the same periods totaled $6.1 million and $17.9 million, incentive fee totaled $5.4 million and $14.9 million (including $1.6 million on net realized gains accrued but not payable), debt related interest and expenses totaled $8.9 million and $18.6 million (including $3.9 million of debt issuance costs under our multi-currency, senior secured revolving credit facility, as amended and restated, or the Credit Facility) and general and administrative expenses totaled $1.9 million and $5.2 million, respectively. The decrease in expenses for the three months ended June 30, 2015 as compared to the same period in the prior year is due to the absence of debt issuance costs in the current period, whereas, the increase in expenses for the nine months ended June 30, 2015 as compared with the same period in the prior year was primarily due to increased borrowing costs and the growth of our portfolio.</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Net investment income totaled $20.7 million and $62.2 million, or $0.28 and $0.83 per share, for the three and nine months ended June 30, 2015, respectively. Net investment income totaled $13.2 million and $51.2 million, or $0.20 and $0.77 per share, for the three and nine months ended June 30, 2014, respectively. The increase in net investment income compared to the same periods in the prior year was primarily due to the growth of our portfolio and lower amendment costs offset by higher financing costs.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Sales and repayments of investments for the three and nine months ended June 30, 2015 totaled $107.0 million and $289.5 million, respectively, and realized gains totaled $13.8 million and $31.9 million, respectively. Sales and repayments of investments for the three and nine months ended June 30, 2014 totaled $273.6 million and $534.4 million, respectively, and realized gains totaled $23.3 million and $29.0 million, respectively. The decrease in realized gains for the three months ended June 30, 2015 as compared to the same period in the prior year was driven by fewer exits of our portfolio companies, whereas the increase in realized gains for the nine months ended June 30, 2015 as compared with the same period in the prior year was primarily due to the improved merger and acquisition environment and a higher volume of sales and repayments.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For the three and nine months ended June 30, 2015, we reported net unrealized depreciation on investments of $30.2 million and $108.1 million, respectively. For the three and nine months ended June 30, 2014, we reported a net unrealized (depreciation) appreciation on investments of $(1.1) million and $37.4 million, respectively. As of June 30, 2015 and September 30, 2014, our net unrealized depreciation on investments totaled $109.0 million and $0.9 million, respectively. The decrease in value compared with the same periods in the prior year was the result of the overall variation in the leveraged finance markets and specifically, for energy related companies.</w:t>
      </w:r>
    </w:p>
    <w:p>
      <w:pPr>
        <w:spacing w:after="0" w:line="18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For the three and nine months ended June 30, 2015, we reported net unrealized depreciation of $0.6 million and $2.3 million, respectively, on the Credit Facility, our 4.50% notes due 2019, or 2019 Notes, and our 6.25% senior notes due 2025, or 2025 Notes. For the three and nine months ended June 30, 2014, we reported a net unrealized (appreciation) on our Credit Facility and 2025 Notes of $(3.4) million and $(5.4) million, respectively. The change compared with the same periods in the prior year was primarily due to changes in the capital markets.</w:t>
      </w:r>
    </w:p>
    <w:p>
      <w:pPr>
        <w:sectPr>
          <w:pgSz w:w="11900" w:h="16838" w:orient="portrait"/>
          <w:cols w:equalWidth="0" w:num="1">
            <w:col w:w="11220"/>
          </w:cols>
          <w:pgMar w:left="320" w:top="118" w:right="35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3" w:lineRule="exact"/>
        <w:rPr>
          <w:sz w:val="20"/>
          <w:szCs w:val="20"/>
          <w:color w:val="auto"/>
        </w:rPr>
      </w:pPr>
    </w:p>
    <w:p>
      <w:pPr>
        <w:jc w:val="both"/>
        <w:ind w:right="60"/>
        <w:spacing w:after="0" w:line="249" w:lineRule="auto"/>
        <w:rPr>
          <w:sz w:val="20"/>
          <w:szCs w:val="20"/>
          <w:color w:val="auto"/>
        </w:rPr>
      </w:pPr>
      <w:r>
        <w:rPr>
          <w:rFonts w:ascii="Arial" w:cs="Arial" w:eastAsia="Arial" w:hAnsi="Arial"/>
          <w:sz w:val="21"/>
          <w:szCs w:val="21"/>
          <w:color w:val="auto"/>
        </w:rPr>
        <w:t>Net change in net assets resulting from operations totaled $4.9 million and $(11.6) million, or $0.07 and $(0.16) per share, for the three and nine months ended June 30, 2015, respectively. This compares to a net change in net assets resulting from operations of $31.9 million and $112.1 million, or $0.48 and $1.68 per share, for the three and nine months ended June 30, 2014, respectively. The decrease in the net change in net assets from operations compared with the same periods in the prior year reflects the change in portfolio investment values during the reporting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As of June 30, 2015 and September 30, 2014, there was $101.5 million and $55.2 million, respectively, in outstanding borrowings under the Credit Facility, with a weighted average interest rate at the time of 3.17% and 2.80%, respectively, exclusive of the fee on undrawn commitments of 0.375%. The annualized weighted average cost of debt for the nine months ended June 30, 2015 and 2014, inclusive of the fee on the undrawn commitment on the Credit Facility and upfront fees on SBA debentures, was 4.55% and 3.94%, respectively. As of June 30, 2015 and September 30, 2014, we had $443.5 million and $489.8 million of unused borrowing capacity, respectively, subject to the regulatory restrictions that the 1940 Act imposes on us as a business development company.</w:t>
      </w:r>
    </w:p>
    <w:p>
      <w:pPr>
        <w:spacing w:after="0" w:line="184"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As of June 30, 2015 and September 30, 2014, we had $250.0 million and $71.3 million in aggregate principal amount of 2019 Notes and 2025 Notes, respectively, with a fixed interest rate of 4.50% and 6.25% per year, respectively. As of June 30, 2015 and September 30, 2014, we had $225.0 million in SBA debt commitments through certain of our consolidated subsidiaries and $150.0 million was drawn for each period. As of June 30, 2014, we had $71.3 million in aggregate principal amount of 2025 Notes with a fixed interest rate of 6.25%.</w:t>
      </w:r>
    </w:p>
    <w:p>
      <w:pPr>
        <w:spacing w:after="0" w:line="187"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At June 30, 2015 and September 30, 2014, we had cash and cash equivalents of $83.3 million and $66.5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Our operating activities provided cash of $41.4 million for the nine months ended June 30, 2015, primarily for net purchases of investments. Our financing activities used cash of $24.8 million for the same period, primarily to repay certain amounts under our Credit Facility.</w:t>
      </w:r>
    </w:p>
    <w:p>
      <w:pPr>
        <w:spacing w:after="0" w:line="186"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Our operating activities used cash of $48.4 million for the nine months ended June 30, 2014, primarily for net purchases of investments. Our financing activities provided cash of $54.5 million for the same period, primarily from net borrowings under our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three and nine months ended June 30, 2015, we repurchased 833,213 shares of common stock in open market transactions for an aggregate cost (including transaction costs) of $8.0 million. During the three and nine months ended June 30, 2014, we did not make any repurchases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During the three and nine months ended June 30, 2015, we declared to stockholders distributions of $0.28 and $0.84 per share, respectively, for total distributions of $20.8 million and $62.8 million, respectively. For the same periods in the prior year, we declared distributions of $0.28 and $0.84 per share, respectively, for total distributions of $18.6 million and $55.9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ectPr>
          <w:pgSz w:w="11900" w:h="16838" w:orient="portrait"/>
          <w:cols w:equalWidth="0" w:num="1">
            <w:col w:w="11240"/>
          </w:cols>
          <w:pgMar w:left="320" w:top="112" w:right="339" w:bottom="0" w:gutter="0" w:footer="0" w:header="0"/>
        </w:sectPr>
      </w:pPr>
    </w:p>
    <w:bookmarkStart w:id="5" w:name="page6"/>
    <w:bookmarkEnd w:id="5"/>
    <w:p>
      <w:pPr>
        <w:jc w:val="center"/>
        <w:ind w:right="2219"/>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2219"/>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June 30, 2015</w:t>
            </w:r>
          </w:p>
        </w:tc>
        <w:tc>
          <w:tcPr>
            <w:tcW w:w="16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(cost--$1,097,132,390 and $1,171,573,359,</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$1,066,250,974</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$1,212,515,400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(cost--$227,700,622 and $108,572,406,</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177,468,538</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67,847,521</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Controlled, affiliated investments (cost--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$78,155,160 and $38,708,555,</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50,326,631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37,691,845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of investments (cost--$1,402,988,172</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$1,318,854,320,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1,294,046,143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1,318,054,766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and cash equivalents (cost--$83,378,632</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$66,600,195,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83,328,972</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66,518,682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13,851,364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13,703,525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financing costs and other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13,658,761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13,550,224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1,404,885,240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1,411,827,197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20,792,715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21,026,015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47,623,030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4,432,500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15,607,059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(cost--$101,536,700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$55,226,300,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98,565,960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53,497,620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(cost--$250,000,000)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250,160,000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251,350,250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(cost--$150,000,000)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(cost--$71,250,000)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71,934,000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71,820,000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6,497,137</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6,385,103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5,163,582</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4,622,754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6,200,201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1,962,264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2,405,438</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3,113,683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659,342,063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583,817,248</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74,259,698 and 75,092,911</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Par value $0.001 per share and 100,000,000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74,260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75,093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844,475,225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852,465,375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(12,420,260)</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(11,802,580)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(loss) 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20,281,626</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(11,655,302)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(108,994,414)</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(881,067)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2,126,740</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(191,570)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745,543,177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828,009,949</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$1,404,885,240</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$1,411,827,197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19"/>
        <w:spacing w:after="0" w:line="236" w:lineRule="auto"/>
        <w:rPr>
          <w:sz w:val="20"/>
          <w:szCs w:val="20"/>
          <w:color w:val="auto"/>
        </w:rPr>
      </w:pPr>
      <w:r>
        <w:rPr>
          <w:rFonts w:ascii="Courier New" w:cs="Courier New" w:eastAsia="Courier New" w:hAnsi="Courier New"/>
          <w:sz w:val="18"/>
          <w:szCs w:val="18"/>
          <w:color w:val="auto"/>
        </w:rPr>
        <w:t>PENNANTPARK INVESTMENT CORPORATION AND SUBSIDIARIES CONSOLIDATED STATEMENTS OF OPERATIONS (Unaudited)</w:t>
      </w:r>
    </w:p>
    <w:p>
      <w:pPr>
        <w:sectPr>
          <w:pgSz w:w="11900" w:h="16838" w:orient="portrait"/>
          <w:cols w:equalWidth="0" w:num="1">
            <w:col w:w="10139"/>
          </w:cols>
          <w:pgMar w:left="320" w:top="541" w:right="1440" w:bottom="0" w:gutter="0" w:footer="0" w:header="0"/>
        </w:sectPr>
      </w:pPr>
    </w:p>
    <w:p>
      <w:pPr>
        <w:spacing w:after="0" w:line="203" w:lineRule="exact"/>
        <w:rPr>
          <w:sz w:val="20"/>
          <w:szCs w:val="20"/>
          <w:color w:val="auto"/>
        </w:rPr>
      </w:pPr>
    </w:p>
    <w:p>
      <w:pPr>
        <w:jc w:val="center"/>
        <w:ind w:left="2120"/>
        <w:spacing w:after="0"/>
        <w:rPr>
          <w:sz w:val="20"/>
          <w:szCs w:val="20"/>
          <w:color w:val="auto"/>
        </w:rPr>
      </w:pPr>
      <w:r>
        <w:rPr>
          <w:rFonts w:ascii="Courier New" w:cs="Courier New" w:eastAsia="Courier New" w:hAnsi="Courier New"/>
          <w:sz w:val="18"/>
          <w:szCs w:val="18"/>
          <w:color w:val="auto"/>
        </w:rPr>
        <w:t>Three Months Ended</w:t>
      </w:r>
    </w:p>
    <w:p>
      <w:pPr>
        <w:jc w:val="center"/>
        <w:ind w:left="2120"/>
        <w:spacing w:after="0" w:line="238" w:lineRule="auto"/>
        <w:rPr>
          <w:sz w:val="20"/>
          <w:szCs w:val="20"/>
          <w:color w:val="auto"/>
        </w:rPr>
      </w:pPr>
      <w:r>
        <w:rPr>
          <w:rFonts w:ascii="Courier New" w:cs="Courier New" w:eastAsia="Courier New" w:hAnsi="Courier New"/>
          <w:sz w:val="18"/>
          <w:szCs w:val="18"/>
          <w:color w:val="auto"/>
        </w:rPr>
        <w:t>June 30,</w:t>
      </w:r>
    </w:p>
    <w:p>
      <w:pPr>
        <w:spacing w:after="0" w:line="5" w:lineRule="exact"/>
        <w:rPr>
          <w:sz w:val="20"/>
          <w:szCs w:val="20"/>
          <w:color w:val="auto"/>
        </w:rPr>
      </w:pPr>
    </w:p>
    <w:p>
      <w:pPr>
        <w:jc w:val="center"/>
        <w:ind w:left="2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2540"/>
        <w:spacing w:after="0"/>
        <w:tabs>
          <w:tab w:leader="none" w:pos="1020" w:val="left"/>
        </w:tabs>
        <w:rPr>
          <w:sz w:val="20"/>
          <w:szCs w:val="20"/>
          <w:color w:val="auto"/>
        </w:rPr>
      </w:pPr>
      <w:r>
        <w:rPr>
          <w:rFonts w:ascii="Courier New" w:cs="Courier New" w:eastAsia="Courier New" w:hAnsi="Courier New"/>
          <w:sz w:val="18"/>
          <w:szCs w:val="18"/>
          <w:color w:val="auto"/>
        </w:rPr>
        <w:t>2015</w:t>
      </w:r>
      <w:r>
        <w:rPr>
          <w:sz w:val="20"/>
          <w:szCs w:val="20"/>
          <w:color w:val="auto"/>
        </w:rPr>
        <w:tab/>
      </w:r>
      <w:r>
        <w:rPr>
          <w:rFonts w:ascii="Courier New" w:cs="Courier New" w:eastAsia="Courier New" w:hAnsi="Courier New"/>
          <w:sz w:val="18"/>
          <w:szCs w:val="18"/>
          <w:color w:val="auto"/>
        </w:rPr>
        <w:t>2014</w:t>
      </w:r>
    </w:p>
    <w:p>
      <w:pPr>
        <w:jc w:val="center"/>
        <w:ind w:left="2120"/>
        <w:spacing w:after="0" w:line="238" w:lineRule="auto"/>
        <w:tabs>
          <w:tab w:leader="none" w:pos="180" w:val="left"/>
        </w:tabs>
        <w:rPr>
          <w:sz w:val="20"/>
          <w:szCs w:val="20"/>
          <w:color w:val="auto"/>
        </w:rPr>
      </w:pPr>
      <w:r>
        <w:rPr>
          <w:rFonts w:ascii="Courier New" w:cs="Courier New" w:eastAsia="Courier New" w:hAnsi="Courier New"/>
          <w:sz w:val="18"/>
          <w:szCs w:val="18"/>
          <w:color w:val="auto"/>
        </w:rPr>
        <w:t>------------</w:t>
        <w:tab/>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Nine Months Ended</w:t>
      </w:r>
    </w:p>
    <w:p>
      <w:pPr>
        <w:ind w:left="1060"/>
        <w:spacing w:after="0" w:line="238" w:lineRule="auto"/>
        <w:rPr>
          <w:sz w:val="20"/>
          <w:szCs w:val="20"/>
          <w:color w:val="auto"/>
        </w:rPr>
      </w:pPr>
      <w:r>
        <w:rPr>
          <w:rFonts w:ascii="Courier New" w:cs="Courier New" w:eastAsia="Courier New" w:hAnsi="Courier New"/>
          <w:sz w:val="18"/>
          <w:szCs w:val="18"/>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tabs>
          <w:tab w:leader="none" w:pos="1980" w:val="left"/>
        </w:tabs>
        <w:rPr>
          <w:sz w:val="20"/>
          <w:szCs w:val="20"/>
          <w:color w:val="auto"/>
        </w:rPr>
      </w:pPr>
      <w:r>
        <w:rPr>
          <w:rFonts w:ascii="Courier New" w:cs="Courier New" w:eastAsia="Courier New" w:hAnsi="Courier New"/>
          <w:sz w:val="18"/>
          <w:szCs w:val="18"/>
          <w:color w:val="auto"/>
        </w:rPr>
        <w:t>2015</w:t>
      </w:r>
      <w:r>
        <w:rPr>
          <w:sz w:val="20"/>
          <w:szCs w:val="20"/>
          <w:color w:val="auto"/>
        </w:rPr>
        <w:tab/>
      </w:r>
      <w:r>
        <w:rPr>
          <w:rFonts w:ascii="Courier New" w:cs="Courier New" w:eastAsia="Courier New" w:hAnsi="Courier New"/>
          <w:sz w:val="18"/>
          <w:szCs w:val="18"/>
          <w:color w:val="auto"/>
        </w:rPr>
        <w:t>2014</w:t>
      </w:r>
    </w:p>
    <w:p>
      <w:pPr>
        <w:spacing w:after="0" w:line="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w:t>
        <w:tab/>
        <w:t>------------</w:t>
      </w:r>
    </w:p>
    <w:p>
      <w:pPr>
        <w:spacing w:after="0" w:line="17" w:lineRule="exact"/>
        <w:rPr>
          <w:sz w:val="20"/>
          <w:szCs w:val="20"/>
          <w:color w:val="auto"/>
        </w:rPr>
      </w:pPr>
    </w:p>
    <w:p>
      <w:pPr>
        <w:sectPr>
          <w:pgSz w:w="11900" w:h="16838" w:orient="portrait"/>
          <w:cols w:equalWidth="0" w:num="2">
            <w:col w:w="4860" w:space="200"/>
            <w:col w:w="5079"/>
          </w:cols>
          <w:pgMar w:left="320" w:top="541"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Investment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non-controlled,</w:t>
      </w:r>
    </w:p>
    <w:p>
      <w:pPr>
        <w:sectPr>
          <w:pgSz w:w="11900" w:h="16838" w:orient="portrait"/>
          <w:cols w:equalWidth="0" w:num="1">
            <w:col w:w="10139"/>
          </w:cols>
          <w:pgMar w:left="320" w:top="541"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non-affiliated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$ 31,722,226</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$ 29,949,064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$ 101,811,852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$ 90,772,466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3,138,382</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1,463,884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9,535,685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6,314,911</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From non-controlled,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4,263,709</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1,456,621</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7,000,896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4,174,234</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159,437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159,437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1,357,778</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2,447,354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3,998,887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6,071,987</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158,333</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459,166</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40,641,532</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35,475,256</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122,506,757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107,792,764</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6,497,136</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6,131,963</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20,093,624</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17,906,316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5,163,582</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5,370,391</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15,556,767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14,866,434</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debt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6,616,779</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5,034,567</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19,699,606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14,707,313</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services expenses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855,313</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930,809</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2,562,033</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2,771,359</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854,397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929,254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2,367,661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2,470,350</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and debt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costs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19,987,207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18,396,984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60,279,691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52,721,772</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expense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32,000</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40,548</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3,850,000</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3,850,000</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19,987,207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22,278,984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60,279,691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56,612,320</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20,654,325</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13,196,272</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62,227,066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51,180,444</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gain on investments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debt: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realized gain 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13,820,350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23,267,131</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31,936,928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28,955,815</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(24,919,481)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(8,997,766)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(102,855,290)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21,000,422</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non-controlled,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(5,260,674)</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7,860,989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(5,258,057)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16,369,826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641,430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(3,377,315)</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2,318,310</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(5,421,092)</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(29,538,725)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(4,514,092)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(105,795,037)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31,949,156</w:t>
            </w:r>
          </w:p>
        </w:tc>
      </w:tr>
      <w:tr>
        <w:trPr>
          <w:trHeight w:val="202"/>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from</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(15,718,375)</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18,753,039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(73,858,109)</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60,904,971</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net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4,935,950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$ 31,949,311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(11,631,043)</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$112,085,415</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Net increase</w:t>
      </w:r>
    </w:p>
    <w:p>
      <w:pPr>
        <w:ind w:left="120"/>
        <w:spacing w:after="0" w:line="238" w:lineRule="auto"/>
        <w:rPr>
          <w:sz w:val="20"/>
          <w:szCs w:val="20"/>
          <w:color w:val="auto"/>
        </w:rPr>
      </w:pPr>
      <w:r>
        <w:rPr>
          <w:rFonts w:ascii="Courier New" w:cs="Courier New" w:eastAsia="Courier New" w:hAnsi="Courier New"/>
          <w:sz w:val="18"/>
          <w:szCs w:val="18"/>
          <w:color w:val="auto"/>
        </w:rPr>
        <w:t>(decrease) in net</w:t>
      </w:r>
    </w:p>
    <w:p>
      <w:pPr>
        <w:ind w:left="120"/>
        <w:spacing w:after="0" w:line="238" w:lineRule="auto"/>
        <w:rPr>
          <w:sz w:val="20"/>
          <w:szCs w:val="20"/>
          <w:color w:val="auto"/>
        </w:rPr>
      </w:pPr>
      <w:r>
        <w:rPr>
          <w:rFonts w:ascii="Courier New" w:cs="Courier New" w:eastAsia="Courier New" w:hAnsi="Courier New"/>
          <w:sz w:val="18"/>
          <w:szCs w:val="18"/>
          <w:color w:val="auto"/>
        </w:rPr>
        <w:t>assets resulting</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from operations per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3320"/>
        <w:spacing w:after="0" w:line="235" w:lineRule="auto"/>
        <w:rPr>
          <w:sz w:val="20"/>
          <w:szCs w:val="20"/>
          <w:color w:val="auto"/>
        </w:rPr>
      </w:pPr>
      <w:r>
        <w:rPr>
          <w:rFonts w:ascii="Courier New" w:cs="Courier New" w:eastAsia="Courier New" w:hAnsi="Courier New"/>
          <w:sz w:val="18"/>
          <w:szCs w:val="18"/>
          <w:color w:val="auto"/>
        </w:rPr>
        <w:t>$ 0.07 $ 0.48 $ (0.16) $ 1.68 ============ ============ ============= ============</w:t>
      </w:r>
    </w:p>
    <w:p>
      <w:pPr>
        <w:spacing w:after="0" w:line="1" w:lineRule="exact"/>
        <w:rPr>
          <w:sz w:val="20"/>
          <w:szCs w:val="20"/>
          <w:color w:val="auto"/>
        </w:rPr>
      </w:pPr>
    </w:p>
    <w:p>
      <w:pPr>
        <w:sectPr>
          <w:pgSz w:w="11900" w:h="16838" w:orient="portrait"/>
          <w:cols w:equalWidth="0" w:num="2">
            <w:col w:w="2120" w:space="0"/>
            <w:col w:w="9100"/>
          </w:cols>
          <w:pgMar w:left="320" w:top="136" w:right="359" w:bottom="1440" w:gutter="0" w:footer="0" w:header="0"/>
        </w:sectPr>
      </w:pPr>
    </w:p>
    <w:p>
      <w:pPr>
        <w:spacing w:after="0"/>
        <w:rPr>
          <w:sz w:val="20"/>
          <w:szCs w:val="20"/>
          <w:color w:val="auto"/>
        </w:rPr>
      </w:pPr>
      <w:r>
        <w:rPr>
          <w:rFonts w:ascii="Courier New" w:cs="Courier New" w:eastAsia="Courier New" w:hAnsi="Courier New"/>
          <w:sz w:val="18"/>
          <w:szCs w:val="18"/>
          <w:color w:val="auto"/>
        </w:rPr>
        <w:t>Net investment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income per common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3320"/>
        <w:spacing w:after="0" w:line="235" w:lineRule="auto"/>
        <w:rPr>
          <w:sz w:val="20"/>
          <w:szCs w:val="20"/>
          <w:color w:val="auto"/>
        </w:rPr>
      </w:pPr>
      <w:r>
        <w:rPr>
          <w:rFonts w:ascii="Courier New" w:cs="Courier New" w:eastAsia="Courier New" w:hAnsi="Courier New"/>
          <w:sz w:val="18"/>
          <w:szCs w:val="18"/>
          <w:color w:val="auto"/>
        </w:rPr>
        <w:t>$ 0.28 $ 0.20 $ 0.83 $ 0.77 ============ ============ ============= ============</w:t>
      </w:r>
    </w:p>
    <w:p>
      <w:pPr>
        <w:spacing w:after="0" w:line="200" w:lineRule="exact"/>
        <w:rPr>
          <w:sz w:val="20"/>
          <w:szCs w:val="20"/>
          <w:color w:val="auto"/>
        </w:rPr>
      </w:pPr>
    </w:p>
    <w:p>
      <w:pPr>
        <w:sectPr>
          <w:pgSz w:w="11900" w:h="16838" w:orient="portrait"/>
          <w:cols w:equalWidth="0" w:num="2">
            <w:col w:w="1900" w:space="220"/>
            <w:col w:w="9100"/>
          </w:cols>
          <w:pgMar w:left="320" w:top="136" w:right="35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We may use words such as "anticipates, "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2020-05-05T15:07:28Z</dcterms:created>
  <dcterms:modified xsi:type="dcterms:W3CDTF">2020-05-05T15:07:28Z</dcterms:modified>
</cp:coreProperties>
</file>