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01, 2010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420"/>
        <w:spacing w:after="0" w:line="250" w:lineRule="auto"/>
        <w:rPr>
          <w:sz w:val="20"/>
          <w:szCs w:val="20"/>
          <w:color w:val="auto"/>
        </w:rPr>
      </w:pPr>
      <w:r>
        <w:rPr>
          <w:rFonts w:ascii="Arial" w:cs="Arial" w:eastAsia="Arial" w:hAnsi="Arial"/>
          <w:sz w:val="22"/>
          <w:szCs w:val="22"/>
          <w:color w:val="auto"/>
        </w:rPr>
        <w:t>On September 1, 2010, PennantPark Investment Corporation issued a press release announcing its fourth fiscal quarter 2010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200" w:lineRule="exact"/>
        <w:rPr>
          <w:sz w:val="24"/>
          <w:szCs w:val="24"/>
          <w:color w:val="auto"/>
        </w:rPr>
      </w:pPr>
    </w:p>
    <w:p>
      <w:pPr>
        <w:spacing w:after="0" w:line="22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September 01, 2010</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00" w:type="dxa"/>
            <w:vAlign w:val="bottom"/>
          </w:tcPr>
          <w:p>
            <w:pPr>
              <w:spacing w:after="0"/>
              <w:rPr>
                <w:sz w:val="20"/>
                <w:szCs w:val="20"/>
                <w:color w:val="auto"/>
              </w:rPr>
            </w:pPr>
            <w:r>
              <w:rPr>
                <w:rFonts w:ascii="Arial" w:cs="Arial" w:eastAsia="Arial" w:hAnsi="Arial"/>
                <w:sz w:val="22"/>
                <w:szCs w:val="22"/>
                <w:color w:val="auto"/>
              </w:rPr>
              <w:t>Dated: September 01, 2010</w:t>
            </w:r>
          </w:p>
        </w:tc>
        <w:tc>
          <w:tcPr>
            <w:tcW w:w="6440" w:type="dxa"/>
            <w:vAlign w:val="bottom"/>
            <w:gridSpan w:val="3"/>
          </w:tcPr>
          <w:p>
            <w:pPr>
              <w:ind w:left="16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4000" w:type="dxa"/>
            <w:vAlign w:val="bottom"/>
          </w:tcPr>
          <w:p>
            <w:pPr>
              <w:spacing w:after="0"/>
              <w:rPr>
                <w:sz w:val="24"/>
                <w:szCs w:val="24"/>
                <w:color w:val="auto"/>
              </w:rPr>
            </w:pPr>
          </w:p>
        </w:tc>
        <w:tc>
          <w:tcPr>
            <w:tcW w:w="6440" w:type="dxa"/>
            <w:vAlign w:val="bottom"/>
            <w:gridSpan w:val="3"/>
          </w:tcPr>
          <w:p>
            <w:pPr>
              <w:ind w:left="1620"/>
              <w:spacing w:after="0"/>
              <w:rPr>
                <w:sz w:val="20"/>
                <w:szCs w:val="20"/>
                <w:color w:val="auto"/>
              </w:rPr>
            </w:pPr>
            <w:r>
              <w:rPr>
                <w:rFonts w:ascii="Arial" w:cs="Arial" w:eastAsia="Arial" w:hAnsi="Arial"/>
                <w:sz w:val="22"/>
                <w:szCs w:val="22"/>
                <w:color w:val="auto"/>
              </w:rPr>
              <w:t>By: /s/ Aviv Efrat</w:t>
            </w: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4000" w:type="dxa"/>
            <w:vAlign w:val="bottom"/>
          </w:tcPr>
          <w:p>
            <w:pPr>
              <w:spacing w:after="0"/>
              <w:rPr>
                <w:sz w:val="21"/>
                <w:szCs w:val="21"/>
                <w:color w:val="auto"/>
              </w:rPr>
            </w:pPr>
          </w:p>
        </w:tc>
        <w:tc>
          <w:tcPr>
            <w:tcW w:w="6440" w:type="dxa"/>
            <w:vAlign w:val="bottom"/>
            <w:gridSpan w:val="3"/>
          </w:tcPr>
          <w:p>
            <w:pPr>
              <w:ind w:left="18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4000" w:type="dxa"/>
            <w:vAlign w:val="bottom"/>
          </w:tcPr>
          <w:p>
            <w:pPr>
              <w:spacing w:after="0"/>
              <w:rPr>
                <w:sz w:val="23"/>
                <w:szCs w:val="23"/>
                <w:color w:val="auto"/>
              </w:rPr>
            </w:pPr>
          </w:p>
        </w:tc>
        <w:tc>
          <w:tcPr>
            <w:tcW w:w="6440" w:type="dxa"/>
            <w:vAlign w:val="bottom"/>
            <w:gridSpan w:val="3"/>
          </w:tcPr>
          <w:p>
            <w:pPr>
              <w:ind w:left="19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September 01, 2010</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Its Quarterly Distribution of $0.26 per Share</w:t>
      </w:r>
    </w:p>
    <w:p>
      <w:pPr>
        <w:spacing w:after="0" w:line="213"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NEW YORK, NY -- (Marketwire - September 01, 2010) - PennantPark Investment Corporation (the "Company") (NASDAQ: PNNT) declares its fourth fiscal quarter 2010 distribution of $0.26 per share, payable on October 1, 2010 to stockholders of record as of September 14, 2010. Distributions are paid from taxable earnings and may include return of capital and/or capital gains. The specific tax characteristics of the distribution will be reported to stockholders on Form 1099 after the end of the calendar year.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the Company may also invest in public companies whose securities are thinly traded. PennantPark Investment Corporation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4"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2020-05-05T15:06:53Z</dcterms:created>
  <dcterms:modified xsi:type="dcterms:W3CDTF">2020-05-05T15:06:53Z</dcterms:modified>
</cp:coreProperties>
</file>