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 Supplement</w:t>
      </w:r>
    </w:p>
    <w:p>
      <w:pPr>
        <w:spacing w:after="0" w:line="223" w:lineRule="auto"/>
        <w:rPr>
          <w:sz w:val="20"/>
          <w:szCs w:val="20"/>
          <w:color w:val="auto"/>
        </w:rPr>
      </w:pPr>
      <w:r>
        <w:rPr>
          <w:rFonts w:ascii="Arial" w:cs="Arial" w:eastAsia="Arial" w:hAnsi="Arial"/>
          <w:sz w:val="14"/>
          <w:szCs w:val="14"/>
          <w:b w:val="1"/>
          <w:bCs w:val="1"/>
          <w:color w:val="auto"/>
        </w:rPr>
        <w:t>To the Prospectus dated</w:t>
      </w:r>
    </w:p>
    <w:p>
      <w:pPr>
        <w:spacing w:after="0"/>
        <w:rPr>
          <w:sz w:val="20"/>
          <w:szCs w:val="20"/>
          <w:color w:val="auto"/>
        </w:rPr>
      </w:pPr>
      <w:r>
        <w:rPr>
          <w:rFonts w:ascii="Arial" w:cs="Arial" w:eastAsia="Arial" w:hAnsi="Arial"/>
          <w:sz w:val="14"/>
          <w:szCs w:val="14"/>
          <w:b w:val="1"/>
          <w:bCs w:val="1"/>
          <w:color w:val="auto"/>
        </w:rPr>
        <w:t>February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120015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4,000,000 Shares</w:t>
      </w:r>
    </w:p>
    <w:p>
      <w:pPr>
        <w:spacing w:after="0" w:line="90" w:lineRule="exact"/>
        <w:rPr>
          <w:sz w:val="24"/>
          <w:szCs w:val="24"/>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4"/>
          <w:szCs w:val="24"/>
          <w:color w:val="auto"/>
        </w:rPr>
      </w:pPr>
    </w:p>
    <w:p>
      <w:pPr>
        <w:ind w:left="4860"/>
        <w:spacing w:after="0"/>
        <w:rPr>
          <w:sz w:val="20"/>
          <w:szCs w:val="20"/>
          <w:color w:val="auto"/>
        </w:rPr>
      </w:pPr>
      <w:r>
        <w:rPr>
          <w:rFonts w:ascii="Arial" w:cs="Arial" w:eastAsia="Arial" w:hAnsi="Arial"/>
          <w:sz w:val="24"/>
          <w:szCs w:val="24"/>
          <w:b w:val="1"/>
          <w:bCs w:val="1"/>
          <w:color w:val="auto"/>
        </w:rPr>
        <w:t>$10.15 per share</w:t>
      </w:r>
    </w:p>
    <w:p>
      <w:pPr>
        <w:spacing w:after="0" w:line="51" w:lineRule="exact"/>
        <w:rPr>
          <w:sz w:val="24"/>
          <w:szCs w:val="24"/>
          <w:color w:val="auto"/>
        </w:rPr>
      </w:pPr>
    </w:p>
    <w:p>
      <w:pPr>
        <w:ind w:right="60" w:firstLine="342"/>
        <w:spacing w:after="0" w:line="278" w:lineRule="auto"/>
        <w:rPr>
          <w:sz w:val="20"/>
          <w:szCs w:val="20"/>
          <w:color w:val="auto"/>
        </w:rPr>
      </w:pPr>
      <w:r>
        <w:rPr>
          <w:rFonts w:ascii="Arial" w:cs="Arial" w:eastAsia="Arial" w:hAnsi="Arial"/>
          <w:sz w:val="12"/>
          <w:szCs w:val="12"/>
          <w:color w:val="auto"/>
        </w:rPr>
        <w:t>We are offering for sale 4,000,000 shares of our common stock. We are offering shares of our common stock at a discount from our most recently determined net asset value per share pursuant to authority granted by our stockholders on February 2, 2010. Sales of common stock at prices below net asset value per share dilute the interests of existing stockholders, have the effect of reducing our net asset value per share and may reduce our market price per share. See “Risk Factors” beginning on page 9 of the accompanying prospectus and page S-9 of this prospectus supplement, and “Sales of Common Stock Below Net Asset Value” on page 51 of the accompanying prospectus and page S-15 of this prospectus supplement.</w:t>
      </w:r>
    </w:p>
    <w:p>
      <w:pPr>
        <w:spacing w:after="0" w:line="9" w:lineRule="exact"/>
        <w:rPr>
          <w:sz w:val="24"/>
          <w:szCs w:val="24"/>
          <w:color w:val="auto"/>
        </w:rPr>
      </w:pPr>
    </w:p>
    <w:p>
      <w:pPr>
        <w:ind w:right="220" w:firstLine="342"/>
        <w:spacing w:after="0" w:line="305" w:lineRule="auto"/>
        <w:rPr>
          <w:sz w:val="20"/>
          <w:szCs w:val="20"/>
          <w:color w:val="auto"/>
        </w:rPr>
      </w:pPr>
      <w:r>
        <w:rPr>
          <w:rFonts w:ascii="Arial" w:cs="Arial" w:eastAsia="Arial" w:hAnsi="Arial"/>
          <w:sz w:val="12"/>
          <w:szCs w:val="12"/>
          <w:color w:val="auto"/>
        </w:rPr>
        <w:t>Our common stock is traded on the NASDAQ Global Select Market under the symbol “PNNT”. The last reported closing price for our common stock on August 17, 2010 was $10.67 per share. The net asset value of our common stock on June 30, 2010 (the last date prior to the date of this prospectus supplement on which we determined net asset value) was $10.94 per share.</w:t>
      </w:r>
    </w:p>
    <w:p>
      <w:pPr>
        <w:ind w:right="100" w:firstLine="342"/>
        <w:spacing w:after="0" w:line="230"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(the “1940 Act”). Our investment objectives are to generate both current income and capital appreciation through debt and equity investments primarily in U.S. middle-market private companies in the form of mezzanine debt, senior secured loans and equity investments. We are externally managed by PennantPark Investment Advisers, LLC. PennantPark Investment Administration, LLC provides the administrative services necessary for us to operate.</w:t>
      </w:r>
    </w:p>
    <w:p>
      <w:pPr>
        <w:spacing w:after="0" w:line="31" w:lineRule="exact"/>
        <w:rPr>
          <w:sz w:val="24"/>
          <w:szCs w:val="24"/>
          <w:color w:val="auto"/>
        </w:rPr>
      </w:pPr>
    </w:p>
    <w:p>
      <w:pPr>
        <w:ind w:right="180" w:firstLine="342"/>
        <w:spacing w:after="0" w:line="273" w:lineRule="auto"/>
        <w:rPr>
          <w:sz w:val="20"/>
          <w:szCs w:val="20"/>
          <w:color w:val="auto"/>
        </w:rPr>
      </w:pPr>
      <w:r>
        <w:rPr>
          <w:rFonts w:ascii="Arial" w:cs="Arial" w:eastAsia="Arial" w:hAnsi="Arial"/>
          <w:sz w:val="12"/>
          <w:szCs w:val="12"/>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at 590 Madison Avenue, New York, NY 10022 or by telephone at (212) 905-1000 or on our website at </w:t>
      </w:r>
      <w:r>
        <w:rPr>
          <w:rFonts w:ascii="Arial" w:cs="Arial" w:eastAsia="Arial" w:hAnsi="Arial"/>
          <w:sz w:val="12"/>
          <w:szCs w:val="12"/>
          <w:i w:val="1"/>
          <w:iCs w:val="1"/>
          <w:color w:val="auto"/>
        </w:rPr>
        <w:t>www.pennantpark.com.</w:t>
      </w:r>
      <w:r>
        <w:rPr>
          <w:rFonts w:ascii="Arial" w:cs="Arial" w:eastAsia="Arial" w:hAnsi="Arial"/>
          <w:sz w:val="12"/>
          <w:szCs w:val="12"/>
          <w:color w:val="auto"/>
        </w:rPr>
        <w:t xml:space="preserve"> The SEC also maintains a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8" w:lineRule="exact"/>
        <w:rPr>
          <w:sz w:val="24"/>
          <w:szCs w:val="24"/>
          <w:color w:val="auto"/>
        </w:rPr>
      </w:pPr>
    </w:p>
    <w:p>
      <w:pPr>
        <w:ind w:right="12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9 of the accompanying prospectus and S-9 of this prospectus supplement, and “Sales of Common Stock Below Net Asset Value” on page 51 of the accompanying prospectus and page S-15 in this prospectus supplement.</w:t>
      </w:r>
    </w:p>
    <w:p>
      <w:pPr>
        <w:spacing w:after="0" w:line="30" w:lineRule="exact"/>
        <w:rPr>
          <w:sz w:val="24"/>
          <w:szCs w:val="24"/>
          <w:color w:val="auto"/>
        </w:rPr>
      </w:pPr>
    </w:p>
    <w:p>
      <w:pPr>
        <w:ind w:right="360" w:firstLine="342"/>
        <w:spacing w:after="0" w:line="321"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2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7480" w:type="dxa"/>
            <w:vAlign w:val="bottom"/>
            <w:vMerge w:val="continue"/>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Borders>
              <w:top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10.15</w:t>
            </w:r>
          </w:p>
        </w:tc>
        <w:tc>
          <w:tcPr>
            <w:tcW w:w="320" w:type="dxa"/>
            <w:vAlign w:val="bottom"/>
          </w:tcPr>
          <w:p>
            <w:pPr>
              <w:spacing w:after="0"/>
              <w:rPr>
                <w:sz w:val="11"/>
                <w:szCs w:val="11"/>
                <w:color w:val="auto"/>
              </w:rPr>
            </w:pPr>
          </w:p>
        </w:tc>
        <w:tc>
          <w:tcPr>
            <w:tcW w:w="1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4"/>
              </w:rPr>
              <w:t>40,600,000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 (sales load)</w:t>
            </w:r>
          </w:p>
        </w:tc>
        <w:tc>
          <w:tcPr>
            <w:tcW w:w="23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0.5075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2,030,000</w:t>
            </w:r>
          </w:p>
        </w:tc>
        <w:tc>
          <w:tcPr>
            <w:tcW w:w="0" w:type="dxa"/>
            <w:vAlign w:val="bottom"/>
          </w:tcPr>
          <w:p>
            <w:pPr>
              <w:spacing w:after="0"/>
              <w:rPr>
                <w:sz w:val="1"/>
                <w:szCs w:val="1"/>
                <w:color w:val="auto"/>
              </w:rPr>
            </w:pPr>
          </w:p>
        </w:tc>
      </w:tr>
      <w:tr>
        <w:trPr>
          <w:trHeight w:val="172"/>
        </w:trPr>
        <w:tc>
          <w:tcPr>
            <w:tcW w:w="7480" w:type="dxa"/>
            <w:vAlign w:val="bottom"/>
          </w:tcPr>
          <w:p>
            <w:pPr>
              <w:spacing w:after="0"/>
              <w:rPr>
                <w:sz w:val="20"/>
                <w:szCs w:val="20"/>
                <w:color w:val="auto"/>
              </w:rPr>
            </w:pPr>
            <w:r>
              <w:rPr>
                <w:rFonts w:ascii="Arial" w:cs="Arial" w:eastAsia="Arial" w:hAnsi="Arial"/>
                <w:sz w:val="14"/>
                <w:szCs w:val="14"/>
                <w:color w:val="auto"/>
              </w:rPr>
              <w:t>Proceeds to PennantPark Investment Corporation (before estimated offering expenses of $276,000)</w:t>
            </w:r>
          </w:p>
        </w:tc>
        <w:tc>
          <w:tcPr>
            <w:tcW w:w="230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9.6425</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38,570,000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260" w:firstLine="342"/>
        <w:spacing w:after="0" w:line="234" w:lineRule="auto"/>
        <w:rPr>
          <w:sz w:val="20"/>
          <w:szCs w:val="20"/>
          <w:color w:val="auto"/>
        </w:rPr>
      </w:pPr>
      <w:r>
        <w:rPr>
          <w:rFonts w:ascii="Arial" w:cs="Arial" w:eastAsia="Arial" w:hAnsi="Arial"/>
          <w:sz w:val="14"/>
          <w:szCs w:val="14"/>
          <w:b w:val="1"/>
          <w:bCs w:val="1"/>
          <w:color w:val="auto"/>
        </w:rPr>
        <w:t>The underwriters may also purchase up to an additional 600,000 shares from us at the public offering price, less the underwriting discounts, within 30 days from the date of this prospectus supplement to cover overallotments. If the underwriters exercise this option in full, the total public offering price will be $46,690,000, the total underwriting discount and commissions (sales load) paid by us will be $2,334,500, and total proceeds, before offering expenses, will be $44,355,500.</w:t>
      </w:r>
    </w:p>
    <w:p>
      <w:pPr>
        <w:spacing w:after="0" w:line="2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The underwriters expect to deliver the shares on or about August 23, 2010.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Joint-bookrunners</w:t>
      </w:r>
    </w:p>
    <w:p>
      <w:pPr>
        <w:spacing w:after="0" w:line="71" w:lineRule="exact"/>
        <w:rPr>
          <w:sz w:val="24"/>
          <w:szCs w:val="24"/>
          <w:color w:val="auto"/>
        </w:rPr>
      </w:pPr>
    </w:p>
    <w:p>
      <w:pPr>
        <w:ind w:left="380"/>
        <w:spacing w:after="0"/>
        <w:tabs>
          <w:tab w:leader="none" w:pos="1820" w:val="left"/>
          <w:tab w:leader="none" w:pos="6120" w:val="left"/>
          <w:tab w:leader="none" w:pos="9140" w:val="left"/>
        </w:tabs>
        <w:rPr>
          <w:sz w:val="20"/>
          <w:szCs w:val="20"/>
          <w:color w:val="auto"/>
        </w:rPr>
      </w:pPr>
      <w:r>
        <w:rPr>
          <w:rFonts w:ascii="Arial" w:cs="Arial" w:eastAsia="Arial" w:hAnsi="Arial"/>
          <w:sz w:val="18"/>
          <w:szCs w:val="18"/>
          <w:b w:val="1"/>
          <w:bCs w:val="1"/>
          <w:color w:val="auto"/>
        </w:rPr>
        <w:t>J.P. Morgan</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18"/>
          <w:szCs w:val="18"/>
          <w:b w:val="1"/>
          <w:bCs w:val="1"/>
          <w:color w:val="auto"/>
        </w:rPr>
        <w:t>SunTrust Robinson Humphrey</w:t>
      </w:r>
      <w:r>
        <w:rPr>
          <w:sz w:val="20"/>
          <w:szCs w:val="20"/>
          <w:color w:val="auto"/>
        </w:rPr>
        <w:tab/>
      </w:r>
      <w:r>
        <w:rPr>
          <w:rFonts w:ascii="Arial" w:cs="Arial" w:eastAsia="Arial" w:hAnsi="Arial"/>
          <w:sz w:val="15"/>
          <w:szCs w:val="15"/>
          <w:b w:val="1"/>
          <w:bCs w:val="1"/>
          <w:color w:val="auto"/>
        </w:rPr>
        <w:t>Wells Fargo Securities</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August 18,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20" w:type="dxa"/>
            <w:vAlign w:val="bottom"/>
            <w:gridSpan w:val="5"/>
          </w:tcPr>
          <w:p>
            <w:pPr>
              <w:jc w:val="center"/>
              <w:ind w:right="3400"/>
              <w:spacing w:after="0"/>
              <w:rPr>
                <w:sz w:val="20"/>
                <w:szCs w:val="20"/>
                <w:color w:val="auto"/>
              </w:rPr>
            </w:pPr>
            <w:r>
              <w:rPr>
                <w:rFonts w:ascii="Arial" w:cs="Arial" w:eastAsia="Arial" w:hAnsi="Arial"/>
                <w:sz w:val="18"/>
                <w:szCs w:val="18"/>
                <w:b w:val="1"/>
                <w:bCs w:val="1"/>
                <w:color w:val="auto"/>
                <w:w w:val="96"/>
              </w:rPr>
              <w:t>TABLE OF CONTENTS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4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w w:val="95"/>
              </w:rPr>
              <w:t>PROSPECTUS SUPPLEMENT</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620" w:type="dxa"/>
            <w:vAlign w:val="bottom"/>
            <w:tcBorders>
              <w:bottom w:val="single" w:sz="8" w:color="0000EE"/>
            </w:tcBorders>
            <w:gridSpan w:val="2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6460" w:type="dxa"/>
            <w:vAlign w:val="bottom"/>
            <w:gridSpan w:val="10"/>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S-1</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FEES AND EXPENSES</w:t>
              </w:r>
            </w:hyperlink>
          </w:p>
        </w:tc>
        <w:tc>
          <w:tcPr>
            <w:tcW w:w="10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S-7</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RISK FACTORS</w:t>
              </w:r>
            </w:hyperlink>
          </w:p>
        </w:tc>
        <w:tc>
          <w:tcPr>
            <w:tcW w:w="8260" w:type="dxa"/>
            <w:vAlign w:val="bottom"/>
            <w:gridSpan w:val="22"/>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S-9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FORWARD-LOOKING STATEMENTS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3"/>
              </w:rPr>
            </w:pPr>
            <w:hyperlink w:anchor="page15">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11"/>
          </w:tcPr>
          <w:p>
            <w:pPr>
              <w:spacing w:after="0"/>
              <w:rPr>
                <w:sz w:val="17"/>
                <w:szCs w:val="17"/>
                <w:color w:val="auto"/>
              </w:rPr>
            </w:pPr>
          </w:p>
        </w:tc>
        <w:tc>
          <w:tcPr>
            <w:tcW w:w="7040" w:type="dxa"/>
            <w:vAlign w:val="bottom"/>
            <w:gridSpan w:val="14"/>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S-12</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CAPITALIZATION</w:t>
              </w:r>
            </w:hyperlink>
          </w:p>
        </w:tc>
        <w:tc>
          <w:tcPr>
            <w:tcW w:w="8540" w:type="dxa"/>
            <w:vAlign w:val="bottom"/>
            <w:gridSpan w:val="26"/>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S-13</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PRICE RANGE OF COMMON STOCK</w:t>
              </w:r>
            </w:hyperlink>
          </w:p>
        </w:tc>
        <w:tc>
          <w:tcPr>
            <w:tcW w:w="7000" w:type="dxa"/>
            <w:vAlign w:val="bottom"/>
            <w:gridSpan w:val="13"/>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96"/>
              </w:rPr>
            </w:pPr>
            <w:hyperlink w:anchor="page18">
              <w:r>
                <w:rPr>
                  <w:rFonts w:ascii="Arial" w:cs="Arial" w:eastAsia="Arial" w:hAnsi="Arial"/>
                  <w:sz w:val="18"/>
                  <w:szCs w:val="18"/>
                  <w:b w:val="1"/>
                  <w:bCs w:val="1"/>
                  <w:color w:val="0000EE"/>
                  <w:w w:val="96"/>
                </w:rPr>
                <w:t>SALES OF COMMON STOCK BELOW NET ASSET VALUE</w:t>
              </w:r>
            </w:hyperlink>
          </w:p>
        </w:tc>
        <w:tc>
          <w:tcPr>
            <w:tcW w:w="5320" w:type="dxa"/>
            <w:vAlign w:val="bottom"/>
            <w:gridSpan w:val="5"/>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SELECTED FINANCIAL DATA</w:t>
              </w:r>
            </w:hyperlink>
          </w:p>
        </w:tc>
        <w:tc>
          <w:tcPr>
            <w:tcW w:w="7580" w:type="dxa"/>
            <w:vAlign w:val="bottom"/>
            <w:gridSpan w:val="18"/>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S-19</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MANAGEMENT’S DISCUSSION AND ANALYSIS OF FINANCIAL CONDITION AND RESULTS OF OPERATIONS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S-21</w:t>
            </w:r>
          </w:p>
        </w:tc>
        <w:tc>
          <w:tcPr>
            <w:tcW w:w="0" w:type="dxa"/>
            <w:vAlign w:val="bottom"/>
          </w:tcPr>
          <w:p>
            <w:pPr>
              <w:spacing w:after="0"/>
              <w:rPr>
                <w:sz w:val="1"/>
                <w:szCs w:val="1"/>
                <w:color w:val="auto"/>
              </w:rPr>
            </w:pPr>
          </w:p>
        </w:tc>
      </w:tr>
      <w:tr>
        <w:trPr>
          <w:trHeight w:val="196"/>
        </w:trPr>
        <w:tc>
          <w:tcPr>
            <w:tcW w:w="9080" w:type="dxa"/>
            <w:vAlign w:val="bottom"/>
            <w:tcBorders>
              <w:top w:val="single" w:sz="8" w:color="0000EE"/>
            </w:tcBorders>
            <w:gridSpan w:val="32"/>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UNDERWRITING</w:t>
              </w:r>
            </w:hyperlink>
          </w:p>
        </w:tc>
        <w:tc>
          <w:tcPr>
            <w:tcW w:w="1000" w:type="dxa"/>
            <w:vAlign w:val="bottom"/>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S-33</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MANAGEMENT</w:t>
              </w:r>
            </w:hyperlink>
          </w:p>
        </w:tc>
        <w:tc>
          <w:tcPr>
            <w:tcW w:w="100" w:type="dxa"/>
            <w:vAlign w:val="bottom"/>
            <w:tcBorders>
              <w:top w:val="single" w:sz="8" w:color="0000EE"/>
            </w:tcBorders>
          </w:tcPr>
          <w:p>
            <w:pPr>
              <w:spacing w:after="0"/>
              <w:rPr>
                <w:sz w:val="17"/>
                <w:szCs w:val="17"/>
                <w:color w:val="auto"/>
              </w:rPr>
            </w:pPr>
          </w:p>
        </w:tc>
        <w:tc>
          <w:tcPr>
            <w:tcW w:w="8640" w:type="dxa"/>
            <w:vAlign w:val="bottom"/>
            <w:gridSpan w:val="28"/>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S-37</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MATTERS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S-39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INDEX TO INTERIM FINANCIAL STATEMENTS</w:t>
              </w:r>
            </w:hyperlink>
          </w:p>
        </w:tc>
        <w:tc>
          <w:tcPr>
            <w:tcW w:w="6120" w:type="dxa"/>
            <w:vAlign w:val="bottom"/>
            <w:gridSpan w:val="8"/>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S-40</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AWARENESS LETTER OF INDEPENDENT REGISTERED PUBLIC ACCOUNTING FIRM</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S-68</w:t>
            </w:r>
          </w:p>
        </w:tc>
        <w:tc>
          <w:tcPr>
            <w:tcW w:w="0" w:type="dxa"/>
            <w:vAlign w:val="bottom"/>
          </w:tcPr>
          <w:p>
            <w:pPr>
              <w:spacing w:after="0"/>
              <w:rPr>
                <w:sz w:val="1"/>
                <w:szCs w:val="1"/>
                <w:color w:val="auto"/>
              </w:rPr>
            </w:pPr>
          </w:p>
        </w:tc>
      </w:tr>
      <w:tr>
        <w:trPr>
          <w:trHeight w:val="196"/>
        </w:trPr>
        <w:tc>
          <w:tcPr>
            <w:tcW w:w="7120" w:type="dxa"/>
            <w:vAlign w:val="bottom"/>
            <w:tcBorders>
              <w:top w:val="single" w:sz="8" w:color="0000EE"/>
            </w:tcBorders>
            <w:gridSpan w:val="30"/>
          </w:tcPr>
          <w:p>
            <w:pPr>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CONSENT OF INDEPENDENT REGISTERED PUBLIC ACCOUNTING FIRM</w:t>
              </w:r>
            </w:hyperlink>
          </w:p>
        </w:tc>
        <w:tc>
          <w:tcPr>
            <w:tcW w:w="2960" w:type="dxa"/>
            <w:vAlign w:val="bottom"/>
            <w:gridSpan w:val="3"/>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S-69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5"/>
          </w:tcPr>
          <w:p>
            <w:pPr>
              <w:jc w:val="center"/>
              <w:ind w:right="3400"/>
              <w:spacing w:after="0"/>
              <w:rPr>
                <w:sz w:val="20"/>
                <w:szCs w:val="20"/>
                <w:color w:val="auto"/>
              </w:rPr>
            </w:pPr>
            <w:r>
              <w:rPr>
                <w:rFonts w:ascii="Arial" w:cs="Arial" w:eastAsia="Arial" w:hAnsi="Arial"/>
                <w:sz w:val="18"/>
                <w:szCs w:val="18"/>
                <w:b w:val="1"/>
                <w:bCs w:val="1"/>
                <w:color w:val="auto"/>
                <w:w w:val="93"/>
              </w:rPr>
              <w:t>PROSPECTUS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080" w:type="dxa"/>
            <w:vAlign w:val="bottom"/>
            <w:gridSpan w:val="33"/>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PROSPECTUS SUMMARY</w:t>
              </w:r>
            </w:hyperlink>
          </w:p>
        </w:tc>
        <w:tc>
          <w:tcPr>
            <w:tcW w:w="10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0080" w:type="dxa"/>
            <w:vAlign w:val="bottom"/>
            <w:gridSpan w:val="33"/>
            <w:vMerge w:val="continue"/>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8040" w:type="dxa"/>
            <w:vAlign w:val="bottom"/>
            <w:gridSpan w:val="20"/>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RISK FACTORS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FORWARD-LOOKING STATEMENTS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USE OF PROCEEDS</w:t>
              </w:r>
            </w:hyperlink>
          </w:p>
        </w:tc>
        <w:tc>
          <w:tcPr>
            <w:tcW w:w="7220" w:type="dxa"/>
            <w:vAlign w:val="bottom"/>
            <w:gridSpan w:val="16"/>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SELECTED FINANCIAL DATA</w:t>
              </w:r>
            </w:hyperlink>
          </w:p>
        </w:tc>
        <w:tc>
          <w:tcPr>
            <w:tcW w:w="7700" w:type="dxa"/>
            <w:vAlign w:val="bottom"/>
            <w:gridSpan w:val="19"/>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SENIOR SECURITIES</w:t>
              </w:r>
            </w:hyperlink>
          </w:p>
        </w:tc>
        <w:tc>
          <w:tcPr>
            <w:tcW w:w="1380" w:type="dxa"/>
            <w:vAlign w:val="bottom"/>
            <w:gridSpan w:val="2"/>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PRICE RANGE OF COMMON STOCK</w:t>
              </w:r>
            </w:hyperlink>
          </w:p>
        </w:tc>
        <w:tc>
          <w:tcPr>
            <w:tcW w:w="7180" w:type="dxa"/>
            <w:vAlign w:val="bottom"/>
            <w:gridSpan w:val="15"/>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SALES OF COMMON STOCK BELOW NET ASSET VALUE</w:t>
              </w:r>
            </w:hyperlink>
          </w:p>
        </w:tc>
        <w:tc>
          <w:tcPr>
            <w:tcW w:w="5540" w:type="dxa"/>
            <w:vAlign w:val="bottom"/>
            <w:gridSpan w:val="6"/>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DISTRIBUTIONS</w:t>
              </w:r>
            </w:hyperlink>
          </w:p>
        </w:tc>
        <w:tc>
          <w:tcPr>
            <w:tcW w:w="8740" w:type="dxa"/>
            <w:vAlign w:val="bottom"/>
            <w:gridSpan w:val="29"/>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BUSINESS</w:t>
              </w:r>
            </w:hyperlink>
          </w:p>
        </w:tc>
        <w:tc>
          <w:tcPr>
            <w:tcW w:w="9240" w:type="dxa"/>
            <w:vAlign w:val="bottom"/>
            <w:gridSpan w:val="32"/>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INVESTMENT OBJECTIVES AND POLICIES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PORTFOLIO COMPANIES</w:t>
              </w:r>
            </w:hyperlink>
          </w:p>
        </w:tc>
        <w:tc>
          <w:tcPr>
            <w:tcW w:w="6640" w:type="dxa"/>
            <w:vAlign w:val="bottom"/>
            <w:gridSpan w:val="11"/>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MANAGEMENT</w:t>
              </w:r>
            </w:hyperlink>
          </w:p>
        </w:tc>
        <w:tc>
          <w:tcPr>
            <w:tcW w:w="700" w:type="dxa"/>
            <w:vAlign w:val="bottom"/>
            <w:tcBorders>
              <w:top w:val="single" w:sz="8" w:color="0000EE"/>
            </w:tcBorders>
            <w:gridSpan w:val="9"/>
          </w:tcPr>
          <w:p>
            <w:pPr>
              <w:spacing w:after="0"/>
              <w:rPr>
                <w:sz w:val="17"/>
                <w:szCs w:val="17"/>
                <w:color w:val="auto"/>
              </w:rPr>
            </w:pPr>
          </w:p>
        </w:tc>
        <w:tc>
          <w:tcPr>
            <w:tcW w:w="8080" w:type="dxa"/>
            <w:vAlign w:val="bottom"/>
            <w:gridSpan w:val="21"/>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CONTROL PERSONS AND PRINCIPAL STOCKHOLDERS</w:t>
              </w:r>
            </w:hyperlink>
          </w:p>
        </w:tc>
        <w:tc>
          <w:tcPr>
            <w:tcW w:w="5640" w:type="dxa"/>
            <w:vAlign w:val="bottom"/>
            <w:gridSpan w:val="7"/>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TRANSACTIONS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3"/>
          </w:tcPr>
          <w:p>
            <w:pPr>
              <w:spacing w:after="0"/>
              <w:rPr>
                <w:sz w:val="17"/>
                <w:szCs w:val="17"/>
                <w:color w:val="auto"/>
              </w:rPr>
            </w:pPr>
          </w:p>
        </w:tc>
        <w:tc>
          <w:tcPr>
            <w:tcW w:w="6160" w:type="dxa"/>
            <w:vAlign w:val="bottom"/>
            <w:gridSpan w:val="9"/>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DIVIDEND REINVESTMENT PLAN</w:t>
              </w:r>
            </w:hyperlink>
          </w:p>
        </w:tc>
        <w:tc>
          <w:tcPr>
            <w:tcW w:w="7320" w:type="dxa"/>
            <w:vAlign w:val="bottom"/>
            <w:gridSpan w:val="17"/>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7"/>
            <w:vMerge w:val="restart"/>
          </w:tcPr>
          <w:p>
            <w:pPr>
              <w:spacing w:after="0"/>
              <w:rPr>
                <w:rFonts w:ascii="Arial" w:cs="Arial" w:eastAsia="Arial" w:hAnsi="Arial"/>
                <w:sz w:val="18"/>
                <w:szCs w:val="18"/>
                <w:color w:val="0000EE"/>
                <w:w w:val="92"/>
              </w:rPr>
            </w:pPr>
            <w:hyperlink w:anchor="page165">
              <w:r>
                <w:rPr>
                  <w:rFonts w:ascii="Arial" w:cs="Arial" w:eastAsia="Arial" w:hAnsi="Arial"/>
                  <w:sz w:val="18"/>
                  <w:szCs w:val="18"/>
                  <w:color w:val="0000EE"/>
                  <w:w w:val="92"/>
                </w:rPr>
                <w:t>DESCRIPTION OF OUR CAPITAL STOCK</w:t>
              </w:r>
            </w:hyperlink>
          </w:p>
        </w:tc>
        <w:tc>
          <w:tcPr>
            <w:tcW w:w="7840" w:type="dxa"/>
            <w:vAlign w:val="bottom"/>
            <w:gridSpan w:val="8"/>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220" w:type="dxa"/>
            <w:vAlign w:val="bottom"/>
            <w:tcBorders>
              <w:bottom w:val="single" w:sz="8" w:color="0000EE"/>
            </w:tcBorders>
            <w:gridSpan w:val="7"/>
            <w:vMerge w:val="continue"/>
          </w:tcPr>
          <w:p>
            <w:pPr>
              <w:spacing w:after="0"/>
              <w:rPr>
                <w:sz w:val="14"/>
                <w:szCs w:val="14"/>
                <w:color w:val="auto"/>
              </w:rPr>
            </w:pPr>
          </w:p>
        </w:tc>
        <w:tc>
          <w:tcPr>
            <w:tcW w:w="7840" w:type="dxa"/>
            <w:vAlign w:val="bottom"/>
            <w:gridSpan w:val="8"/>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OUR WARRANTS</w:t>
              </w:r>
            </w:hyperlink>
          </w:p>
        </w:tc>
        <w:tc>
          <w:tcPr>
            <w:tcW w:w="75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REGULATION</w:t>
              </w:r>
            </w:hyperlink>
          </w:p>
        </w:tc>
        <w:tc>
          <w:tcPr>
            <w:tcW w:w="99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93">
              <w:r>
                <w:rPr>
                  <w:rFonts w:ascii="Arial" w:cs="Arial" w:eastAsia="Arial" w:hAnsi="Arial"/>
                  <w:sz w:val="18"/>
                  <w:szCs w:val="18"/>
                  <w:color w:val="0000EE"/>
                  <w:w w:val="93"/>
                </w:rPr>
                <w:t>BROKERAGE ALLOCATIONS AND OTHER PRACTICES</w:t>
              </w:r>
            </w:hyperlink>
          </w:p>
        </w:tc>
        <w:tc>
          <w:tcPr>
            <w:tcW w:w="66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94">
              <w:r>
                <w:rPr>
                  <w:rFonts w:ascii="Arial" w:cs="Arial" w:eastAsia="Arial" w:hAnsi="Arial"/>
                  <w:sz w:val="18"/>
                  <w:szCs w:val="18"/>
                  <w:color w:val="0000EE"/>
                  <w:w w:val="94"/>
                </w:rPr>
                <w:t>MATERIAL U.S. FEDERAL INCOME TAX CONSIDERATIONS</w:t>
              </w:r>
            </w:hyperlink>
          </w:p>
        </w:tc>
        <w:tc>
          <w:tcPr>
            <w:tcW w:w="63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LEGAL MATTERS</w:t>
              </w:r>
            </w:hyperlink>
          </w:p>
        </w:tc>
        <w:tc>
          <w:tcPr>
            <w:tcW w:w="71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PRIVACY PRINCIPLES</w:t>
              </w:r>
            </w:hyperlink>
          </w:p>
        </w:tc>
        <w:tc>
          <w:tcPr>
            <w:tcW w:w="63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8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02">
              <w:r>
                <w:rPr>
                  <w:rFonts w:ascii="Arial" w:cs="Arial" w:eastAsia="Arial" w:hAnsi="Arial"/>
                  <w:sz w:val="18"/>
                  <w:szCs w:val="18"/>
                  <w:color w:val="0000EE"/>
                  <w:w w:val="95"/>
                </w:rPr>
                <w:t>INDEX TO FINANCIAL STATEMENTS</w:t>
              </w:r>
            </w:hyperlink>
          </w:p>
        </w:tc>
        <w:tc>
          <w:tcPr>
            <w:tcW w:w="80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You should read carefully the more detailed information set forth under “Risk Factors” and the other information included in the accompanying prospectus before making an investment decision. In this prospectus supplement and the accompanying prospectus,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wholly-owned Small Business Investment Company (the “SBIC”), PennantPark SBIC LP (“SBIC LP”), was organized as a Delaware limited partnership on May 7, 2010 and has received a license, which became effective July 30, 2010, from the Small Business Administration (“SBA”) to operate as an SBIC under Section 301(c) of the Small Business Investment Act of 1958 (the “1958 Act”). Our SBIC’s objective is to generate both current income and capital appreciation through debt and equity investments. SBIC LP invests in SBA eligible businesses that meet the investment criteria used by PennantPark Investment. As an SBIC, PennantPark SBIC LP is subject to a variety of regulations and oversight by the SBA concerning, among other things, the size and nature of the companies in which it may invest as well as the structure of those investments.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supplement and the accompanying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been involved in originating, structuring, negotiating, consummating, managing and monitoring investments in each of these businesses. Mr. Penn is a Co-founder and former Managing Partner of Apollo Investment Management, L.P.,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These professionals, Sal Giannetti, Whit Williams and Jose Briones, have in aggregate approximately 55 years of experience in the mezzanine, private equity and leveraged finance businesses. See “Management,” “Certain Relationships and Transactions—Investment Management Agreement,” and “Risk Factors—Risks Relating to our Business and Structure”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60" w:firstLine="456"/>
        <w:spacing w:after="0" w:line="306"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 in the accompanying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2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In the current credit environment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preservation, commercial banks, finance companies, collateralized loan obligation funds and hedge funds have reduced lending to middle-market and non-investment grade borrowers, resulting in less competition in our market, more conservative capital structures, higher yields relative to the cost of capital and stronger covenants.</w:t>
      </w:r>
    </w:p>
    <w:p>
      <w:pPr>
        <w:spacing w:after="0" w:line="55" w:lineRule="exact"/>
        <w:rPr>
          <w:rFonts w:ascii="Arial" w:cs="Arial" w:eastAsia="Arial" w:hAnsi="Arial"/>
          <w:sz w:val="18"/>
          <w:szCs w:val="18"/>
          <w:color w:val="auto"/>
        </w:rPr>
      </w:pPr>
    </w:p>
    <w:p>
      <w:pPr>
        <w:jc w:val="both"/>
        <w:ind w:left="900" w:right="440" w:hanging="446"/>
        <w:spacing w:after="0" w:line="31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loans and/or senior secured loans provided by other sources, and we believe that our capital is well-positioned to partner with such equity investors.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expect such activity to be funded by the substantial amounts of private equity capital that have been raised in recent years.</w:t>
      </w:r>
    </w:p>
    <w:p>
      <w:pPr>
        <w:spacing w:after="0" w:line="78" w:lineRule="exact"/>
        <w:rPr>
          <w:sz w:val="20"/>
          <w:szCs w:val="20"/>
          <w:color w:val="auto"/>
        </w:rPr>
      </w:pPr>
    </w:p>
    <w:p>
      <w:pPr>
        <w:ind w:left="900" w:right="60" w:hanging="446"/>
        <w:spacing w:after="0" w:line="30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collateralized loan obligation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(excluding assets of SBIC LP in the amount of $20.5 million as of June 30, 2010), with a group of lenders, under which we had $256.8 million (including a $5.6 million temporary draw) and $225.1 million (including a $7.0 million temporary draw) of indebtedness outstanding as of June 30, 2010 and September 30, 2009, respectively. Pricing of borrowings under our credit facility is set at 100 basis points over LIBOR. We believe that our capital resources will provide us with the flexibility to take advantage of market opportunities when they arise. See note 10 to our consolidated financial statements for the quarter ended June 30, 2010 in this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as amended,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 in the accompanying prospectus.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in the accompanying prospectus. We have elected to be treated for federal income tax purposes under the Code as a RIC. For more information, see “Material U.S. Federal Income Tax Considerations” in the accompanying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We provide serve as the investment adviser and administrator to SBIC LP. The SBA places certain limitations on the financing terms of investments by SBICs in portfolio companies and regulates the types of financings and prohibits investing in certain industries. For more information, see “Risk Factors” regarding our licensed SBIC in this prospectus supplement on page S-9.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capitalize our SBIC subsidiary or for other general corporate purposes. See “Use of Proceeds” in this prospectus supplement for information regarding our outstanding borrowings as of June 30, 2010,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August 3, 2010, our board of directors approved an issuance of shares of common stock at a price below our current net asset value per share and at a price per share that approximates the market value of our shares traded on the NASDAQ Global Select Market, less the underwriting discounts, at the time of sale. Our board of directors unanimously believed that such issuance was in our best interest and in the best interests of our stockholders.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this prospectus supplement, we describe the risks and dilutive effects of an offering of our common stock at a price below our current net asset value. See “Risk Factors—Risks relating to our Business and Structure” and “Sales of Common Stock Below Net Asset Value” in the accompanying prospectus, and “Sales of Common Stock Below Net Asset Value” in this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Effective July 30, 2010, PennantPark Investment’s wholly-owned subsidiary, SBIC LP, received a license from the SBA to operate as an SBIC under Section 301(c) of 1958 Act. As an SBIC, SBIC LP will be subject to a variety of regulations and oversight by the SBA concerning, among other things, the size and nature of the companies in which it may invest as well as the structure of those investments.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the SBIC license, SBIC LP has received a debt commitment from the SBA of $33.5 million on August 5, 2010. 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may capitalize SBIC LP with a lesser amount.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 .</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Sales load</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5.00%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0.68%</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stockholder expenses</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820" w:type="dxa"/>
            <w:vAlign w:val="bottom"/>
            <w:gridSpan w:val="2"/>
            <w:vMerge w:val="continue"/>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Management fees</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3.90%</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2.23%</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1.01%</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1.35%</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820" w:type="dxa"/>
            <w:vAlign w:val="bottom"/>
            <w:gridSpan w:val="2"/>
            <w:vMerge w:val="continue"/>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$276,000 and based on the offering of 4,000,000 shares at the public offering price of $10.15 per share.</w:t>
      </w:r>
    </w:p>
    <w:p>
      <w:pPr>
        <w:ind w:left="460" w:right="3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nine months ended June 30, 2010 plus the anticipated net proceeds from this offering.</w:t>
      </w:r>
    </w:p>
    <w:p>
      <w:pPr>
        <w:ind w:left="460" w:right="6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40" w:hanging="452"/>
        <w:spacing w:after="0" w:line="30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portion of incentive fees paid with respect to net investment income is based on actual amounts incurred during the nine months ended June 30, 2010,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2010. For more detailed information about the incentive fee, please see “Certain Relationships and Transactions—Investment Management Agreement” in the accompanying prospectus.</w:t>
      </w:r>
    </w:p>
    <w:p>
      <w:pPr>
        <w:spacing w:after="0" w:line="4" w:lineRule="exact"/>
        <w:rPr>
          <w:rFonts w:ascii="Arial" w:cs="Arial" w:eastAsia="Arial" w:hAnsi="Arial"/>
          <w:sz w:val="15"/>
          <w:szCs w:val="15"/>
          <w:color w:val="auto"/>
        </w:rPr>
      </w:pPr>
    </w:p>
    <w:p>
      <w:pPr>
        <w:ind w:left="460" w:right="100" w:hanging="452"/>
        <w:spacing w:after="0" w:line="253"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June 30, 2010, we had $43.2 million unused, subject to maintenance of the applicable total assets to debt ratio of 200%, and $256.8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ind w:left="460" w:right="60" w:hanging="452"/>
        <w:spacing w:after="0" w:line="29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2010, annualized for a full year. See our consolidated statement of operations in our consolidated financial statements in this prospectus supplement.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5% sales load (underwriting discounts and commissions) and estimated offering expenses totaling 0.68%, (2) total net annual expenses of 6.26% of average net assets attributable to common shares for the nine months ended June 30, 2010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$ 115</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$ 343</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611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SBIC subsidiary is licensed by the SBA and is subject to SBA regulations.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July 30, 2010, our wholly-owned subsidiary, PennantPark SBIC LP, received a license from the SBA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our SBIC subsidiary to invest at less competitive rates according to applicable SBA regulations.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subsidiary is our wholly-owned subsidiary.</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connection with the SBIC license, SBIC LP has received a debt commitment from the SBA of $33.5 million on August 5, 2010. 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may capitalize SBIC LP with a lesser amount.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(i) we will be able to capitalize SBIC LP with sufficient regulatory capital to access the maximum borrowing amount available or (ii) that we will receive an exemptive relief from the SEC with respect to the SBA-guaranteed debentures.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indebtedness may be less than 200%, which while providing increased investment flexibility, would also increase our exposure to risks associated with leverage.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SBIC subsidiary may be unable to make distributions to us that will enable us to meet or maintain RIC status.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for us to continue to qualify for RIC tax treatment and to minimize corporate-level taxes, we will be required to distribute substantially all of our consolidated net ordinary income and net capital gain income, including income from our SBIC subsidiary. We will be partially dependent on our SBIC subsidiary for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will depend on our ability to manage future growth effectively.</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and Administrator’s structuring of the investment process, their respective abilities to provide competent, attentive and efficient services to us and our access to financing on acceptable terms. The management team of PennantPark Investment Advisers will have substantial responsibilities under our Investment Management Agreement. In order to grow, our Administrator and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by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continuously evaluate opportunities to grow our business. We have used, and will continue to use, the proceeds of offerings of securities, whether in the form of debt or equity, and credit facility in accordance with our investment objectives. If we choose to achieve our investment objectives through the acquisition of investment vehicles, pools of assets or complementary businesses, we may not be able to integrate these opportunities on a cost-effective basis. The dedication of management resources to such growth initiatives may detract attention from our day-to-day business, and may not permit us to achieve our long term goals. In addition, we may be subject to risks that are associated with acquired investment vehicles or investment portfolios, such as litigation or poor performance of underlying investments. The failure to manage such growth successfully could negatively impact our performance.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the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estimate that net proceeds we will receive from the sale of 4,000,000 shares of our common stock in this offering will be approximately $38.3 million (or approximately $44.1 million if the underwriters fully exercise their overallotment option), in each case based on a public offering price of $10.15 per share, after deducting the underwriting discounts and commissions of $2.0 million (or approximately $2.3 million if the underwriters fully exercise their overallotment option) payable by us and estimated offering expenses of approximately $276,000 payable by us.</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to capitalize our SBIC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June 30, 2010, we had $43.2 million unused, subject to maintenance of the applicable total assets to debt ratio of 200%, and $256.8 million in borrowings outstanding under our $300.0 million credit facility. Borrowings under our credit facility bear interest at an annual rate equal to LIBOR + 100 basis points per annum. At June 30, 2010, the interest rate at that time was 1.39%. The credit facility is a five-year revolving facility with a stated maturity date of June 25, 2012 and is secured by substantially all of the assets in our investment portfolio (excluding assets of SBIC LP in the amount of $20.5 million as of June 30, 2010). Amounts repaid under our credit facility will remain available for future borrowings.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in the accompanying prospectus, for additional information about temporary investments we may make prior to investing in core assets.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our cash and capitalization on June 30, 2010 (1) on an actual basis and (2) on an as-adjusted basis to reflect the effects of the sale of 4,000,000 shares of our common stock in this offering at the public offering price of $10.15 per share, with a 5% underwriting discount and $276,000 of offering expenses ($9.57 per share, net).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As of June 30, 2010</w:t>
            </w: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15"/>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14"/>
              <w:spacing w:after="0" w:line="115" w:lineRule="exact"/>
              <w:rPr>
                <w:sz w:val="20"/>
                <w:szCs w:val="20"/>
                <w:color w:val="auto"/>
              </w:rPr>
            </w:pPr>
            <w:r>
              <w:rPr>
                <w:rFonts w:ascii="Arial" w:cs="Arial" w:eastAsia="Arial" w:hAnsi="Arial"/>
                <w:sz w:val="12"/>
                <w:szCs w:val="12"/>
                <w:b w:val="1"/>
                <w:bCs w:val="1"/>
                <w:color w:val="auto"/>
              </w:rPr>
              <w:t>As-adjusted for</w:t>
            </w:r>
          </w:p>
        </w:tc>
        <w:tc>
          <w:tcPr>
            <w:tcW w:w="10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3"/>
                <w:szCs w:val="13"/>
                <w:b w:val="1"/>
                <w:bCs w:val="1"/>
                <w:color w:val="auto"/>
                <w:w w:val="95"/>
              </w:rPr>
              <w:t>the offering</w:t>
            </w:r>
            <w:r>
              <w:rPr>
                <w:rFonts w:ascii="Arial" w:cs="Arial" w:eastAsia="Arial" w:hAnsi="Arial"/>
                <w:sz w:val="20"/>
                <w:szCs w:val="20"/>
                <w:b w:val="1"/>
                <w:bCs w:val="1"/>
                <w:color w:val="auto"/>
                <w:w w:val="95"/>
                <w:vertAlign w:val="superscript"/>
              </w:rPr>
              <w:t>(1)</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1,303,502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39,597,502</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637,038,519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675,332,519</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secured credit facility (cost—$256,800,000)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236,076,000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236,076,000</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par value $0.001 per share; 100,000,000 shares authorized, 31,558,772 shares issued and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35,558,772 shares issued and outstanding, as adjusted,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35,559</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Paid in capital in excess of par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384,602,224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422,892,224</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2,242,960</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(67,139,005)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(67,139,005)</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4,804,312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4,804,312</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20,724,000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20,724,000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345,266,050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383,560,050</w:t>
            </w: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581,342,050</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619,636,050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August 17, 2010, the last reported closing price of our common stock was $10.67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High</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24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Sales Price</w:t>
            </w:r>
          </w:p>
        </w:tc>
        <w:tc>
          <w:tcPr>
            <w:tcW w:w="100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2"/>
              </w:rPr>
              <w:t>Sales Price</w:t>
            </w:r>
          </w:p>
        </w:tc>
        <w:tc>
          <w:tcPr>
            <w:tcW w:w="220" w:type="dxa"/>
            <w:vAlign w:val="bottom"/>
          </w:tcPr>
          <w:p>
            <w:pPr>
              <w:spacing w:after="0"/>
              <w:rPr>
                <w:sz w:val="6"/>
                <w:szCs w:val="6"/>
                <w:color w:val="auto"/>
              </w:rPr>
            </w:pPr>
          </w:p>
        </w:tc>
        <w:tc>
          <w:tcPr>
            <w:tcW w:w="5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20" w:type="dxa"/>
            <w:vAlign w:val="bottom"/>
            <w:gridSpan w:val="2"/>
            <w:vMerge w:val="restart"/>
          </w:tcPr>
          <w:p>
            <w:pPr>
              <w:jc w:val="right"/>
              <w:ind w:right="460"/>
              <w:spacing w:after="0" w:line="209"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gridSpan w:val="2"/>
            <w:vMerge w:val="continue"/>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600"/>
              <w:spacing w:after="0" w:line="176" w:lineRule="exact"/>
              <w:rPr>
                <w:sz w:val="20"/>
                <w:szCs w:val="20"/>
                <w:color w:val="auto"/>
              </w:rPr>
            </w:pPr>
            <w:r>
              <w:rPr>
                <w:rFonts w:ascii="Arial" w:cs="Arial" w:eastAsia="Arial" w:hAnsi="Arial"/>
                <w:sz w:val="13"/>
                <w:szCs w:val="13"/>
                <w:b w:val="1"/>
                <w:bCs w:val="1"/>
                <w:color w:val="auto"/>
              </w:rPr>
              <w:t>to NAV</w:t>
            </w:r>
            <w:r>
              <w:rPr>
                <w:rFonts w:ascii="Arial" w:cs="Arial" w:eastAsia="Arial" w:hAnsi="Arial"/>
                <w:sz w:val="20"/>
                <w:szCs w:val="20"/>
                <w:b w:val="1"/>
                <w:bCs w:val="1"/>
                <w:color w:val="auto"/>
                <w:vertAlign w:val="superscript"/>
              </w:rPr>
              <w:t>(2)</w:t>
            </w:r>
          </w:p>
        </w:tc>
        <w:tc>
          <w:tcPr>
            <w:tcW w:w="100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0"/>
              </w:rPr>
              <w:t>to NAV</w:t>
            </w:r>
            <w:r>
              <w:rPr>
                <w:rFonts w:ascii="Arial" w:cs="Arial" w:eastAsia="Arial" w:hAnsi="Arial"/>
                <w:sz w:val="20"/>
                <w:szCs w:val="20"/>
                <w:b w:val="1"/>
                <w:bCs w:val="1"/>
                <w:color w:val="auto"/>
                <w:w w:val="90"/>
                <w:vertAlign w:val="superscript"/>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Fourth quarter (through August 17, 2010)</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$10.69</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$ 9.17</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11.07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8.88</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“Certain Relationships and Transactions” in the accompanying prospectus.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$9.55 and $8.11 as of June 30, 2010 and September 30, 2009, respectively. Our NAV was $10.94 and $11.85, as of June 30, 2010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offering of common stock being made pursuant to this prospectus supplement is at a price below our most recently reported NAV on June 30, 2010 of $10.94 per share. Our board of directors also considered the fact that sales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chart illustrates the level of NAV dilution that would be experienced by a stockholder who does not participate in the offering. It is not possible to predict the level of market price decline that may occur. The table below is shown based upon financial information as of June 30, 2010. NAV has not been finally determined for any day after June 30, 2010. The following example assumes a sale of 4,000,000 shares at the public offering price of $10.15 per share, with a 5% underwriting discount and $276,000 of offering expenses ($9.57 per share,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Prior to Sale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4"/>
              </w:rPr>
              <w:t>Following</w:t>
            </w: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Below NAV</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10.15</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9.57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31,558,772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35,558,772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10.79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Non-participating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31,559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31,559</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345,255</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340,522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Total investment by stockholder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060"/>
              <w:spacing w:after="0"/>
              <w:rPr>
                <w:sz w:val="20"/>
                <w:szCs w:val="20"/>
                <w:color w:val="auto"/>
              </w:rPr>
            </w:pPr>
            <w:r>
              <w:rPr>
                <w:rFonts w:ascii="Arial" w:cs="Arial" w:eastAsia="Arial" w:hAnsi="Arial"/>
                <w:sz w:val="18"/>
                <w:szCs w:val="18"/>
                <w:color w:val="auto"/>
              </w:rPr>
              <w:t>(assumed to be $10.94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345,255</w:t>
            </w:r>
          </w:p>
        </w:tc>
        <w:tc>
          <w:tcPr>
            <w:tcW w:w="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345,255</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NAV less total investment)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4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10.79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10.94</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less investment per share)</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experience a decline in the market price of their shares, which often reflects to some degree announced or potential increases and decreases in NAV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decrease could be more pronounced as the size of the offering and level of discount to NAV increases.</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chart illustrates the level of dilution and accretion in the offering for a stockholder that acquires shares equal to (1) 50% of its proportionate share of the offering (i.e., 2,000 shares, which is 0.05% of the offering rather than its 0.10% proportionate share) and (2) 150% of such percentage (i.e., 6,000 shares, which is 0.15% of the offering rather than its 0.10% proportionate share). The table below is shown based upon financial information as of June 30, 2010. NAV has not been finally determined for any day after June 30, 2010. The following example assumes a sale of 4,000,000 shares at the public offering price of $10.15 per share, with a 5% underwriting discount and commissions and $276,000 of offering expenses ($9.57 per share,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4"/>
              </w:rPr>
              <w:t>Prior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4"/>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Below NAV</w:t>
            </w:r>
          </w:p>
        </w:tc>
        <w:tc>
          <w:tcPr>
            <w:tcW w:w="2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Following Sale</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10.15</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6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9.57</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31,558,772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35,558,772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12.67%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35,558,772</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10.79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10.79</w:t>
            </w:r>
          </w:p>
        </w:tc>
        <w:tc>
          <w:tcPr>
            <w:tcW w:w="6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Participating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33,559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37,559</w:t>
            </w:r>
          </w:p>
        </w:tc>
        <w:tc>
          <w:tcPr>
            <w:tcW w:w="6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345,255</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362,102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405,262</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w w:val="96"/>
              </w:rPr>
              <w:t>Total investment by stockholder (assumed to be $10.94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345,255</w:t>
            </w:r>
          </w:p>
        </w:tc>
        <w:tc>
          <w:tcPr>
            <w:tcW w:w="3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365,555</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406,155</w:t>
            </w:r>
          </w:p>
        </w:tc>
        <w:tc>
          <w:tcPr>
            <w:tcW w:w="6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NAV less total investment)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(3,453)</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(893)</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w w:val="98"/>
              </w:rPr>
              <w:t>Investment per share held by stockholder (assumed to</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060"/>
              <w:spacing w:after="0"/>
              <w:rPr>
                <w:sz w:val="20"/>
                <w:szCs w:val="20"/>
                <w:color w:val="auto"/>
              </w:rPr>
            </w:pPr>
            <w:r>
              <w:rPr>
                <w:rFonts w:ascii="Arial" w:cs="Arial" w:eastAsia="Arial" w:hAnsi="Arial"/>
                <w:sz w:val="18"/>
                <w:szCs w:val="18"/>
                <w:color w:val="auto"/>
              </w:rPr>
              <w:t>be $10.94 per share on shares held prior to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10.89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w:t>
            </w:r>
          </w:p>
        </w:tc>
        <w:tc>
          <w:tcPr>
            <w:tcW w:w="6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less investment per share)</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(0.19)%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S-17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chart illustrates the level of dilution or accretion for new investors that will be experienced by a new investor who purchases the same percentage (0.10%) of the shares in the offering as the stockholder in the prior examples held immediately prior to the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 It is not possible to predict the level of market price decline that may occur. The table below is shown based upon financial information as of June 30, 2010. NAV has not been finally determined for any day after June 30, 2010. The following example assumes a sale of 4,000,000 shares at the public offering price of $10.15 per share, with a 5% underwriting discount and commissions and $276,000 of offering expenses ($9.57 per share,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4"/>
              </w:rPr>
              <w:t>Following</w:t>
            </w: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31,558,772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35,558,772</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NAV per share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10.79</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Accretion to New Stockholder A</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0.01%</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64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43,160</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Total investment by stockholder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40,600</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accretion to stockholder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NAV less total investment)</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64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per share held by stockholder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less investment per share)</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880" w:type="dxa"/>
            <w:vAlign w:val="bottom"/>
            <w:gridSpan w:val="2"/>
          </w:tcPr>
          <w:p>
            <w:pPr>
              <w:jc w:val="right"/>
              <w:ind w:right="1592"/>
              <w:spacing w:after="0"/>
              <w:rPr>
                <w:sz w:val="20"/>
                <w:szCs w:val="20"/>
                <w:color w:val="auto"/>
              </w:rPr>
            </w:pPr>
            <w:r>
              <w:rPr>
                <w:rFonts w:ascii="Arial" w:cs="Arial" w:eastAsia="Arial" w:hAnsi="Arial"/>
                <w:sz w:val="18"/>
                <w:szCs w:val="18"/>
                <w:color w:val="auto"/>
              </w:rPr>
              <w:t>S-18</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This selected financial data for the periods ended September 30, 2009, 2008 and 2007 should be read in conjunction with our financial statements and related notes thereto and “Management’s Discussion and Analysis of Financial Condition and Results of Operations” and “Regulation—Senior Securities” in the accompanying prospectus. Interim results as of and for the nine months ended June 30, 2010, are not necessarily indicative of the results that may be expected for the year ending September 30, 2010. This selected financial data for the nine months ended June 30, 2010 should be read in conjunction with our financial statements and related notes thereto and “Management’s Discussion and Analysis of Financial Condition and Results of Operations” in this prospectus supplement.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Nine months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2"/>
                <w:szCs w:val="12"/>
                <w:color w:val="auto"/>
              </w:rPr>
            </w:pPr>
          </w:p>
        </w:tc>
        <w:tc>
          <w:tcPr>
            <w:tcW w:w="19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8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 2010</w:t>
            </w:r>
          </w:p>
        </w:tc>
        <w:tc>
          <w:tcPr>
            <w:tcW w:w="340" w:type="dxa"/>
            <w:vAlign w:val="bottom"/>
          </w:tcPr>
          <w:p>
            <w:pPr>
              <w:spacing w:after="0"/>
              <w:rPr>
                <w:sz w:val="14"/>
                <w:szCs w:val="14"/>
                <w:color w:val="auto"/>
              </w:rPr>
            </w:pPr>
          </w:p>
        </w:tc>
        <w:tc>
          <w:tcPr>
            <w:tcW w:w="20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7"/>
              </w:rPr>
              <w:t>September 30, 2009</w:t>
            </w:r>
          </w:p>
        </w:tc>
        <w:tc>
          <w:tcPr>
            <w:tcW w:w="20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7"/>
              </w:rPr>
              <w:t>September 30, 2008</w:t>
            </w: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Unaudited</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Audited</w:t>
            </w:r>
          </w:p>
        </w:tc>
        <w:tc>
          <w:tcPr>
            <w:tcW w:w="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Audited</w:t>
            </w:r>
          </w:p>
        </w:tc>
        <w:tc>
          <w:tcPr>
            <w:tcW w:w="9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43,459</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900"/>
              <w:spacing w:after="0"/>
              <w:rPr>
                <w:sz w:val="20"/>
                <w:szCs w:val="20"/>
                <w:color w:val="auto"/>
              </w:rPr>
            </w:pPr>
            <w:r>
              <w:rPr>
                <w:rFonts w:ascii="Arial" w:cs="Arial" w:eastAsia="Arial" w:hAnsi="Arial"/>
                <w:sz w:val="18"/>
                <w:szCs w:val="18"/>
                <w:color w:val="auto"/>
              </w:rPr>
              <w:t>45,119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39,811</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expenses before base management fee waiver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21,676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6"/>
              </w:rPr>
              <w:t>Net expenses after base management fee waiver</w:t>
            </w:r>
            <w:r>
              <w:rPr>
                <w:rFonts w:ascii="Arial" w:cs="Arial" w:eastAsia="Arial" w:hAnsi="Arial"/>
                <w:sz w:val="11"/>
                <w:szCs w:val="11"/>
                <w:color w:val="auto"/>
                <w:w w:val="96"/>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20,341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22,400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21,255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(13,213)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(decrease) in net assets resulting from</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4"/>
              </w:rPr>
              <w:t>Net increase (decrease) in net assets resulting from</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(0.81)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(0.96)</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637,039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419,811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623,178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469,760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372,148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236,076</w:t>
            </w:r>
            <w:r>
              <w:rPr>
                <w:rFonts w:ascii="Arial" w:cs="Arial" w:eastAsia="Arial" w:hAnsi="Arial"/>
                <w:sz w:val="11"/>
                <w:szCs w:val="11"/>
                <w:color w:val="auto"/>
              </w:rPr>
              <w:t>(5)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5"/>
              </w:rPr>
              <w:t>Payable for investments and unfunded investments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40,995</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25,821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345,266</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210,728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27.29%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Number of portfolio companies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(at period end)</w:t>
            </w:r>
            <w:r>
              <w:rPr>
                <w:rFonts w:ascii="Arial" w:cs="Arial" w:eastAsia="Arial" w:hAnsi="Arial"/>
                <w:sz w:val="11"/>
                <w:szCs w:val="11"/>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1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 in the accompanying prospectus.</w:t>
      </w:r>
    </w:p>
    <w:p>
      <w:pPr>
        <w:ind w:left="460" w:right="52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investment income, net realized and change in unrealized losses, net increase (decrease) in net assets resulting from operations, and distributions declared per share data are calculated based on the weighted average shares outstanding for the respective periods.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16,335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13,525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13,599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8,821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(10,090)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11,847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10,770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10,425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12,077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20,162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(6,486)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(37,525)</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26,180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42,199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(31,757)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5,434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3,941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(16,475)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(37,778)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(11,041)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15,204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(33,329)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5"/>
        </w:trPr>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4,348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(14,522)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4880" w:firstLine="8"/>
        <w:spacing w:after="0" w:line="286" w:lineRule="auto"/>
        <w:tabs>
          <w:tab w:leader="none" w:pos="3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period from January 11, 2007 (inception of operations) through March 31, 2007. ** Based on weighted average shares outstanding for the periods presented.</w:t>
      </w:r>
    </w:p>
    <w:p>
      <w:pPr>
        <w:spacing w:after="0"/>
        <w:rPr>
          <w:rFonts w:ascii="Arial" w:cs="Arial" w:eastAsia="Arial" w:hAnsi="Arial"/>
          <w:sz w:val="16"/>
          <w:szCs w:val="16"/>
          <w:color w:val="auto"/>
        </w:rPr>
      </w:pPr>
      <w:r>
        <w:rPr>
          <w:rFonts w:ascii="Arial" w:cs="Arial" w:eastAsia="Arial" w:hAnsi="Arial"/>
          <w:sz w:val="18"/>
          <w:szCs w:val="18"/>
          <w:color w:val="auto"/>
        </w:rPr>
        <w:t>(1)  Our common shares began trading on April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high-quality debt investments that mature in one year or less.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wholly-owned SBIC, SBIC LP, was organized as a Delaware limited partnership on May 7, 2010 and has received a license from the SBA to operate as an SBIC under Section 301(c) of the 1958 Act, which became effective as of July 30, 2010. The SBIC’s objective is to generate both current income and capital appreciation through debt and equity investments. SBIC LP invests in SBA eligible businesses that meet the investment criteria used by PennantPark Investment. As an SBIC, SBIC LP will be subject to a variety of regulations and oversight by the SBA concerning, among other things, the size and nature of the companies in which it may invest as well as the structure of those investments.</w:t>
      </w:r>
    </w:p>
    <w:p>
      <w:pPr>
        <w:spacing w:after="0" w:line="1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 our activities.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ratings below investment grade (between BB and CCC under the Standard &amp; Poor’s system) from the national rating agencies.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 Market conditions may present us with attractive investment opportunities, as we believe that there are many middle-market companies that need senior secured and mezzanine debt financing. However, market conditions have, and in the future may continue to, adversely affect our portfolio valuations and increase the risk of default among our portfolio companies, which could negatively impact our performance.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June 30, 2010, our portfolio totaled $623.2 million and consisted of $213.5 million of subordinated debt, $150.5 million of second lien secured debt, $219.4 million of senior secured loans and $39.8 million of preferred and common equity investments. Our core assets totaled $602.5 million and consisted of investments in thirty-eight different companies with an average investment size of $15.9 million per company and a weighted average yield of 12.3% on debt investments. Our non-core senior secured loan portfolio totaled $20.7 million and consisted of four different companies with an average investment size of $5.2 million, and a weighted average yield of 2.7% on debt investments. Our debt portfolio consisted of 67% fixed-rate (including 21% with a LIBOR floor) and 33% in variable-rate investments. Overall, the portfolio had an unrealized appreciation of $4.8 million as of June 30, 2010. Our overall portfolio consisted of forty-two companies with an average investment size of $14.8 million and a weighted average yield on debt investments of 11.9% and was invested 34% in subordinated debt, 24% in second lien secured debt, 35% in senior secured loans and 7% in preferred and common equity investments.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three months ended June 30, 2010, we invested $93.8 million in three new and four existing portfolio companies with a weighted average yield on debt investments of 14.5%. Sales and repayments of long-term investments for the three months ended June 30, 2010 totaled $59.2 million. For the nine months ended June 30, 2010, we invested $212.8 million, in twelve new and ten existing portfolio companies with a weighted average yield of 13.7% on debt investments. Sales and repayments of long-term investments totaled $82.7 million for the same period.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preferred and common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(including 15% with a LIBOR floor)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three months ended June 30, 2009, we invested approximately $32.6 million in five new and two existing portfolio companies, with an average yield of 14.0% on debt investments. Sales and repayments of long-term investments totaled $7.3 million for the same period. For the nine months ended June 30, 2009, we invested approximately $48.0 million in six new and five existing portfolio companies with a weighted average yield of 15.6% on debt investments. Sales and repayments of long-term investments totaled $12.9 million for the same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discussion of our financial condition and results of operations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The Financial Accounting Standards Board, or FASB, issued guidance related to </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hierarchy:</w:t>
      </w:r>
    </w:p>
    <w:p>
      <w:pPr>
        <w:spacing w:after="0" w:line="90"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PennantPark Investment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PennantPark Investment’s own assumptions about how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Substantially,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FASB guidance on, </w:t>
      </w:r>
      <w:r>
        <w:rPr>
          <w:rFonts w:ascii="Arial" w:cs="Arial" w:eastAsia="Arial" w:hAnsi="Arial"/>
          <w:sz w:val="16"/>
          <w:szCs w:val="16"/>
          <w:i w:val="1"/>
          <w:iCs w:val="1"/>
          <w:color w:val="auto"/>
        </w:rPr>
        <w:t>Determining Fair Value When the Volume and Level of Activity for the Asset or Liability Have Significantly Decreased and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That Are Not Orderly</w:t>
      </w:r>
      <w:r>
        <w:rPr>
          <w:rFonts w:ascii="Arial" w:cs="Arial" w:eastAsia="Arial" w:hAnsi="Arial"/>
          <w:sz w:val="16"/>
          <w:szCs w:val="16"/>
          <w:color w:val="auto"/>
        </w:rPr>
        <w:t>, or ASC 820-10-35-51A. ASC 820-10-35-51A amends ASC 820 to provide additional guidance for estimating fair value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 115</w:t>
      </w:r>
      <w:r>
        <w:rPr>
          <w:rFonts w:ascii="Arial" w:cs="Arial" w:eastAsia="Arial" w:hAnsi="Arial"/>
          <w:sz w:val="16"/>
          <w:szCs w:val="16"/>
          <w:color w:val="auto"/>
        </w:rPr>
        <w:t>, or ASC 825-</w:t>
      </w:r>
    </w:p>
    <w:p>
      <w:pPr>
        <w:spacing w:after="0" w:line="38" w:lineRule="exact"/>
        <w:rPr>
          <w:sz w:val="20"/>
          <w:szCs w:val="20"/>
          <w:color w:val="auto"/>
        </w:rPr>
      </w:pPr>
    </w:p>
    <w:p>
      <w:pPr>
        <w:ind w:firstLine="8"/>
        <w:spacing w:after="0" w:line="285" w:lineRule="auto"/>
        <w:tabs>
          <w:tab w:leader="none" w:pos="26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adoption, our Net Asset Value increased by $41.8 million, or $1.99 per share, due to the fair value adjustment related to our credit facility. For the nine months ended June 30, 2010 and 2009, our long-term credit facility had a net change in unrealized (appreciation) depreciation of $(28.9) million and $11.4 million, respectively. On June 30, 2010 and September 30, 2009, net unrealized appreciation on our long-term credit facility totaled $20.7 million and $49.6 million, respectively, which included the cumulative effect of adoption of ASC 825-10 on our credit facility of $41.8 million. We use a nationally recognized independent valuation services to measure the fair value of our credit facility in a manner consistent with the valuation process that our board of directors uses to value our investments. After adoption, subsequent changes in the fair value of our credit facility will be recorded in the consolidated statement of operations. We have not elected to apply ASC 825-10 to any other financial assets or liabilities.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FASB Accounting Standards Update No. 2009-05 (ASU 2009-05) as an update to ASC 820,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investments as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our consolidated operations for the three and nine months ended June 30,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Investment income for the three and nine months ended June 30, 2010, was $16.3 million and $43.4 million, respectively, and was primarily attributable to $6.6 million and $17.9 million from subordinated debt investments, $3.3 million and $9.8 million from second lien secured debt investments and $4.7 million and $11.4 million from senior secured loan investments, respectively. The remaining investment income was primarily attributed to net accretion of discount and amortization of premium and other income. The increase in investment income compared with the same periods in the prior year is due to the growth of our portfolio and the transition of the portfolio from non-core to long-term core investments.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Investment income for the three and nine months ended June 30, 2009, was $10.8 million and $33.3 million, respectively, of which $2.4 million and $7.4 million was attributable to subordinated debt investments, $3.3 million and $10.6 million was attributable to second lien secured debt investments, and $4.3 million and $13.6 million was attributable to senior secured loan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 on our variable rate portfolio of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Expenses for the three and nine months ended June 30, 2010, totaled $7.5 million and $20.2 million, respectively. For the same respective periods, base management fees totaled $3.0 million and $8.3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performance-based incentive fees totaled $2.2 million and $5.8 million, credit facility related expenses totaled $1.0 million and $2.6 million, general and administrative expenses totaled $1.3 million and $3.5 million. For the nine months ended June 30, 2010, an excise tax of $0.1 million was incurred. The increase in expenses is primarily the result of increased management and incentive fees that are driven by the growth of our portfolio and net investment income.</w:t>
      </w:r>
    </w:p>
    <w:p>
      <w:pPr>
        <w:spacing w:after="0" w:line="8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Expenses for the three and nine months ended June 30, 2009, totaled $5.1 million and $16.6 million, respectively. For the same respective periods, base management fees totaled $1.9 million and $5.5 million, performance-based incentive fees totaled $1.4 million and $4.2 million, credit facility related expenses totaled $0.8 million and $3.8 million, general and administrative expenses totaled $1.0 million and $3.1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investment income totaled $8.8 million and $23.1 million, or $0.28 and $0.82 per share, for the three and nine months ended June 30, 2010, respectively. For the same respective periods in the prior year, net investment income totaled $5.7 million and $16.7 million, or $0.27 and $0.79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 (Loss)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and nine months ended June 30, 2010 totaled $59.2 million and $82.7 million, respectively, and realized gains (losses) totaled approximately $0.1 million and $(16.6) million, respectively, due to sales, primarily, of non-core senior secured loans and restructurings on investments offset by repayments on other investments.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and nine months ended June 30, 2009 totaled $7.3 million and $12.9 million, respectively, and realized losses totaled approximately $24.7 million and $30.8 million, respectively, due to sales of non-core and core loans as well as restructurings on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 (Depreciation) on Investments and (Appreciation) Depreciation on Credit Facility</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three and nine months ended June 30, 2010, our investments had a net change in unrealized appreciation (depreciation) of $(1.5) million and $32.3 million, respectively. On June 30, 2010 and September 30, 2009, net unrealized appreciation (depreciation) on investments totaled $4.8 million and $(27.5) million, respectively. The decrease for the three months ended June 30, 2010 in unrealized appreciation on investments is due to recent softness in the leveraged finance markets, which offset to some extent appreciation for the nine months ended June 30, 2010. The increase for the nine months ended June 30, 2010 in unrealized appreciation on investments is due to the improvements in the overall leveraged finance credit markets.</w:t>
      </w:r>
    </w:p>
    <w:p>
      <w:pPr>
        <w:spacing w:after="0" w:line="1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the three and nine months ended June 30, 2010, our long-term credit facility had a net change in unrealized appreciation of $3.2 million and $28.9 million, respectively. On June 30, 2010 and September 30, 2009, net unrealized depreciation on our long-term credit facility totaled $20.7 million and $49.6 million, respectively, which included the cumulative effect of adoption of ASC 825-10 on our credit facility of $41.8 million. The increase in unrealized appreciation on our credit facility is due to the improvements in the overall leveraged finance credit markets as well as its proximity to maturity.</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and nine months ended June 30, 2009, our investments had a net unrealized appreciation of $27.4 million and $12.3 million, respectively. On June 30, 2009 and September 30, 2008, net unrealized depreciation on investments and cash equivalents totaled $59.7 million and $72.0 million, respectively, primarily due to the downturn in the leveraged finance credit markets.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and nine months ended June 30, 2009, our credit facility experienced a net unrealized appreciation of $9.2 million and a net unrealized depreciation $11.4 million, respectively. On June 30, 2009, net unrealized appreciation on our long-term credit facility totaled $53.2 million, which included the cumulative effect of adoption of ASC 825-10 on our credit facility of $41.8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from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increase in net assets resulting from operations totaled $4.3 million and $9.9 million, respectively, or $0.13 and $0.35 per share, respectively, for the three and nine months ended June 30, 2010. The increase in net assets from operations for the three months ended June 30, 2010 is due to net investment income offset by the appreciation on the credit facility and net depreciation on investments. The increase in net assets from operations for the nine months ended June 30, 2010 is due to increases in the fair values of our investments and net investment income offset by the increase in fair value of our credit facility and realized losses on investments.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(decrease) increase in net assets resulting from operations totaled $(0.8) million and $9.6 million, respectively, or $(0.04) and $0.45 per share, respectively, for the three and nine months ended June 30, 2009, primarily due to net investment income and an increase in investment values offset by realized losses and a decline in market value of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as successor in interest to Bear Stearns Corporate Lending Inc.) acted as joint lead arranger and syndication agent. As of June 30, 2010, PennantPark Investment had outstanding borrowings of $256.8 million (including $5.6 million of temporary draws outstanding) with a fair value of $236.1 million, with a weighted average interest rate at the time of 1.39% exclusive of the fee on undrawn commitments of 0.20%.</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of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(excluding any exemptive relief granted by the SEC with respect to the indebtedness of any SBIC subsidiary),</w:t>
      </w:r>
    </w:p>
    <w:p>
      <w:pPr>
        <w:spacing w:after="0" w:line="2" w:lineRule="exact"/>
        <w:rPr>
          <w:sz w:val="20"/>
          <w:szCs w:val="20"/>
          <w:color w:val="auto"/>
        </w:rPr>
      </w:pPr>
    </w:p>
    <w:p>
      <w:pPr>
        <w:ind w:firstLine="8"/>
        <w:spacing w:after="0" w:line="288"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and may continue to raise additional equity or debt capital through a registered offering off a shelf registration, or we may securitize a portion of our investments, among other considerations. In addition,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considering our credit facility matures in June 2012. Furthermore, our credit facility availability depends on various covenants and restrictions as discussed in the preceding paragraph. The primary use of existing funds and any funds raised in the future is expected to be for repayment of indebtedness, investments in portfolio companies, cash distributions to our shareholders or for other general corporate purposes.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liquidity and capital resources are also generated and available from cash flows from operations, including investment sales and repayments, and income earned while our primary use of funds from operations includes investments in portfolio companies, payments of fees and other operating expenses we incur. On February 2, 2010, our stockholders approved a proposal that authorizes us to sell shares of our common stock below the then current net asset value per share of our common stock in one or more offerings for a period of 12 months. On March 8, 2010, we sold 5.75 million shares of our common stock at a price of $10.00 per share, below the then current net asset value per share of common stock, resulting in net proceeds of $54.3 million, inclusive of the underwriters’ over-allotment option.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Additionally, at June 30, 2010, we had approximately $170 million of select assets, which had a coupon of 9% or lower. We will look to rotate those assets with lower coupons into new higher yielding investments over time.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nine months ended June 30, 2010, our operating activities used cash of $101.6 million and our financing activities provided cash of $69.6 million, primarily from proceeds of our common stock offerings.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nine months ended June 30, 2009, our operating activities used cash of $9.8 million and our financing activities used net cash proceeds of $29.9 million, primarily from net borrowings on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borrowings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88"/>
              </w:rPr>
              <w:t>Payments due by period (millions)</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92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1-3</w:t>
            </w:r>
          </w:p>
        </w:tc>
        <w:tc>
          <w:tcPr>
            <w:tcW w:w="440" w:type="dxa"/>
            <w:vAlign w:val="bottom"/>
          </w:tcPr>
          <w:p>
            <w:pPr>
              <w:spacing w:after="0"/>
              <w:rPr>
                <w:sz w:val="11"/>
                <w:szCs w:val="11"/>
                <w:color w:val="auto"/>
              </w:rPr>
            </w:pPr>
          </w:p>
        </w:tc>
        <w:tc>
          <w:tcPr>
            <w:tcW w:w="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3-5</w:t>
            </w:r>
          </w:p>
        </w:tc>
        <w:tc>
          <w:tcPr>
            <w:tcW w:w="4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7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$256.8</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$256.8</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 includes $5.6 million of temporary draws outstanding. On June 30, 2010, $43.2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2010, PennantPark Investment Advisers serves as our investment adviser in accordance with the terms of that Investment Management Agreement. Payments under our Investment Management Agreement in each reporting period is equal to (1) a management fee equal to a percentage of the value of our gross assets and (2) an incentive fee based on our performance. See Note 3 to the consolidated financial statements.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nine months ended June 30, 2010, we have elected to retain a portion of our calendar year income and record an excise tax of $0.1 million.</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the three and nine months ended June 30, 2010, we declared distributions of $0.26 and $0.77 per share, respectively, for total distributions of $8.2 million and $22.9 million, respectively. For the same periods in the prior year, we declared distributions of $0.24 and $0.72 per share, respectively, for total distributions of $5.1 million and $15.2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J.P. Morgan Securities Inc., Morgan Stanley &amp; Co. Incorporated, SunTrust Robinson Humphrey, Inc. and Wells Fargo Securities, LLC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80" w:type="dxa"/>
            <w:vAlign w:val="bottom"/>
          </w:tcPr>
          <w:p>
            <w:pPr>
              <w:jc w:val="right"/>
              <w:ind w:right="98"/>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220" w:type="dxa"/>
            <w:vAlign w:val="bottom"/>
          </w:tcPr>
          <w:p>
            <w:pPr>
              <w:spacing w:after="0"/>
              <w:rPr>
                <w:sz w:val="14"/>
                <w:szCs w:val="14"/>
                <w:color w:val="auto"/>
              </w:rPr>
            </w:pP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r>
      <w:tr>
        <w:trPr>
          <w:trHeight w:val="21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Morgan Stanley &amp; Co. Incorporated</w:t>
            </w:r>
          </w:p>
        </w:tc>
        <w:tc>
          <w:tcPr>
            <w:tcW w:w="980" w:type="dxa"/>
            <w:vAlign w:val="bottom"/>
          </w:tcPr>
          <w:p>
            <w:pPr>
              <w:jc w:val="right"/>
              <w:spacing w:after="0"/>
              <w:rPr>
                <w:sz w:val="20"/>
                <w:szCs w:val="20"/>
                <w:color w:val="auto"/>
              </w:rPr>
            </w:pPr>
            <w:r>
              <w:rPr>
                <w:rFonts w:ascii="Arial" w:cs="Arial" w:eastAsia="Arial" w:hAnsi="Arial"/>
                <w:sz w:val="18"/>
                <w:szCs w:val="18"/>
                <w:color w:val="auto"/>
              </w:rPr>
              <w:t>960,000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w:t>
            </w: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r>
      <w:tr>
        <w:trPr>
          <w:trHeight w:val="20"/>
        </w:trPr>
        <w:tc>
          <w:tcPr>
            <w:tcW w:w="3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underwriters have advised us that they propose initially to offer the shares to the public at the public offering price on the cover page of this prospectus supplement and to dealers at that price less a concession not in excess of $0.5075 per share. The underwriters may allow, and the dealers may reallow, a discount not in excess of $0.10 per share to other dealers. After the public offering, the public offering price, concession and discount may be changed.</w:t>
      </w:r>
    </w:p>
    <w:p>
      <w:pPr>
        <w:spacing w:after="0" w:line="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600,000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5"/>
              </w:rPr>
              <w:t>Per Share</w:t>
            </w:r>
          </w:p>
        </w:tc>
        <w:tc>
          <w:tcPr>
            <w:tcW w:w="3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Without Option</w:t>
            </w:r>
          </w:p>
        </w:tc>
        <w:tc>
          <w:tcPr>
            <w:tcW w:w="3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With Option</w:t>
            </w:r>
          </w:p>
        </w:tc>
        <w:tc>
          <w:tcPr>
            <w:tcW w:w="20" w:type="dxa"/>
            <w:vAlign w:val="bottom"/>
          </w:tcPr>
          <w:p>
            <w:pPr>
              <w:spacing w:after="0"/>
              <w:rPr>
                <w:sz w:val="14"/>
                <w:szCs w:val="14"/>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190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10.15</w:t>
            </w:r>
          </w:p>
        </w:tc>
        <w:tc>
          <w:tcPr>
            <w:tcW w:w="2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40,600,000</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46,690,000</w:t>
            </w:r>
          </w:p>
        </w:tc>
        <w:tc>
          <w:tcPr>
            <w:tcW w:w="20" w:type="dxa"/>
            <w:vAlign w:val="bottom"/>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19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0.5075</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2,030,000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2,334,500</w:t>
            </w:r>
          </w:p>
        </w:tc>
        <w:tc>
          <w:tcPr>
            <w:tcW w:w="2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PennantPark Investment Corporation (before offering expenses of $276,000)</w:t>
            </w:r>
          </w:p>
        </w:tc>
        <w:tc>
          <w:tcPr>
            <w:tcW w:w="1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9.6425</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38,570,000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44,355,500</w:t>
            </w:r>
          </w:p>
        </w:tc>
        <w:tc>
          <w:tcPr>
            <w:tcW w:w="20" w:type="dxa"/>
            <w:vAlign w:val="bottom"/>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payable by us, not including underwriting discounts and commissions, will be approximately $276,000.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granted an option to the underwriters to purchase up to 600,000 additional shares at the public offering price less the underwriting discount. J.P. Morgan Securities Inc., Morgan Stanley &amp; Co. Incorporated, SunTrust Robinson Humphrey, Inc., and Wells Fargo Securities, LLC.,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have agreed, with exceptions, not to sell or transfer any common stock for 60 days after the date of this prospectus without first obtaining the written consent of J.P. Morgan Securities Inc., Morgan Stanley &amp; Co. Incorporated, SunTrust Robinson Humphrey, Inc., and Wells Fargo Securities, LLC.</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executive officers and directors, PennantPark Investment Advisers, LLC, Pennant Park Investment Administration, LLC have agreed, with exceptions, not to sell or transfer any common stock for 90 days after the date of this prospectus supplement without first obtaining the written consent of J.P. Morgan Securities Inc., Morgan Stanley &amp; Co. Incorporated, SunTrust Robinson Humphrey, Inc., and Wells Fargo Securities, LLC. Specifically, we and these other individuals have agreed not to directly or indirectly:</w:t>
      </w:r>
    </w:p>
    <w:p>
      <w:pPr>
        <w:spacing w:after="0" w:line="6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Affiliates of certain of the underwriters serve as lenders under our credit facility. Some of the underwriters and their affiliates were underwriters in connection with our initial public offering and follow-on public offering for which they received customary fees. Affiliates of the underwriters may receive part of the proceeds of the offering by reason of the repayment of certain amounts outstanding under our credit facility.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principal business address of the underwriters are: J.P. Morgan Securities Inc. is 383 Madison Ave., New York, NY 10179; Morgan Stanley &amp; Co. Incorporated is 1585 Broadway, New York, New York 10036; SunTrust Robinson Humphrey, Inc. is 3333 Peachtree Rd., NE, Atlanta, GA 30326; and Wells Fargo Securities, LLC is 375 Park Avenue, 4</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10152.</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040"/>
          </w:cols>
          <w:pgMar w:left="24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 and its Role in Risk Oversight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Chief Executive Officer, Arthur H. Penn, is chairman of our board and an “interested person” under the 1940 Act. The board believes that it is in the best interests of our shareholders for Mr. Penn to lead the board because of his broad experience. See “Management” in the accompanying prospectus.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our founder, Mr. Penn has demonstrated a track record of achievement on strategic and operating aspects of our business. Under our bylaws, our board does not have an independent chairman. Many significant corporate governance duties of the board are executed by independent committees, each of which has an independent chairman. Mr. Penn is the only interested director on the board and he answers to the full board. The board believes that its structure, small size and the uniformly high degree of engagement among directors create a highly efficient governance structure that provides ample opportunity for direct communication and interaction between management and the board. While the board regularly evaluates alternative structures, it believes that, as a business development company, it is appropriate for our founder, chief executive officer and chair of our investment committee to perform the functions of chairman of the board, including leading discussions of strategic issues facing PennantPark Investment. The independent directors set the agenda for meetings of the Board. The board believes the current structure provides appropriate guidance and oversight while also enabling efficient input from management.</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There are a number of significant risks facing us which are described under the heading “Risk Factors” in the accompanying prospectus. Our board uses its judgment to create and maintain policies and practices designed to limit or manage the risks we face, including: (1) the establishment of board-approved policies and procedures designed serve the interests of PennantPark Investment, (2) the application of these policies uniformly to directors, management and third-party service providers, (3) the establishment of independent board committees with clearly defined risk oversight functions and (4) review and analysis by the board of reports by management and certain third-party service providers. Accordingly, our board has approved a Code of Ethics (which is jointly applicable to our Investment Adviser) and a Code of Conduct to promote ethical conduct and prohibit certain transactions that could pose significant risks to us. Our board has established a related party transaction review policy, under which it monitors the risks related to certain transactions that present a conflict of interest on a quarterly basis. Our board of directors has also established and approved an investment valuation process to manage risks relating to the valuations of our investments and to ensure that our financial statements appropriately reflect the performance of our portfolio of assets. Additionally, through the board’s delegated authority, the Audit Committee of the board has primary oversight over risks relating to our internal controls over financial reporting and audit-related risks, while the Nominating and Corporate Governance Committee of the board has primary oversight over risks relating to corporate governance. The board oversees risks related to our disclosure controls by requiring and reviewing quarterly reports from our Disclosure Committee. The Disclosure Committee, comprised of our Chief Executive Officer, Chief Financial Officer, a representative of our Investment Adviser and a representative of our Administrator, reviews our performance in light of reports from our transfer agent, custodian, Investment Adviser and legal counsel to evaluate our disclosure controls and procedures. Finally, the board oversees the performance of our management team through quarterly reports provided by the Investment Adviser. Under this oversight structure, our management team manages the risks facing us in our day-to-day operations. We caution you, however, that although our board of directors believes it has established an effective system of oversight, no risk management system can eliminate risks or ensure that particular events do not adversely affect our business.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 and Experience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Nominating and Corporate Governance Committee has recommended, and our board and stockholders have approved, the members of our board based on their respective background, experience, qualifications and skills, including but not limited to their sector experience, civic and community involvement, and leadership qualities. See “Management” in the accompanying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Simpson Thacher &amp; Bartlett LLP, New York, N.Y. Simpson Thacher &amp; Bartlett LLP and Dechert LLP may rely as to certain matters of Maryland law upon the opinion of Venable LLP.</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Interim Financial Statements</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0940" w:type="dxa"/>
            <w:vAlign w:val="bottom"/>
            <w:gridSpan w:val="9"/>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4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Report of Independent Registered Public Accounting Firm</w:t>
              </w:r>
            </w:hyperlink>
          </w:p>
        </w:tc>
        <w:tc>
          <w:tcPr>
            <w:tcW w:w="6380" w:type="dxa"/>
            <w:vAlign w:val="bottom"/>
            <w:gridSpan w:val="6"/>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5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Assets and Liabilities as of June 30, 2010 (unaudited) and September 30, 2009</w:t>
              </w:r>
            </w:hyperlink>
          </w:p>
        </w:tc>
        <w:tc>
          <w:tcPr>
            <w:tcW w:w="2960" w:type="dxa"/>
            <w:vAlign w:val="bottom"/>
            <w:gridSpan w:val="3"/>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for the three and nine months ended June 30, 2010 and 2009 (unaudited)</w:t>
              </w:r>
            </w:hyperlink>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Changes in Net Assets for the nine months ended June 30, 2010 and 2009 (unaudited)</w:t>
              </w:r>
            </w:hyperlink>
          </w:p>
        </w:tc>
        <w:tc>
          <w:tcPr>
            <w:tcW w:w="2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 for the nine months ended June 30, 2010 and 2009 (unaudited)</w:t>
              </w:r>
            </w:hyperlink>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6"/>
              </w:rPr>
              <w:t>Consolidated Schedules of Investments as of June 30, 2010 (unaudited) and September 30, 2009</w:t>
            </w:r>
          </w:p>
        </w:tc>
        <w:tc>
          <w:tcPr>
            <w:tcW w:w="460" w:type="dxa"/>
            <w:vAlign w:val="bottom"/>
            <w:tcBorders>
              <w:top w:val="single" w:sz="8" w:color="0000EE"/>
            </w:tcBorders>
          </w:tcPr>
          <w:p>
            <w:pPr>
              <w:spacing w:after="0"/>
              <w:rPr>
                <w:sz w:val="24"/>
                <w:szCs w:val="24"/>
                <w:color w:val="auto"/>
              </w:rPr>
            </w:pPr>
          </w:p>
        </w:tc>
        <w:tc>
          <w:tcPr>
            <w:tcW w:w="3260" w:type="dxa"/>
            <w:vAlign w:val="bottom"/>
            <w:gridSpan w:val="4"/>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Financial Statements</w:t>
              </w:r>
            </w:hyperlink>
          </w:p>
        </w:tc>
        <w:tc>
          <w:tcPr>
            <w:tcW w:w="480" w:type="dxa"/>
            <w:vAlign w:val="bottom"/>
          </w:tcPr>
          <w:p>
            <w:pPr>
              <w:ind w:left="140"/>
              <w:spacing w:after="0"/>
              <w:rPr>
                <w:sz w:val="20"/>
                <w:szCs w:val="20"/>
                <w:color w:val="auto"/>
              </w:rPr>
            </w:pPr>
            <w:r>
              <w:rPr>
                <w:rFonts w:ascii="Arial" w:cs="Arial" w:eastAsia="Arial" w:hAnsi="Arial"/>
                <w:sz w:val="18"/>
                <w:szCs w:val="18"/>
                <w:color w:val="auto"/>
                <w:w w:val="84"/>
              </w:rPr>
              <w:t>S-52</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6380" w:type="dxa"/>
            <w:vAlign w:val="bottom"/>
            <w:gridSpan w:val="6"/>
          </w:tcPr>
          <w:p>
            <w:pPr>
              <w:ind w:left="980"/>
              <w:spacing w:after="0"/>
              <w:rPr>
                <w:sz w:val="20"/>
                <w:szCs w:val="20"/>
                <w:color w:val="auto"/>
              </w:rPr>
            </w:pPr>
            <w:r>
              <w:rPr>
                <w:rFonts w:ascii="Arial" w:cs="Arial" w:eastAsia="Arial" w:hAnsi="Arial"/>
                <w:sz w:val="18"/>
                <w:szCs w:val="18"/>
                <w:color w:val="auto"/>
              </w:rPr>
              <w:t>S-40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Investment Corporation and Subsidiaries (the “Company”), including the consolidated schedules of investments, as of June 30, 2010, and the consolidated statements of operations for the three and nine month periods ended June 30, 2010 and 2009, consolidated statements of changes in net assets, and cash flows for the nine months ended June 30, 2010 and 2009. These interim consolidated financial statements are the responsibility of the Company’s management.</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6649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649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June 30, 2010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Non-controlled, non-affiliated investments, at fair value (cost—$600,409,815 and $479,909,805,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606,401,552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Non-controlled, affiliated investments, at fair value (cost—$17,963,471 and $17,378,081, respectively)</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16,776,046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Investments, at fair value (cost—$618,373,286 and $497,287,886,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623,177,598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1,303,502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3,272,912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1,651,324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637,038,519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8,205,281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18,675,000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22,320,388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9"/>
              </w:rPr>
              <w:t>Credit facility payable, at fair value (cost—$256,800,000 and $225,100,000, respectively) (See Notes 5 and 10)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236,076,000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3,035,172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2,205,311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291,772,469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780" w:type="dxa"/>
            <w:vAlign w:val="bottom"/>
          </w:tcPr>
          <w:p>
            <w:pPr>
              <w:spacing w:after="0"/>
              <w:rPr>
                <w:sz w:val="20"/>
                <w:szCs w:val="20"/>
                <w:color w:val="auto"/>
              </w:rPr>
            </w:pPr>
            <w:r>
              <w:rPr>
                <w:rFonts w:ascii="Arial" w:cs="Arial" w:eastAsia="Arial" w:hAnsi="Arial"/>
                <w:sz w:val="18"/>
                <w:szCs w:val="18"/>
                <w:color w:val="auto"/>
                <w:w w:val="92"/>
              </w:rPr>
              <w:t>Common stock, par value $0.001 per share, 100,000,000 shares authorized, 31,558,772 and 25,368,772 shares issued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220"/>
              <w:spacing w:after="0"/>
              <w:rPr>
                <w:sz w:val="20"/>
                <w:szCs w:val="20"/>
                <w:color w:val="auto"/>
              </w:rPr>
            </w:pPr>
            <w:r>
              <w:rPr>
                <w:rFonts w:ascii="Arial" w:cs="Arial" w:eastAsia="Arial" w:hAnsi="Arial"/>
                <w:sz w:val="18"/>
                <w:szCs w:val="18"/>
                <w:color w:val="auto"/>
              </w:rPr>
              <w:t>and outstanding,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384,602,224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2,242,960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(67,139,005)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4,804,312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20,724,000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345,266,050</w:t>
            </w:r>
          </w:p>
        </w:tc>
        <w:tc>
          <w:tcPr>
            <w:tcW w:w="26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637,038,519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4"/>
                <w:szCs w:val="14"/>
                <w:color w:val="auto"/>
              </w:rPr>
            </w:pPr>
          </w:p>
        </w:tc>
        <w:tc>
          <w:tcPr>
            <w:tcW w:w="22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15,404,934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10,333,025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41,140,098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32,129,612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594,978</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138,335</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1,327,063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335,159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298,349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991,388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16,335,071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10,769,709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43,458,549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33,270,932</w:t>
            </w:r>
          </w:p>
        </w:tc>
        <w:tc>
          <w:tcPr>
            <w:tcW w:w="0" w:type="dxa"/>
            <w:vAlign w:val="bottom"/>
          </w:tcPr>
          <w:p>
            <w:pPr>
              <w:spacing w:after="0"/>
              <w:rPr>
                <w:sz w:val="1"/>
                <w:szCs w:val="1"/>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3,035,172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1,928,082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8,331,957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2,205,310</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1,412,925</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5,779,297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962,597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791,587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2,619,555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709,737</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582,177</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1,806,860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601,011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1,705,400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7,513,827</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5,103,278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20,243,069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16,570,039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7,513,827</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5,103,278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20,340,959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16,570,039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8,821,244</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5,666,431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23,117,590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16,700,893</w:t>
            </w:r>
          </w:p>
        </w:tc>
        <w:tc>
          <w:tcPr>
            <w:tcW w:w="0" w:type="dxa"/>
            <w:vAlign w:val="bottom"/>
          </w:tcPr>
          <w:p>
            <w:pPr>
              <w:spacing w:after="0"/>
              <w:rPr>
                <w:sz w:val="1"/>
                <w:szCs w:val="1"/>
                <w:color w:val="auto"/>
              </w:rPr>
            </w:pPr>
          </w:p>
        </w:tc>
      </w:tr>
      <w:tr>
        <w:trPr>
          <w:trHeight w:val="22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100,295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(24,701,776)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(16,644,556)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(1,732,131)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27,736,328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32,257,205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14,960,676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279,017</w:t>
            </w: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(318,107)</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74,918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(2,638,476)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(3,208,992)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(9,202,647)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(28,900,620)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11,446,442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(4,662,106)</w:t>
            </w: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18,215,574</w:t>
            </w: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3,431,503</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23,768,642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from investments and credit facility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(4,561,811)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(6,486,202)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(13,213,053)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(7,078,398)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4,259,433</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(819,771)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9,904,537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9,622,495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2"/>
              </w:rPr>
              <w:t>Net increase (decrease) in net assets resulting from operations per common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(See Note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investment income per common share</w:t>
            </w:r>
          </w:p>
        </w:tc>
        <w:tc>
          <w:tcPr>
            <w:tcW w:w="1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23,117,590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16,700,893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(16,644,556)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32,332,123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12,322,200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(28,900,620)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11,446,442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9,904,537</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(22,862,755)</w:t>
            </w: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(15,169,515)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57,644,000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44,685,782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(5,547,020)</w:t>
            </w:r>
          </w:p>
        </w:tc>
        <w:tc>
          <w:tcPr>
            <w:tcW w:w="0" w:type="dxa"/>
            <w:vAlign w:val="bottom"/>
          </w:tcPr>
          <w:p>
            <w:pPr>
              <w:spacing w:after="0"/>
              <w:rPr>
                <w:sz w:val="1"/>
                <w:szCs w:val="1"/>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End of period</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345,266,050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246,977,240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9,904,537</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9,622,495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increase in net assets resulting from operations to net cash (used for) operating</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on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(32,332,123)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(12,322,200)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28,900,620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(11,446,442)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16,644,556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(3,155,823)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(212,794,556)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(47,957,218)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Payments-in-kind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(4,495,644)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82,716,065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12,873,998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(2,094,127)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(546,905)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(542,757)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(814,525)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15,989,003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697,147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(541,354)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(101,574,185)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(9,838,550)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57,644,000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(19,713,979)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(15,169,515)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189,300,000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(157,600,000)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69,630,021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(29,869,515)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(31,944,164)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(39,708,065)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1,303,502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2,304,517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97,890</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Point</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66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Par/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Companies—175.6%</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Subordinated Debt/Corporate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Notes—60.2%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03/01/2012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8.39%</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$24,541,792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$ 24,077,712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$ 22,823,867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20" w:type="dxa"/>
            <w:vAlign w:val="bottom"/>
            <w:gridSpan w:val="2"/>
          </w:tcPr>
          <w:p>
            <w:pPr>
              <w:spacing w:after="0" w:line="138" w:lineRule="exact"/>
              <w:rPr>
                <w:sz w:val="20"/>
                <w:szCs w:val="20"/>
                <w:color w:val="auto"/>
              </w:rPr>
            </w:pPr>
            <w:r>
              <w:rPr>
                <w:rFonts w:ascii="Arial" w:cs="Arial" w:eastAsia="Arial" w:hAnsi="Arial"/>
                <w:sz w:val="14"/>
                <w:szCs w:val="14"/>
                <w:color w:val="auto"/>
                <w:w w:val="99"/>
              </w:rPr>
              <w:t>12/15/2016</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2"/>
              </w:rPr>
              <w:t>Diversified /</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Conglomerate Services</w:t>
            </w:r>
          </w:p>
        </w:tc>
        <w:tc>
          <w:tcPr>
            <w:tcW w:w="9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11.13%</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15,885,000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15,476,595</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15,885,000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04/17/2015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7,968,680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99"/>
              </w:rPr>
              <w:t>03/22/2014</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vMerge w:val="continue"/>
          </w:tcPr>
          <w:p>
            <w:pPr>
              <w:spacing w:after="0"/>
              <w:rPr>
                <w:sz w:val="13"/>
                <w:szCs w:val="13"/>
                <w:color w:val="auto"/>
              </w:rPr>
            </w:pP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20,617,803</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20,237,130</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21,236,337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04/01/2015</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96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12.50%</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25,000,000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24,354,029</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24,968,752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06/06/2014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23,124,745</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22,801,947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23,166,369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06/30/2013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3,947,368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3,176,775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2160" w:type="dxa"/>
            <w:vAlign w:val="bottom"/>
            <w:gridSpan w:val="3"/>
          </w:tcPr>
          <w:p>
            <w:pPr>
              <w:spacing w:after="0" w:line="149" w:lineRule="exact"/>
              <w:rPr>
                <w:sz w:val="20"/>
                <w:szCs w:val="20"/>
                <w:color w:val="auto"/>
              </w:rPr>
            </w:pPr>
            <w:r>
              <w:rPr>
                <w:rFonts w:ascii="Arial" w:cs="Arial" w:eastAsia="Arial" w:hAnsi="Arial"/>
                <w:sz w:val="14"/>
                <w:szCs w:val="14"/>
                <w:color w:val="auto"/>
                <w:w w:val="89"/>
              </w:rPr>
              <w:t>04/15/2015  Buildings and Real Estate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9,020,894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12/29/2015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11,646,610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11,282,917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11,646,610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10/01/2016</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20,501,960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20,327,187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21,117,019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Acquisitions Sub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02/08/2015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21,098,000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20,623,633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12/31/2015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14,625,000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12/31/2012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205,672,499</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207,964,753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99"/>
              </w:rPr>
              <w:t>02/07/2015</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6.45%</w:t>
            </w:r>
          </w:p>
        </w:tc>
        <w:tc>
          <w:tcPr>
            <w:tcW w:w="6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L+600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13,600,000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13,197,356</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12,002,000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02/07/2015</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7.49%</w:t>
            </w:r>
          </w:p>
        </w:tc>
        <w:tc>
          <w:tcPr>
            <w:tcW w:w="6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L+700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11,766,298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10,770,000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20" w:type="dxa"/>
            <w:vAlign w:val="bottom"/>
            <w:gridSpan w:val="2"/>
          </w:tcPr>
          <w:p>
            <w:pPr>
              <w:spacing w:after="0" w:line="138" w:lineRule="exact"/>
              <w:rPr>
                <w:sz w:val="20"/>
                <w:szCs w:val="20"/>
                <w:color w:val="auto"/>
              </w:rPr>
            </w:pPr>
            <w:r>
              <w:rPr>
                <w:rFonts w:ascii="Arial" w:cs="Arial" w:eastAsia="Arial" w:hAnsi="Arial"/>
                <w:sz w:val="14"/>
                <w:szCs w:val="14"/>
                <w:color w:val="auto"/>
                <w:w w:val="99"/>
              </w:rPr>
              <w:t>04/30/2015</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Childcare</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8.03%</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L+750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11,956,973</w:t>
            </w: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11,388,000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03/01/2014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2,436,357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2,436,357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0"/>
                <w:szCs w:val="10"/>
                <w:color w:val="auto"/>
              </w:rPr>
              <w:t>Mohegan Tribal Gaming Authority</w:t>
            </w:r>
            <w:r>
              <w:rPr>
                <w:rFonts w:ascii="Arial" w:cs="Arial" w:eastAsia="Arial" w:hAnsi="Arial"/>
                <w:sz w:val="15"/>
                <w:szCs w:val="15"/>
                <w:color w:val="auto"/>
                <w:vertAlign w:val="superscript"/>
              </w:rPr>
              <w:t>(5)</w:t>
            </w:r>
          </w:p>
        </w:tc>
        <w:tc>
          <w:tcPr>
            <w:tcW w:w="2160" w:type="dxa"/>
            <w:vAlign w:val="bottom"/>
            <w:gridSpan w:val="3"/>
          </w:tcPr>
          <w:p>
            <w:pPr>
              <w:spacing w:after="0" w:line="138" w:lineRule="exact"/>
              <w:rPr>
                <w:sz w:val="20"/>
                <w:szCs w:val="20"/>
                <w:color w:val="auto"/>
              </w:rPr>
            </w:pPr>
            <w:r>
              <w:rPr>
                <w:rFonts w:ascii="Arial" w:cs="Arial" w:eastAsia="Arial" w:hAnsi="Arial"/>
                <w:sz w:val="14"/>
                <w:szCs w:val="14"/>
                <w:color w:val="auto"/>
                <w:w w:val="92"/>
              </w:rPr>
              <w:t>11/01/2017   Hotels, Motels, Inns and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9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11.50%</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4,821,918</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4,950,000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12/15/2014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6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3,227,428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3,227,428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12/15/2015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660" w:type="dxa"/>
            <w:vAlign w:val="bottom"/>
            <w:gridSpan w:val="2"/>
          </w:tcPr>
          <w:p>
            <w:pPr>
              <w:ind w:left="12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1,723,738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1,723,738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1,723,738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2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9"/>
              </w:rPr>
              <w:t>10/15/2017  Buildings and Real Estate</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10,433,330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05/15/2015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8.19%</w:t>
            </w: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9,949,586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05/15/2017</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17,001,649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Sheridan Holdings, Inc.</w:t>
            </w:r>
          </w:p>
        </w:tc>
        <w:tc>
          <w:tcPr>
            <w:tcW w:w="720" w:type="dxa"/>
            <w:vAlign w:val="bottom"/>
            <w:gridSpan w:val="2"/>
          </w:tcPr>
          <w:p>
            <w:pPr>
              <w:spacing w:after="0" w:line="138" w:lineRule="exact"/>
              <w:rPr>
                <w:sz w:val="20"/>
                <w:szCs w:val="20"/>
                <w:color w:val="auto"/>
              </w:rPr>
            </w:pPr>
            <w:r>
              <w:rPr>
                <w:rFonts w:ascii="Arial" w:cs="Arial" w:eastAsia="Arial" w:hAnsi="Arial"/>
                <w:sz w:val="14"/>
                <w:szCs w:val="14"/>
                <w:color w:val="auto"/>
                <w:w w:val="99"/>
              </w:rPr>
              <w:t>06/15/2015</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6.10%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Childcare</w:t>
            </w:r>
          </w:p>
        </w:tc>
        <w:tc>
          <w:tcPr>
            <w:tcW w:w="960" w:type="dxa"/>
            <w:vAlign w:val="bottom"/>
            <w:gridSpan w:val="3"/>
            <w:vMerge w:val="continue"/>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L+575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21,500,000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19,113,540</w:t>
            </w: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19,618,750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Specialized Technology Resources, Inc.</w:t>
            </w:r>
          </w:p>
        </w:tc>
        <w:tc>
          <w:tcPr>
            <w:tcW w:w="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12/15/2014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Chemical, Plastics and</w:t>
            </w: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7.35%</w:t>
            </w:r>
            <w:r>
              <w:rPr>
                <w:rFonts w:ascii="Arial" w:cs="Arial" w:eastAsia="Arial" w:hAnsi="Arial"/>
                <w:sz w:val="22"/>
                <w:szCs w:val="22"/>
                <w:color w:val="auto"/>
                <w:vertAlign w:val="superscript"/>
              </w:rPr>
              <w:t>(6)</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960" w:type="dxa"/>
            <w:vAlign w:val="bottom"/>
            <w:gridSpan w:val="3"/>
            <w:vMerge w:val="continue"/>
            <w:shd w:val="clear" w:color="auto" w:fill="CCEEFF"/>
          </w:tcPr>
          <w:p>
            <w:pPr>
              <w:spacing w:after="0"/>
              <w:rPr>
                <w:sz w:val="13"/>
                <w:szCs w:val="13"/>
                <w:color w:val="auto"/>
              </w:rPr>
            </w:pPr>
          </w:p>
        </w:tc>
        <w:tc>
          <w:tcPr>
            <w:tcW w:w="6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L+700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22,489,618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06/15/2015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7.10%</w:t>
            </w:r>
            <w:r>
              <w:rPr>
                <w:rFonts w:ascii="Arial" w:cs="Arial" w:eastAsia="Arial" w:hAnsi="Arial"/>
                <w:sz w:val="17"/>
                <w:szCs w:val="17"/>
                <w:color w:val="auto"/>
                <w:vertAlign w:val="superscript"/>
              </w:rPr>
              <w:t>(6)</w:t>
            </w: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L+675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17,706,723</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17,215,645</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16,095,412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144,900,106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142,158,542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Preferred Equity/Partnership</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Interests</w:t>
            </w:r>
            <w:r>
              <w:rPr>
                <w:rFonts w:ascii="Arial" w:cs="Arial" w:eastAsia="Arial" w:hAnsi="Arial"/>
                <w:sz w:val="20"/>
                <w:szCs w:val="20"/>
                <w:color w:val="auto"/>
                <w:vertAlign w:val="superscript"/>
              </w:rPr>
              <w:t>(7)</w:t>
            </w:r>
            <w:r>
              <w:rPr>
                <w:rFonts w:ascii="Arial" w:cs="Arial" w:eastAsia="Arial" w:hAnsi="Arial"/>
                <w:sz w:val="13"/>
                <w:szCs w:val="13"/>
                <w:b w:val="1"/>
                <w:bCs w:val="1"/>
                <w:color w:val="auto"/>
              </w:rPr>
              <w:t>—2.6%</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 (CT Technologies Intermediate Holdings,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144,375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4,363,693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1,453,128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1,359,390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9,894,691</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9,048,102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Current</w:t>
            </w:r>
          </w:p>
        </w:tc>
        <w:tc>
          <w:tcPr>
            <w:tcW w:w="88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98"/>
              </w:rPr>
              <w:t>Above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Coupon</w:t>
            </w:r>
          </w:p>
        </w:tc>
        <w:tc>
          <w:tcPr>
            <w:tcW w:w="88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Par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—8.1%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CEA Autumn Management, L.L.C.</w:t>
            </w:r>
          </w:p>
        </w:tc>
        <w:tc>
          <w:tcPr>
            <w:tcW w:w="620" w:type="dxa"/>
            <w:vAlign w:val="bottom"/>
          </w:tcPr>
          <w:p>
            <w:pPr>
              <w:ind w:left="200"/>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6"/>
              </w:rPr>
              <w:t>Broadcasting and</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3"/>
                <w:szCs w:val="13"/>
                <w:color w:val="auto"/>
              </w:rPr>
            </w:pPr>
          </w:p>
        </w:tc>
        <w:tc>
          <w:tcPr>
            <w:tcW w:w="10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1,333</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3,000,000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2"/>
              </w:rPr>
              <w:t>$  3,000,000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10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5,557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7,285,925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04/27/2020</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779,920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720,582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1,055,932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2,464,999</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4,582,745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1,306,167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1,255,907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12/29/2019</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670,917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Transportation 100 Holdco, L.L.C. (Greatwide Logistics Services, L.L.C)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137,923</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2,433,112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4,369,483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1,396,056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35,526</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17,741,282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27,862,595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First Lien Secured Debt—63.5%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7.70%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11,829,625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10,259,614</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11,711,327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06/21/2015</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16,363,636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15,765,861</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16,363,636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09/30/2010</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3,636,364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Logistics</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11.63%</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7,300,183</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7,743,750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04/01/2018</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Logistics</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987,488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07/31/2016</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L+988</w:t>
            </w:r>
            <w:r>
              <w:rPr>
                <w:rFonts w:ascii="Arial" w:cs="Arial" w:eastAsia="Arial" w:hAnsi="Arial"/>
                <w:sz w:val="22"/>
                <w:szCs w:val="22"/>
                <w:color w:val="auto"/>
                <w:vertAlign w:val="superscript"/>
              </w:rPr>
              <w:t>(8)</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9"/>
              </w:rPr>
              <w:t>and Gaming</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12.38%</w:t>
            </w: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9,437,500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8,934,730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9,366,719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11/20/2014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Communication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10,650,730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7"/>
                <w:szCs w:val="17"/>
                <w:color w:val="auto"/>
                <w:vertAlign w:val="subscript"/>
              </w:rPr>
              <w:t>12.00%</w:t>
            </w:r>
            <w:r>
              <w:rPr>
                <w:rFonts w:ascii="Arial" w:cs="Arial" w:eastAsia="Arial" w:hAnsi="Arial"/>
                <w:sz w:val="9"/>
                <w:szCs w:val="9"/>
                <w:color w:val="auto"/>
              </w:rPr>
              <w:t>(6),(7)</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13,445,577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10,771,298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11/10/2010</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6,666,666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6,666,666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20" w:type="dxa"/>
            <w:vAlign w:val="bottom"/>
            <w:gridSpan w:val="2"/>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620" w:type="dxa"/>
            <w:vAlign w:val="bottom"/>
          </w:tcPr>
          <w:p>
            <w:pPr>
              <w:jc w:val="center"/>
              <w:spacing w:after="0" w:line="122" w:lineRule="exact"/>
              <w:rPr>
                <w:sz w:val="20"/>
                <w:szCs w:val="20"/>
                <w:color w:val="auto"/>
              </w:rPr>
            </w:pPr>
            <w:r>
              <w:rPr>
                <w:rFonts w:ascii="Arial" w:cs="Arial" w:eastAsia="Arial" w:hAnsi="Arial"/>
                <w:sz w:val="14"/>
                <w:szCs w:val="14"/>
                <w:color w:val="auto"/>
                <w:w w:val="88"/>
              </w:rPr>
              <w:t>10/01/2014</w:t>
            </w:r>
          </w:p>
        </w:tc>
        <w:tc>
          <w:tcPr>
            <w:tcW w:w="20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4"/>
                <w:szCs w:val="14"/>
                <w:color w:val="auto"/>
                <w:w w:val="88"/>
              </w:rPr>
              <w:t>Grocery</w:t>
            </w:r>
          </w:p>
        </w:tc>
        <w:tc>
          <w:tcPr>
            <w:tcW w:w="1260" w:type="dxa"/>
            <w:vAlign w:val="bottom"/>
            <w:gridSpan w:val="3"/>
          </w:tcPr>
          <w:p>
            <w:pPr>
              <w:jc w:val="right"/>
              <w:ind w:right="480"/>
              <w:spacing w:after="0" w:line="122" w:lineRule="exact"/>
              <w:rPr>
                <w:sz w:val="20"/>
                <w:szCs w:val="20"/>
                <w:color w:val="auto"/>
              </w:rPr>
            </w:pPr>
            <w:r>
              <w:rPr>
                <w:rFonts w:ascii="Arial" w:cs="Arial" w:eastAsia="Arial" w:hAnsi="Arial"/>
                <w:sz w:val="14"/>
                <w:szCs w:val="14"/>
                <w:color w:val="auto"/>
              </w:rPr>
              <w:t>12.00%</w:t>
            </w:r>
          </w:p>
        </w:tc>
        <w:tc>
          <w:tcPr>
            <w:tcW w:w="880" w:type="dxa"/>
            <w:vAlign w:val="bottom"/>
            <w:gridSpan w:val="2"/>
          </w:tcPr>
          <w:p>
            <w:pPr>
              <w:jc w:val="right"/>
              <w:ind w:right="360"/>
              <w:spacing w:after="0" w:line="122" w:lineRule="exact"/>
              <w:rPr>
                <w:sz w:val="20"/>
                <w:szCs w:val="20"/>
                <w:color w:val="auto"/>
              </w:rPr>
            </w:pPr>
            <w:r>
              <w:rPr>
                <w:rFonts w:ascii="Arial" w:cs="Arial" w:eastAsia="Arial" w:hAnsi="Arial"/>
                <w:sz w:val="14"/>
                <w:szCs w:val="14"/>
                <w:color w:val="auto"/>
                <w:w w:val="95"/>
              </w:rPr>
              <w:t>L+950 &amp;</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4"/>
                <w:szCs w:val="14"/>
                <w:color w:val="auto"/>
                <w:w w:val="85"/>
              </w:rPr>
              <w:t>11,953,013</w:t>
            </w:r>
          </w:p>
        </w:tc>
        <w:tc>
          <w:tcPr>
            <w:tcW w:w="1120" w:type="dxa"/>
            <w:vAlign w:val="bottom"/>
            <w:gridSpan w:val="3"/>
          </w:tcPr>
          <w:p>
            <w:pPr>
              <w:jc w:val="right"/>
              <w:ind w:right="200"/>
              <w:spacing w:after="0" w:line="122" w:lineRule="exact"/>
              <w:rPr>
                <w:sz w:val="20"/>
                <w:szCs w:val="20"/>
                <w:color w:val="auto"/>
              </w:rPr>
            </w:pPr>
            <w:r>
              <w:rPr>
                <w:rFonts w:ascii="Arial" w:cs="Arial" w:eastAsia="Arial" w:hAnsi="Arial"/>
                <w:sz w:val="14"/>
                <w:szCs w:val="14"/>
                <w:color w:val="auto"/>
              </w:rPr>
              <w:t>11,668,305</w:t>
            </w: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11,875,336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2.73%</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8,775,000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8,775,000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4,852,575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3.06%</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L+250</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4,708,335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08/07/2014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14.50%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24,937,500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24,447,386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2.59%</w:t>
            </w: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L+225</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9,762,835</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9,762,835</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7,956,711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04/27/2016</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12.00%</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26,052,632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25,462,378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26,052,632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2.60%</w:t>
            </w: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L+225</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3,844,931</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3,844,931</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3,159,253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08/01/2014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9,830,510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8,363,445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7,127,120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83,450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83,450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317,358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317,358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09/23/2014</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L+825</w:t>
            </w:r>
            <w:r>
              <w:rPr>
                <w:rFonts w:ascii="Arial" w:cs="Arial" w:eastAsia="Arial" w:hAnsi="Arial"/>
                <w:sz w:val="22"/>
                <w:szCs w:val="22"/>
                <w:color w:val="auto"/>
                <w:vertAlign w:val="superscript"/>
              </w:rPr>
              <w:t>(8)</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9"/>
              </w:rPr>
              <w:t>and Gaming</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11.25%</w:t>
            </w: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29,500,000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28,717,396</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28,025,000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6.50%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L+450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14,831,269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10,660,443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13,496,454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1"/>
                <w:szCs w:val="11"/>
                <w:color w:val="auto"/>
              </w:rPr>
              <w:t>World Color Press Inc.</w:t>
            </w:r>
            <w:r>
              <w:rPr>
                <w:rFonts w:ascii="Arial" w:cs="Arial" w:eastAsia="Arial" w:hAnsi="Arial"/>
                <w:sz w:val="17"/>
                <w:szCs w:val="17"/>
                <w:color w:val="auto"/>
                <w:vertAlign w:val="superscript"/>
              </w:rPr>
              <w:t>(10)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9.00%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3,481,042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3,235,383</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3,494,096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07/15/2016</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and Gaming</w:t>
            </w:r>
          </w:p>
        </w:tc>
        <w:tc>
          <w:tcPr>
            <w:tcW w:w="126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11.38%</w:t>
            </w:r>
          </w:p>
        </w:tc>
        <w:tc>
          <w:tcPr>
            <w:tcW w:w="8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5,000,000</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4,866,444</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5,356,250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222,201,237</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219,367,560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600,409,815</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606,401,552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Basis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Point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Current</w:t>
            </w: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Above</w:t>
            </w: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Par /</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Index</w:t>
            </w: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Coupon</w:t>
            </w:r>
          </w:p>
        </w:tc>
        <w:tc>
          <w:tcPr>
            <w:tcW w:w="420" w:type="dxa"/>
            <w:vAlign w:val="bottom"/>
          </w:tcPr>
          <w:p>
            <w:pPr>
              <w:ind w:left="1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Companies—4.9%</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9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40" w:type="dxa"/>
            <w:vAlign w:val="bottom"/>
            <w:gridSpan w:val="3"/>
            <w:vMerge w:val="continue"/>
            <w:shd w:val="clear" w:color="auto" w:fill="CCEEFF"/>
          </w:tcPr>
          <w:p>
            <w:pPr>
              <w:spacing w:after="0"/>
              <w:rPr>
                <w:sz w:val="15"/>
                <w:szCs w:val="15"/>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$5,640,077</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5,463,471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5,513,175</w:t>
            </w:r>
          </w:p>
        </w:tc>
        <w:tc>
          <w:tcPr>
            <w:tcW w:w="0" w:type="dxa"/>
            <w:vAlign w:val="bottom"/>
          </w:tcPr>
          <w:p>
            <w:pPr>
              <w:spacing w:after="0"/>
              <w:rPr>
                <w:sz w:val="1"/>
                <w:szCs w:val="1"/>
                <w:color w:val="auto"/>
              </w:rPr>
            </w:pPr>
          </w:p>
        </w:tc>
      </w:tr>
      <w:tr>
        <w:trPr>
          <w:trHeight w:val="156"/>
        </w:trPr>
        <w:tc>
          <w:tcPr>
            <w:tcW w:w="5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5.99%</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L+575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8,750,000</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—0.9%</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2,967,871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17,963,471</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16,776,046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Investments—180.5%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618,373,286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623,177,598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2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Equivalents—0.4%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1,303,502</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1,303,502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1,303,502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Equivalents—180.9%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619,676,788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624,481,100</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Assets—(80.9)%</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(279,215,050)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345,266,050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used in this Consolidated Schedule of Investments and in accordance with the 1940 Act, “non-controlled” means we own less than 25% of a portfolio company’s voting securities.</w:t>
      </w:r>
    </w:p>
    <w:p>
      <w:pPr>
        <w:spacing w:after="0" w:line="22" w:lineRule="exact"/>
        <w:rPr>
          <w:rFonts w:ascii="Arial" w:cs="Arial" w:eastAsia="Arial" w:hAnsi="Arial"/>
          <w:sz w:val="12"/>
          <w:szCs w:val="12"/>
          <w:color w:val="auto"/>
        </w:rPr>
      </w:pPr>
    </w:p>
    <w:p>
      <w:pPr>
        <w:ind w:left="340" w:right="1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used in this Consolidated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Basis Point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Par/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44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 Portfolio Companies—</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jc w:val="right"/>
              <w:ind w:right="3480"/>
              <w:spacing w:after="0" w:line="176" w:lineRule="exact"/>
              <w:rPr>
                <w:sz w:val="20"/>
                <w:szCs w:val="20"/>
                <w:color w:val="auto"/>
              </w:rPr>
            </w:pPr>
            <w:r>
              <w:rPr>
                <w:rFonts w:ascii="Arial" w:cs="Arial" w:eastAsia="Arial" w:hAnsi="Arial"/>
                <w:sz w:val="20"/>
                <w:szCs w:val="20"/>
                <w:b w:val="1"/>
                <w:bCs w:val="1"/>
                <w:color w:val="auto"/>
                <w:vertAlign w:val="subscript"/>
              </w:rPr>
              <w:t>150.9%</w:t>
            </w:r>
            <w:r>
              <w:rPr>
                <w:rFonts w:ascii="Arial" w:cs="Arial" w:eastAsia="Arial" w:hAnsi="Arial"/>
                <w:sz w:val="9"/>
                <w:szCs w:val="9"/>
                <w:b w:val="1"/>
                <w:bCs w:val="1"/>
                <w:color w:val="auto"/>
              </w:rPr>
              <w:t xml:space="preserve"> (1),(2)</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03/01/2012</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$ 22,930,475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04/17/2015</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7,952,769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03/22/2014</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20,311,603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04/01/2014</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995,610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06/06/2014</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22,653,857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05/20/2012</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19,632,400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12/28/2015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04/15/2015</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8,921,187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10/01/2016</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20,197,856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02/08/2015</w:t>
            </w:r>
          </w:p>
        </w:tc>
        <w:tc>
          <w:tcPr>
            <w:tcW w:w="100" w:type="dxa"/>
            <w:vAlign w:val="bottom"/>
          </w:tcPr>
          <w:p>
            <w:pPr>
              <w:spacing w:after="0"/>
              <w:rPr>
                <w:sz w:val="13"/>
                <w:szCs w:val="13"/>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153,261,822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Brand Energy and Infrastructure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02/07/2015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6.36%</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13,153,077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02/07/2015</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7.44%</w:t>
            </w:r>
          </w:p>
        </w:tc>
        <w:tc>
          <w:tcPr>
            <w:tcW w:w="8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11,735,965</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04/30/2015</w:t>
            </w:r>
          </w:p>
        </w:tc>
        <w:tc>
          <w:tcPr>
            <w:tcW w:w="1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9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7.78%</w:t>
            </w:r>
          </w:p>
        </w:tc>
        <w:tc>
          <w:tcPr>
            <w:tcW w:w="86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L+750</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11,949,634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03/01/2014</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860" w:type="dxa"/>
            <w:vAlign w:val="bottom"/>
            <w:gridSpan w:val="2"/>
          </w:tcPr>
          <w:p>
            <w:pPr>
              <w:ind w:left="32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11/04/2014</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10/15/2017</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05/15/2015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8.19%</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05/15/2017</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16,890,972</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06/15/2015</w:t>
            </w:r>
          </w:p>
        </w:tc>
        <w:tc>
          <w:tcPr>
            <w:tcW w:w="1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6.00%</w:t>
            </w:r>
            <w:r>
              <w:rPr>
                <w:rFonts w:ascii="Arial" w:cs="Arial" w:eastAsia="Arial" w:hAnsi="Arial"/>
                <w:sz w:val="22"/>
                <w:szCs w:val="22"/>
                <w:color w:val="auto"/>
                <w:vertAlign w:val="superscript"/>
              </w:rPr>
              <w:t>(6)</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960" w:type="dxa"/>
            <w:vAlign w:val="bottom"/>
            <w:gridSpan w:val="3"/>
            <w:vMerge w:val="continue"/>
            <w:shd w:val="clear" w:color="auto" w:fill="CCEEFF"/>
          </w:tcPr>
          <w:p>
            <w:pPr>
              <w:spacing w:after="0"/>
              <w:rPr>
                <w:sz w:val="15"/>
                <w:szCs w:val="15"/>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L+575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18,855,728</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12/15/2014</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8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06/15/2015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L+675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16,792,105</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143,571,496</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6.50%</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2,499,067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3,094,252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77"/>
              </w:rPr>
              <w:t>Fair Value</w:t>
            </w:r>
            <w:r>
              <w:rPr>
                <w:rFonts w:ascii="Arial" w:cs="Arial" w:eastAsia="Arial" w:hAnsi="Arial"/>
                <w:sz w:val="22"/>
                <w:szCs w:val="22"/>
                <w:b w:val="1"/>
                <w:bCs w:val="1"/>
                <w:color w:val="auto"/>
                <w:w w:val="77"/>
                <w:vertAlign w:val="superscript"/>
              </w:rPr>
              <w:t>(3)</w:t>
            </w:r>
          </w:p>
        </w:tc>
        <w:tc>
          <w:tcPr>
            <w:tcW w:w="0" w:type="dxa"/>
            <w:vAlign w:val="bottom"/>
          </w:tcPr>
          <w:p>
            <w:pPr>
              <w:spacing w:after="0"/>
              <w:rPr>
                <w:sz w:val="1"/>
                <w:szCs w:val="1"/>
                <w:color w:val="auto"/>
              </w:rPr>
            </w:pPr>
          </w:p>
        </w:tc>
      </w:tr>
      <w:tr>
        <w:trPr>
          <w:trHeight w:val="176"/>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Par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215,547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w w:val="94"/>
              </w:rPr>
              <w:t>CT Technologies Holdings, LLC (CT Technologies Intermediate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w w:val="92"/>
              </w:rPr>
              <w:t>Transportation 100 Holdco, L.L.C. (Greatwide Logistics Services,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Inc. (Advanstar Inc.) (Warrant)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05/28/2013</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2.57%</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Logistics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07/31/2016</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12.38%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2.88%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L+250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08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2.53%</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4,810,608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L+475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08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2.55%</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3,022,585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2.31%</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02/28/2013</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08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2.26%</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6,142,500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02/01/2013</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2.73%</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03/16/2014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05/04/2014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06/30/2010</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07/19/2013</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0"/>
              </w:rPr>
              <w:t>Manufacturing/Basic Industry</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01/30/2014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L+550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09/23/2014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4.26%</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0" w:type="dxa"/>
            <w:vAlign w:val="bottom"/>
          </w:tcPr>
          <w:p>
            <w:pPr>
              <w:spacing w:after="0"/>
              <w:rPr>
                <w:sz w:val="1"/>
                <w:szCs w:val="1"/>
                <w:color w:val="auto"/>
              </w:rPr>
            </w:pPr>
          </w:p>
        </w:tc>
      </w:tr>
      <w:tr>
        <w:trPr>
          <w:trHeight w:val="163"/>
        </w:trPr>
        <w:tc>
          <w:tcPr>
            <w:tcW w:w="3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164,863,868</w:t>
            </w:r>
          </w:p>
        </w:tc>
        <w:tc>
          <w:tcPr>
            <w:tcW w:w="2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453,644,335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66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Par /Shares</w:t>
            </w:r>
          </w:p>
        </w:tc>
        <w:tc>
          <w:tcPr>
            <w:tcW w:w="8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Affiliated Portfolio Companies —5.4% </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60" w:type="dxa"/>
            <w:vAlign w:val="bottom"/>
            <w:gridSpan w:val="3"/>
            <w:vMerge w:val="continue"/>
            <w:shd w:val="clear" w:color="auto" w:fill="CCEEFF"/>
          </w:tcPr>
          <w:p>
            <w:pPr>
              <w:spacing w:after="0"/>
              <w:rPr>
                <w:sz w:val="15"/>
                <w:szCs w:val="15"/>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4,878,081</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4,988,960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6.24%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6"/>
              </w:rPr>
              <w:t>L+575</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8,019,375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Common Equity/Partnership</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 xml:space="preserve">Interest </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 xml:space="preserve"> —1.0%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3,750,000</w:t>
            </w:r>
          </w:p>
        </w:tc>
        <w:tc>
          <w:tcPr>
            <w:tcW w:w="1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3,107,403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17,378,081</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16,115,738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497,287,886</w:t>
            </w: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469,760,073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85"/>
              </w:rPr>
              <w:t>33,247,666</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33,247,666</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33,247,666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530,535,552</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503,007,739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7"/>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300,580,268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or “PennantPark Investment” refer to PennantPark Investment Corporation and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September 29, 2009, PennantPark Investment closed a follow-on public offering and sold 4,300,000 shares of common stock at a price of $8.00 per share, resulting in net proceeds of $32.5 million. On October 13, 2009, the underwriters of the follow-on offering exercised their over-allotment option under the underwriting agreement and elected to purchase an additional 440,000 shares of common stock at a price of $8.00 per share resulting in net proceeds of $3.3 million. On March 8, 2010, PennantPark Investment closed a follow-on public offering and sold 5,750,000 shares of common stock at a price of $10.00 per share, resulting in net proceeds of $54.3 million, inclusive of the underwriters’ over-allotment option.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PennantPark Investment received a letter on March 17, 2010 from the Small Business Administration (the “SBA”) that invited us to move forward with the licensing of PennantPark SBIC LP (the “SBIC LP”). SBIC LP and its general partner, PennantPark SBIC GP, LLC (the “SBIC GP”), were organized in Delaware on May 7, 2010 as a limited partnership and limited liability company, respectively. Both SBIC LP and SBIC GP (the “Subsidiaries”) are consolidated wholly-owned subsidiaries of PennantPark Investment. The SBIC LP’s objective is to generate both current income and capital appreciation through debt and equity investments. SBIC LP invests in SBA eligible businesses that meet the investment criteria used by PennantPark Investment. The SBIC LP will be subject to regulation and oversight by the SBA. As of June 30, 2010, the SBIC has not received its license to operate as a Small Business Investment Company (“SBIC”) nor a debt commitment from the SBA. See note 12 for subsequent events regarding SBIC 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Certain prior period amounts have been reclassified to conform to current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presentation and do not contain the consolidated results of any subsidiaries. All intercompany balances and transactions have been eliminated. References to the Accounting Standards Codification, or ASC, serve as a single source of accounting literature and are not intended to change accounting literature. Subsequent events are evaluated and disclosed as appropriate for events occurring subsequent to June 30, 2010 through the date the consolidated financial statements are issued.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our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that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right="2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pay an excise tax of $0.1 million for the nine months ended June 30, 2010.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109"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interim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New Accounting Pronouncements and Accounting Standards Updates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 clarify and amend ASC 820-10. In particular, it requires additional disclosures with regards to transfers into and out of </w:t>
      </w:r>
      <w:r>
        <w:rPr>
          <w:rFonts w:ascii="Arial" w:cs="Arial" w:eastAsia="Arial" w:hAnsi="Arial"/>
          <w:sz w:val="16"/>
          <w:szCs w:val="16"/>
          <w:i w:val="1"/>
          <w:iCs w:val="1"/>
          <w:color w:val="auto"/>
        </w:rPr>
        <w:t>Levels 1</w:t>
      </w:r>
      <w:r>
        <w:rPr>
          <w:rFonts w:ascii="Arial" w:cs="Arial" w:eastAsia="Arial" w:hAnsi="Arial"/>
          <w:sz w:val="16"/>
          <w:szCs w:val="16"/>
          <w:color w:val="auto"/>
        </w:rPr>
        <w:t xml:space="preserve"> and </w:t>
      </w:r>
      <w:r>
        <w:rPr>
          <w:rFonts w:ascii="Arial" w:cs="Arial" w:eastAsia="Arial" w:hAnsi="Arial"/>
          <w:sz w:val="16"/>
          <w:szCs w:val="16"/>
          <w:i w:val="1"/>
          <w:iCs w:val="1"/>
          <w:color w:val="auto"/>
        </w:rPr>
        <w:t>2</w:t>
      </w:r>
      <w:r>
        <w:rPr>
          <w:rFonts w:ascii="Arial" w:cs="Arial" w:eastAsia="Arial" w:hAnsi="Arial"/>
          <w:sz w:val="16"/>
          <w:szCs w:val="16"/>
          <w:color w:val="auto"/>
        </w:rPr>
        <w:t xml:space="preserve">. It also requires that entities disclose on a gross basis purchases, sales, issuances, and settlements within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roll-forward. ASU 2010-06 also clarifies existing fair value disclosures about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level of disaggregation as well as inputs and valuation techniques for both recurring and nonrecurring fair value measurements that fall into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or </w:t>
      </w:r>
      <w:r>
        <w:rPr>
          <w:rFonts w:ascii="Arial" w:cs="Arial" w:eastAsia="Arial" w:hAnsi="Arial"/>
          <w:sz w:val="16"/>
          <w:szCs w:val="16"/>
          <w:i w:val="1"/>
          <w:iCs w:val="1"/>
          <w:color w:val="auto"/>
        </w:rPr>
        <w:t>3</w:t>
      </w:r>
      <w:r>
        <w:rPr>
          <w:rFonts w:ascii="Arial" w:cs="Arial" w:eastAsia="Arial" w:hAnsi="Arial"/>
          <w:sz w:val="16"/>
          <w:szCs w:val="16"/>
          <w:color w:val="auto"/>
        </w:rPr>
        <w:t xml:space="preserve">. The new disclosures and clarifications of existing disclosures are effective for interim and annual reporting periods beginning after December 15, 2009, except for the disclosures about purchases, sales and settlements in the roll-forward of activity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measurements, which are effective for fiscal years beginning after December 15, 2010, and for interim periods within those fiscal years. The adoption of the additional disclosure requirements of ASU 2010-06 did not materially impact our consolidated financial statements. The disclosures regarding the disaggregation of purchases, sales and settlements in the roll-forward of activity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measurements is not expected to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(the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and/or temporary draws on the credit facility or “average adjusted gross assets”, if any, see Note 10).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appropriately adjusted for any share issuances or repurchases during the current calendar quarter. For the three and nine months ended June 30, 2010, the Investment Adviser earned a base management fee of $3.0 million and $8.3 million, respectively, from us. For the three and nine months ended June 30, 2009, the Investment Adviser earned a base management fee of $1.9 million and $5.5 million, respectively, from us.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220" w:firstLine="8"/>
        <w:spacing w:after="0" w:line="292"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months ended June 30, 2010, the Investment Adviser earned an incentive fee of $2.2 million and $5.8 million, respectively from us. For the three and nine months ended June 30, 2009, the Investment Adviser earned an incentive fee of $1.4 million and $4.2 million, respectively, from us.</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PennantPark Investment has also entered into an administration agreement (the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managerial assistance on our behalf to those portfolio companies to which we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consolidated statement of operations. For the three and nine months ended June 30, 2010, the Investment Adviser was reimbursed $0.3 million and $1.8 million, respectively, from us, including expenses it incurred on behalf of the Administrator, for services described above. For the three and nine months ended June 30, 2009, the Investment Adviser was reimbursed $0.3 million and $1.4 million, respectively, from us, including expenses it incurred on behalf of the Administrator.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Purchases of long-term investments including PIK for the three and nine months ended June 30, 2010 totaled $94.9 million and $217.3 million, respectively. For the same period in the prior year, purchases of long-term investments including PIK totaled $33.4 million and $50.5 million, respectively. Sales and repayments of long-term investments for the three and nine months ended June 30, 2010 totaled $59.2 million and $82.7 million, respectively. For the same period in the prior year, sales and repayments of long-term investments totaled $7.3 million and $12.9 million,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June 30, 2010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222,201,237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219,367,560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Second lien</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153,650,106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150,453,542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211,135,970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213,477,928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Preferred equity</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9,894,691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9,048,102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21,491,282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30,830,466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618,373,286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623,177,598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497,287,886</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469,760,073</w:t>
            </w: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33,247,666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Investments and cash equivalents</w:t>
            </w: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619,676,788</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624,481,100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530,535,552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503,007,739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S-58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2010 and September 30, 2009.</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46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2010</w:t>
            </w:r>
          </w:p>
        </w:tc>
        <w:tc>
          <w:tcPr>
            <w:tcW w:w="13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2009</w:t>
            </w:r>
          </w:p>
        </w:tc>
        <w:tc>
          <w:tcPr>
            <w:tcW w:w="200" w:type="dxa"/>
            <w:vAlign w:val="bottom"/>
          </w:tcPr>
          <w:p>
            <w:pPr>
              <w:spacing w:after="0"/>
              <w:rPr>
                <w:sz w:val="14"/>
                <w:szCs w:val="14"/>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r>
      <w:tr>
        <w:trPr>
          <w:trHeight w:val="208"/>
        </w:trPr>
        <w:tc>
          <w:tcPr>
            <w:tcW w:w="608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608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r>
      <w:tr>
        <w:trPr>
          <w:trHeight w:val="217"/>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16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ind w:right="12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1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300"/>
          </w:cols>
          <w:pgMar w:left="24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Substantially,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June 30, 2010 and September 30, 2009, our cash and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At June 30, 2010</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w w:val="87"/>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5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spacing w:after="0"/>
              <w:rPr>
                <w:sz w:val="14"/>
                <w:szCs w:val="14"/>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5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$ 583,299,030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$ 583,299,030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39,878,568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4,582,745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35,295,823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623,177,598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4,582,745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618,594,853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1,303,502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1,303,502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624,481,100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5,886,247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618,594,853</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0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(230,476,000)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(230,476,000)</w:t>
            </w:r>
          </w:p>
        </w:tc>
        <w:tc>
          <w:tcPr>
            <w:tcW w:w="0" w:type="dxa"/>
            <w:vAlign w:val="bottom"/>
          </w:tcPr>
          <w:p>
            <w:pPr>
              <w:spacing w:after="0"/>
              <w:rPr>
                <w:sz w:val="1"/>
                <w:szCs w:val="1"/>
                <w:color w:val="auto"/>
              </w:rPr>
            </w:pPr>
          </w:p>
        </w:tc>
      </w:tr>
      <w:tr>
        <w:trPr>
          <w:trHeight w:val="20"/>
        </w:trPr>
        <w:tc>
          <w:tcPr>
            <w:tcW w:w="43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At September 30, 2009</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w w:val="87"/>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spacing w:after="0"/>
              <w:rPr>
                <w:sz w:val="14"/>
                <w:szCs w:val="14"/>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5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33,247,666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33,247,666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33,247,666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0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40" w:type="dxa"/>
            <w:vAlign w:val="bottom"/>
            <w:gridSpan w:val="3"/>
          </w:tcPr>
          <w:p>
            <w:pPr>
              <w:jc w:val="right"/>
              <w:ind w:right="1520"/>
              <w:spacing w:after="0"/>
              <w:rPr>
                <w:sz w:val="20"/>
                <w:szCs w:val="20"/>
                <w:color w:val="auto"/>
              </w:rPr>
            </w:pPr>
            <w:r>
              <w:rPr>
                <w:rFonts w:ascii="Arial" w:cs="Arial" w:eastAsia="Arial" w:hAnsi="Arial"/>
                <w:sz w:val="18"/>
                <w:szCs w:val="18"/>
                <w:color w:val="auto"/>
              </w:rPr>
              <w:t>S-61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nine months ended June 30,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Period Ended June 30, 2010</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(13,639,393)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(16,644,556)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29,508,937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30,214,378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209,323,669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8,657,354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217,981,023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(76,384,680)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(76,384,680)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(7,637,552)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June 30, 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583,299,030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35,295,823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618,594,853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Net change in unrealized appreciation (depreciation) for the nine months ended June 30, 2010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within the net change in unrealized appreciation on investments in our consolidated statement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operations attributable to our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12,834,100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(2,299,720)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10,534,380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Ended June 30,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(30,847,040)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10,220,577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2,101,623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12,322,200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50,326,080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2,063,169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52,389,249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(12,873,998)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(12,873,998)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(1,209,455)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1,209,455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June 30,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364,876,268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28,261,963</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393,138,231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Net change in unrealized depreciation for the nine months ended June 30, 2009 reported within the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net change in unrealized depreciation on investments in our statement of operations attributable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to our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(1,646,713)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3,424,565</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S-62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tables show a reconciliation of the beginning and ending balances for fair valued liabilities measured using significant unobservable inputs (</w:t>
      </w:r>
      <w:r>
        <w:rPr>
          <w:rFonts w:ascii="Arial" w:cs="Arial" w:eastAsia="Arial" w:hAnsi="Arial"/>
          <w:sz w:val="16"/>
          <w:szCs w:val="16"/>
          <w:i w:val="1"/>
          <w:iCs w:val="1"/>
          <w:color w:val="auto"/>
        </w:rPr>
        <w:t>Level 3</w:t>
      </w:r>
      <w:r>
        <w:rPr>
          <w:rFonts w:ascii="Arial" w:cs="Arial" w:eastAsia="Arial" w:hAnsi="Arial"/>
          <w:sz w:val="16"/>
          <w:szCs w:val="16"/>
          <w:color w:val="auto"/>
        </w:rPr>
        <w:t>) for the nine months ended June 30, 2010 and 2009. As of June 30, 2009, there were no temporary draws outstanding.</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Period Ended June 30, 2010</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678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28,900,620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(99,400,000)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Ending Balance, (Cost – $251,200,000)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230,476,000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 outstanding, at cost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8"/>
                <w:szCs w:val="18"/>
                <w:color w:val="auto"/>
              </w:rPr>
              <w:t>Total Credit Facility, June 30, 2010 (Cost – $256,800,000)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$ 236,076,000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Ended June 30,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20" w:type="dxa"/>
            <w:vAlign w:val="bottom"/>
            <w:gridSpan w:val="2"/>
            <w:vMerge w:val="continue"/>
          </w:tcPr>
          <w:p>
            <w:pPr>
              <w:spacing w:after="0"/>
              <w:rPr>
                <w:sz w:val="24"/>
                <w:szCs w:val="2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678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(11,446,442)</w:t>
            </w: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59,200,000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(33,900,000)</w:t>
            </w:r>
          </w:p>
        </w:tc>
        <w:tc>
          <w:tcPr>
            <w:tcW w:w="0" w:type="dxa"/>
            <w:vAlign w:val="bottom"/>
          </w:tcPr>
          <w:p>
            <w:pPr>
              <w:spacing w:after="0"/>
              <w:rPr>
                <w:sz w:val="1"/>
                <w:szCs w:val="1"/>
                <w:color w:val="auto"/>
              </w:rPr>
            </w:pPr>
          </w:p>
        </w:tc>
      </w:tr>
      <w:tr>
        <w:trPr>
          <w:trHeight w:val="223"/>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 xml:space="preserve">Transfers in and / 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2009 (Cost – $187,300,000)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$ 134,057,558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instruments approximates fair value. Effective October 1, 2008,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nine months ended June 30, 2010 and 2009, our credit facility had a net change in unrealized (appreciation) depreciation of $(28.9) million and $11.4 million, respectively. On June 30, 2010 and September 30, 2009, net unrealized depreciation on our long-term credit facility totaled $20.7 million and $49.6 million, respectively, which included the cumulative effect of adoption of ASC 825-10 on our credit facility of $41.8 million. PennantPark Investment uses a nationally recognized independent valuation services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Consolidated Schedule of Investments. At the end of each fiscal quarter, PennantPark Investment has taken and in the future may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fees.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June 30, 2010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4"/>
                <w:szCs w:val="14"/>
                <w:color w:val="auto"/>
              </w:rPr>
            </w:pPr>
          </w:p>
        </w:tc>
        <w:tc>
          <w:tcPr>
            <w:tcW w:w="216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Numerator for net increase (decrease) in net assets resulting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4,259,433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(819,771)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9,904,537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9,622,495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31,558,772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28,211,593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Basic and diluted net increase (decrease) in net assets per share resulting from</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S-64</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June 30, 2010 and 2009 were $345.3 million and $247.0 million, respectively, and $10.94 and $11.72, respectively. Below are the financial highlights for the nine months ended June 30, 2010 and 2009.</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(0.47)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 ,(3)</w:t>
            </w:r>
          </w:p>
        </w:tc>
        <w:tc>
          <w:tcPr>
            <w:tcW w:w="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27.29%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31,558,772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345,266,050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246,977,240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239,097,802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173,118,681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40" w:firstLine="8"/>
        <w:spacing w:after="0" w:line="286"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380" w:hanging="452"/>
        <w:spacing w:after="0" w:line="30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net increase (decrease) in net assets resulting from operations and distributions per share data are calculated based on the weighted average shares outstanding for the respective periods.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 interest of Bear Stearns Corporate Lending Inc.) acted as joint lead arranger and syndication agent. As of June 30, 2010 and September 30, 2009, there were $256.8 million (including a $5.6 million temporary draw) and $225.1 million (including a $7.0 million temporary draw) in outstanding borrowings under the credit facility, respectively, with a weighted average interest rate at the time of 1.39% and 1.31%, respectively, exclusive of the fee on undrawn commitment of 0.20%.</w:t>
      </w:r>
    </w:p>
    <w:p>
      <w:pPr>
        <w:spacing w:after="0" w:line="14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29, 2010, PennantPark Investment amended its senior secured revolving credit facility. The amendment allows PennantPark Investment to form and to operate a SBIC under regulations applicable to the SBA program and to exclude certain indebtedness of an SBIC subsidiary from certain definitions and ratios subject to approval of the application for exemptive relief submitted to the SEC. There were no changes to existing lenders’ commitment amounts, pricing or maturity date. The description above is only a summary of the material amendment provisions of the credit facility, does not purport to be complete and is qualified in its entirety by reference to the provisions in the credit facility, as amended, is attached as an Exhibit to our Report on Form 10-Q, filed on May 5, 2010.</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and consolidated schedule of investments at fair value represent unfunded delayed draws on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3, 2010, PennantPark Investment’s wholly-owned subsidiary, PennantPark SBIC LP, received a license from the SBA to operate as an SBIC under Section 301(c) of the Small Business Investment Act of 1958 (the “1958 Act”). As an SBIC, PennantPark SBIC LP will be subject to a variety of regulations and oversight by the SBA concerning, among other things, the size and nature of the companies in which it may invest as well as the structure of those investments.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August 4, 2010 related to our review of interim financial information.</w:t>
      </w:r>
    </w:p>
    <w:p>
      <w:pPr>
        <w:spacing w:after="0" w:line="13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2654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17, 2010</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consent to the use of our reports dated August 4, 2010 for the PennantPark Investment Corporation and its Subsidiaries included herein and to the references to our firm under the headings “Selected Financial Data” and “Independent Registered Public Accounting Firm” in the Prospectus Supplement on Form 497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2654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17, 2010</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020"/>
          </w:cols>
          <w:pgMar w:left="24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w:t>
      </w:r>
    </w:p>
    <w:p>
      <w:pPr>
        <w:jc w:val="both"/>
        <w:ind w:right="340" w:firstLine="8"/>
        <w:spacing w:after="0" w:line="302"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9 and “Sales of Common Stock Below Net Asset Value” on page 50 of this prospectus for more information.</w:t>
      </w:r>
    </w:p>
    <w:p>
      <w:pPr>
        <w:spacing w:after="0" w:line="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February 17, 2010 was $10.10 per share and our net asset value on December 31, 2009 was $11.86 per share.</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84">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February 24, 2010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3"/>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3"/>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USE OF PROCEEDS</w:t>
              </w:r>
            </w:hyperlink>
          </w:p>
        </w:tc>
        <w:tc>
          <w:tcPr>
            <w:tcW w:w="82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SELECTED FINANCIAL DATA</w:t>
              </w:r>
            </w:hyperlink>
          </w:p>
        </w:tc>
        <w:tc>
          <w:tcPr>
            <w:tcW w:w="86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PRICE RANGE OF COMMON STOCK</w:t>
              </w:r>
            </w:hyperlink>
          </w:p>
        </w:tc>
        <w:tc>
          <w:tcPr>
            <w:tcW w:w="81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SALES OF COMMON STOCK BELOW NET ASSET VALUE</w:t>
              </w:r>
            </w:hyperlink>
          </w:p>
        </w:tc>
        <w:tc>
          <w:tcPr>
            <w:tcW w:w="65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BUSINESS</w:t>
              </w:r>
            </w:hyperlink>
          </w:p>
        </w:tc>
        <w:tc>
          <w:tcPr>
            <w:tcW w:w="1022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PORTFOLIO COMPANIES</w:t>
              </w:r>
            </w:hyperlink>
          </w:p>
        </w:tc>
        <w:tc>
          <w:tcPr>
            <w:tcW w:w="76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CONTROL PERSONS AND PRINCIPAL STOCKHOLDERS</w:t>
              </w:r>
            </w:hyperlink>
          </w:p>
        </w:tc>
        <w:tc>
          <w:tcPr>
            <w:tcW w:w="66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DIVIDEND REINVESTMENT PLAN</w:t>
              </w:r>
            </w:hyperlink>
          </w:p>
        </w:tc>
        <w:tc>
          <w:tcPr>
            <w:tcW w:w="8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65">
              <w:r>
                <w:rPr>
                  <w:rFonts w:ascii="Arial" w:cs="Arial" w:eastAsia="Arial" w:hAnsi="Arial"/>
                  <w:sz w:val="18"/>
                  <w:szCs w:val="18"/>
                  <w:color w:val="0000EE"/>
                  <w:w w:val="92"/>
                </w:rPr>
                <w:t>DESCRIPTION OF OUR CAPITAL STOCK</w:t>
              </w:r>
            </w:hyperlink>
          </w:p>
        </w:tc>
        <w:tc>
          <w:tcPr>
            <w:tcW w:w="78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OUR WARRANTS</w:t>
              </w:r>
            </w:hyperlink>
          </w:p>
        </w:tc>
        <w:tc>
          <w:tcPr>
            <w:tcW w:w="75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93">
              <w:r>
                <w:rPr>
                  <w:rFonts w:ascii="Arial" w:cs="Arial" w:eastAsia="Arial" w:hAnsi="Arial"/>
                  <w:sz w:val="18"/>
                  <w:szCs w:val="18"/>
                  <w:color w:val="0000EE"/>
                  <w:w w:val="93"/>
                </w:rPr>
                <w:t>BROKERAGE ALLOCATIONS AND OTHER PRACTICES</w:t>
              </w:r>
            </w:hyperlink>
          </w:p>
        </w:tc>
        <w:tc>
          <w:tcPr>
            <w:tcW w:w="66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194">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LEGAL MATTERS</w:t>
              </w:r>
            </w:hyperlink>
          </w:p>
        </w:tc>
        <w:tc>
          <w:tcPr>
            <w:tcW w:w="7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780" w:type="dxa"/>
            <w:vAlign w:val="bottom"/>
            <w:gridSpan w:val="10"/>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02">
              <w:r>
                <w:rPr>
                  <w:rFonts w:ascii="Arial" w:cs="Arial" w:eastAsia="Arial" w:hAnsi="Arial"/>
                  <w:sz w:val="18"/>
                  <w:szCs w:val="18"/>
                  <w:color w:val="0000EE"/>
                  <w:w w:val="95"/>
                </w:rPr>
                <w:t>INDEX TO FINANCIAL STATEMENTS</w:t>
              </w:r>
            </w:hyperlink>
          </w:p>
        </w:tc>
        <w:tc>
          <w:tcPr>
            <w:tcW w:w="80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See “Management,” “Certain Relationships and Transactions—Investment Management Agreement” and “Risk Factors—Risks Relating to our Business and Structure.”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325"/>
        <w:spacing w:after="0" w:line="27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325"/>
        <w:spacing w:after="0" w:line="29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general corporate purposes. Any supplements to this prospectus relating to an offering may more fully identify the use of the proceeds from such offering. See “Use of Proceeds”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on an exchange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“Plan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3.44%</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1.07%</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1.44%</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4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xml:space="preserve">8.31% </w:t>
            </w:r>
            <w:r>
              <w:rPr>
                <w:rFonts w:ascii="Arial" w:cs="Arial" w:eastAsia="Arial" w:hAnsi="Arial"/>
                <w:sz w:val="11"/>
                <w:szCs w:val="11"/>
                <w:color w:val="auto"/>
                <w:w w:val="94"/>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assets attributable to common shares” equals net assets at December 31,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December 31, 2009, we had $54.3 million unused borrowing capacity,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may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and our rate of borrowing and may be substantially higher than the estimate provided in this table. For more information, see “Risk Factors—Risks Relating To Our Business and Structure—We currently use borrowed funds to make investments and are exposed to the typical risks associated with leverage.”</w:t>
      </w:r>
    </w:p>
    <w:p>
      <w:pPr>
        <w:spacing w:after="0" w:line="46" w:lineRule="exact"/>
        <w:rPr>
          <w:sz w:val="20"/>
          <w:szCs w:val="20"/>
          <w:color w:val="auto"/>
        </w:rPr>
      </w:pPr>
    </w:p>
    <w:p>
      <w:pPr>
        <w:ind w:left="460" w:right="12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the Statement of Operations in our financial statements.</w:t>
      </w:r>
    </w:p>
    <w:p>
      <w:pPr>
        <w:spacing w:after="0" w:line="6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4.83% of total assets. For a presentation and calculation of total annual expenses based on total assets, see page 36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5.95%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$ 330</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592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or future market conditions.</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 and may do so again in the future. We cannot assure you that in the event we need to sell our senior secured investments to raise capital, we will be able to do so at prices we deem to be attractive, or at all.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subordinated loans, senior secured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any manager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registered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offset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as a RIC if we recognize income before or without receiving cash representing such income.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within our industry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2009 we had outstanding borrowings of $245.7 million under our credit facility with a weighted average annual interest rate at that time of 1.23% exclusive of the fee on undrawn commitment of 0.20%. Accordingly, to cover the annual interest on our borrowings outstanding at December 31,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December 31, 2009 of 38% of our total assets (including such borrowed funds), at a weighted average rate at the time of 1.23%,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would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the Administrator have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Mezzanine Debt</w:t>
      </w:r>
      <w:r>
        <w:rPr>
          <w:rFonts w:ascii="Arial" w:cs="Arial" w:eastAsia="Arial" w:hAnsi="Arial"/>
          <w:sz w:val="16"/>
          <w:szCs w:val="16"/>
          <w:color w:val="auto"/>
        </w:rPr>
        <w:t>: Our mezzanine debt investments will generally be subordinated to senior secured loans and will generally be unsecured or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secured interest.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We have made and expect to continue to make selected equity investments. In addition, when we invest in mezzanine debt 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7"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80" w:firstLine="456"/>
        <w:spacing w:after="0" w:line="306"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result, such earnings and gains will not be available to fund new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 If we fail to obtain additional capital to fund our investments, this could limit our ability to grow and have an adverse effect on the value of our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 Any supplements to this prospectus relating to an offering may more fully indentify the use of the proceeds from such offering.</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2009, we had $54.3 million unused and $245.7 million in borrowings outstanding under our $300.0 million credit facility. Borrowings under our credit facility bear interest at an annual rate equal to LIBOR + 100 basis points per annum. At December 31, 2009, this corresponded to a weighted average interest rate at that time of 1.23% exclusive of the fee on undrawn commitment of 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for additional information about temporary investments we may make prior to investing in core assets.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Interim results as of and for the three months ended December 31, 2009 are not necessarily indicative of the results that may be expected for the year ending September 30, 2010. This selected financial data should be read in conjunction with our financial statements and related notes thereto and “Management’s Discussion and Analysis of Financial Condition and Results of Operations” and “Regulation—Senior Securities” in this prospectus.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2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2009</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13,599</w:t>
            </w: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39,811</w:t>
            </w:r>
          </w:p>
        </w:tc>
        <w:tc>
          <w:tcPr>
            <w:tcW w:w="82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21,255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74"/>
        </w:trPr>
        <w:tc>
          <w:tcPr>
            <w:tcW w:w="4700" w:type="dxa"/>
            <w:vAlign w:val="bottom"/>
          </w:tcPr>
          <w:p>
            <w:pPr>
              <w:ind w:left="220"/>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513,141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372,148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 xml:space="preserve">Number of portfolio companies (at period end) </w:t>
            </w:r>
            <w:r>
              <w:rPr>
                <w:rFonts w:ascii="Arial" w:cs="Arial" w:eastAsia="Arial" w:hAnsi="Arial"/>
                <w:sz w:val="11"/>
                <w:szCs w:val="11"/>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in this prospectus.</w:t>
      </w:r>
    </w:p>
    <w:p>
      <w:pPr>
        <w:spacing w:after="0" w:line="38"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11,847</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8"/>
              </w:rPr>
              <w:t>$10,770</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5,666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20,162</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8"/>
              </w:rPr>
              <w:t>$ (6,486)</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26,180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(820)</w:t>
            </w:r>
          </w:p>
        </w:tc>
        <w:tc>
          <w:tcPr>
            <w:tcW w:w="900" w:type="dxa"/>
            <w:vAlign w:val="bottom"/>
            <w:gridSpan w:val="6"/>
          </w:tcPr>
          <w:p>
            <w:pPr>
              <w:jc w:val="center"/>
              <w:ind w:left="234"/>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11.72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Q1</w:t>
            </w: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rPr>
              <w:t>$ 11,431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9,004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w w:val="99"/>
              </w:rPr>
              <w:t>$ (16,475)</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$11,263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(37,778)</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40" w:type="dxa"/>
            <w:vAlign w:val="bottom"/>
            <w:gridSpan w:val="6"/>
          </w:tcPr>
          <w:p>
            <w:pPr>
              <w:ind w:left="1600"/>
              <w:spacing w:after="0"/>
              <w:rPr>
                <w:sz w:val="20"/>
                <w:szCs w:val="20"/>
                <w:color w:val="auto"/>
              </w:rPr>
            </w:pPr>
            <w:r>
              <w:rPr>
                <w:rFonts w:ascii="Arial" w:cs="Arial" w:eastAsia="Arial" w:hAnsi="Arial"/>
                <w:sz w:val="18"/>
                <w:szCs w:val="18"/>
                <w:color w:val="auto"/>
                <w:w w:val="99"/>
              </w:rPr>
              <w:t>$ (11,041)</w:t>
            </w:r>
          </w:p>
        </w:tc>
        <w:tc>
          <w:tcPr>
            <w:tcW w:w="2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w w:val="95"/>
              </w:rPr>
              <w:t>$15,204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(33,329)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3"/>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 (18,870)</w:t>
            </w:r>
          </w:p>
        </w:tc>
        <w:tc>
          <w:tcPr>
            <w:tcW w:w="11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Arial" w:cs="Arial" w:eastAsia="Arial" w:hAnsi="Arial"/>
                <w:sz w:val="18"/>
                <w:szCs w:val="18"/>
                <w:color w:val="auto"/>
                <w:w w:val="87"/>
              </w:rPr>
              <w:t>$ (14,522)</w:t>
            </w:r>
          </w:p>
        </w:tc>
        <w:tc>
          <w:tcPr>
            <w:tcW w:w="1100" w:type="dxa"/>
            <w:vAlign w:val="bottom"/>
            <w:gridSpan w:val="7"/>
          </w:tcPr>
          <w:p>
            <w:pPr>
              <w:jc w:val="right"/>
              <w:ind w:right="140"/>
              <w:spacing w:after="0"/>
              <w:rPr>
                <w:sz w:val="20"/>
                <w:szCs w:val="20"/>
                <w:color w:val="auto"/>
              </w:rPr>
            </w:pPr>
            <w:r>
              <w:rPr>
                <w:rFonts w:ascii="Arial" w:cs="Arial" w:eastAsia="Arial" w:hAnsi="Arial"/>
                <w:sz w:val="18"/>
                <w:szCs w:val="18"/>
                <w:color w:val="auto"/>
              </w:rPr>
              <w:t>$(1,944)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mezzanine debt and senior secured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2.00%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520" w:type="dxa"/>
            <w:vAlign w:val="bottom"/>
            <w:gridSpan w:val="3"/>
          </w:tcPr>
          <w:p>
            <w:pPr>
              <w:ind w:left="2920"/>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0.62%</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9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0.84%</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2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50"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41"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2009, we had $54.3 million unused,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37"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our “Statement of Operations”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References to the Accounting Standards Codification, or ASC, serve as a single source of accounting literature and are not intended to change accounting literature. The preparation of these financial statements requires management to make estimates and assumptions that affect the reported amounts of assets, liabilities,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(formerly SFAS 157), which clarifies the definition of fair value and requires companies to expand their disclosure about the use of fair value to measure assets and liabilities in interim and annual periods subsequent to initial recognition. ASC 820 requires the use of the price that would be received to sell an asset or paid to transfer a liability in an orderly transaction between market participants at the measurement date. ASC 820 is effective for our fiscal year beginning October 1, 2008 and interim financial statements issued within our fiscal year ending September 30, 2009. ASC 820 did not affect our financial position or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ASC 820-10-35-51A (formerly FASB Staff Position No. 157-4). ASC 820-10-35-51A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34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ASC 825 (formerly SFAS 159), that permits an entity to choose to measure many financial instruments and certain other items at fair value. ASC 825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reporting entities and contains financial statement presentation and disclosure requirements for assets and liabilities reported at fair value as a consequence of the election. We adopted ASC 825 on October 1, 2008 and PennantPark Investment has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 to any other financial assets or liabilities. On December 31, 2009 and September 30, 2009, net unrealized depreciation on our long-term credit facility totaled $43.8 and $49.6 million, respectively, which included the cumulative effect of adoption of ASC 825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2009, our portfolio totaled $513.1 million and consisted of $176.8 million of subordinated debt, $147.1 million of second lien secured debt, $160.7 million of senior secured loans, and $28.5 million of preferred and common equity investments. Our core assets totaled $478.2 million and consisted of investments in thirty-five different companies with an average investment size of $13.7 million per company and a weighted average yield of 12.2% on debt investments. Our non-core senior secured loan portfolio totaled $34.9 million and consisted of nine different companies with an average investment size of $3.9 million, and a weighted average yield of 2.7% on debt investments. Our debt portfolio consisted of 61% fixed-rate (including 18% with a LIBOR floor) and 39% in variable-rate investments. Overall, the portfolio had an unrealized depreciation of $3.6 million as of December 31, 2009. 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$78.8 million of senior secured loans, and $22.9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million of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long-term investments for the three months ended December 31, 2009 totaled $16.8 million.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December 31, 2008, we invested approximately $0.8 million in two existing portfolio companies. Sales and repayments of long term investments for the three months ended December 31, 2008 totaled $2.3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Expenses for the three month period ended December 31, 2008, totaled $ 6.3 million. Base management fee for the same period totaled $ 1.8 million, performance-based incentive fee totaled $ 1.4 million, credit facility related expense totaled $ 1.8 million and general and administrative expenses totaled $ 1.2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investment income totaled $7.2 million, or $0.28 per share, for the three month period ended December 31, 2009, and $5.8 million, or $0.27 per share, for the three month period ended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(Appreciation) Depreciation Credit Facility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from Operations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and 2008, and for the period from January 11, 2007 (inception) to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$7.2 million from subordinated debt investments, $14.7 million from second lien secured debt investments, and $16.2 from senior secured loan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Cash Equivalents and Credit Facility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credit facility totaled $7.8 million for the fiscal year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December 31, 2009, we had outstanding borrowings of $245.7 million with a fair value of $201.9 million and a weighted average interest rate at that time of 1.23% exclusive of the fee on undrawn commitment of 0.20%.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facility’s availability depends on various covenants and restrictions as discussed in the preceding paragraph. The primary uses of existing funds and any funds raised in the future is expected to be for the repayment of indebtedness, investments in portfolio companies, cash distributions to our shareholders or for other general corporate purposes.</w:t>
      </w:r>
    </w:p>
    <w:p>
      <w:pPr>
        <w:spacing w:after="0" w:line="11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PennantPark Investment’s liquidity and capital resources are also generated and available from cash flows from operations, including investment sales and repayments, and income earned. On February 2, 2010, our stockholders approved a proposal that authorizes us to sell shares of our common stock below the then current net asset value per share of our common stock in one or more offerings for a period of 12 months. On September 29, 2009, we sold shares of our common stock below the then current net asset value per share of common stock also with stockholder approval we previously received August 29, 2009. Any decisions to sell shares below the then current net assets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15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2"/>
              </w:rPr>
              <w:t>Payments due by period (millions)</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$245.7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$ 245.7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December 31, 2009, $54.3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renewed in February 2010, PennantPark Investment Advisers serves as our investment adviser in accordance with our Investment Management Agreement. Payments under our Investment Management Agreement in each reporting period are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do not engage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three months ended December 31, 2009, we have elected to retain a portion of our calendar year income and record an excise tax of $0.1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December 31, 2009 and 2008, we declared distributions of $0.25 and $0.24 per share, respectively, for total distributions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$6.5 million and $5.1 million, respectively. During the fiscal years ended September 30, 2009 and 2008, and for the period from January 11, 2007 (inception)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September 30, 2007, we paid to stockholders distributions of $0.96, $0.90 and $0.36 per share, respectively, for a total distribution of $20.2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and $7.6 million, respectively. We monitor available net investment income to determine if a tax return of capital may occur for the fiscal year.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our taxable earnings fall below the total amount of our distributions for any given fiscal year, a portion of those distributions may be deemed to be a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of capital to our common stockholders. Tax characteristics of all distributions will be reported to stockholders on Form 1099-DIV after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calendar year.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Payable April 1, 2010 to stockholders of record as of March 25, 2010.</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5"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our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December 31, 2009 and September 30, 2009, 2008 and 2007. The information for September 30, 2009, 2008 and 2007 presented below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6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66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Outstanding</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5"/>
                <w:szCs w:val="15"/>
                <w:color w:val="auto"/>
              </w:rPr>
            </w:pPr>
          </w:p>
        </w:tc>
        <w:tc>
          <w:tcPr>
            <w:tcW w:w="130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20"/>
                <w:szCs w:val="20"/>
                <w:b w:val="1"/>
                <w:bCs w:val="1"/>
                <w:color w:val="auto"/>
                <w:w w:val="94"/>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December 31, 2009, unaudited)</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245,700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2,043</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28,039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17, 2010, the last reported closing price of our common stock was $10.10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3"/>
              </w:rPr>
              <w:t>Closing Sales Price</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6"/>
                <w:szCs w:val="6"/>
                <w:color w:val="auto"/>
              </w:rPr>
            </w:pPr>
          </w:p>
        </w:tc>
        <w:tc>
          <w:tcPr>
            <w:tcW w:w="70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gridSpan w:val="2"/>
            <w:vMerge w:val="restart"/>
          </w:tcPr>
          <w:p>
            <w:pPr>
              <w:ind w:left="40"/>
              <w:spacing w:after="0" w:line="197"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60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 (through February 17, 2010)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 N/A</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$ 8.88</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90" w:lineRule="exact"/>
        <w:rPr>
          <w:sz w:val="20"/>
          <w:szCs w:val="20"/>
          <w:color w:val="auto"/>
        </w:rPr>
      </w:pPr>
    </w:p>
    <w:p>
      <w:pPr>
        <w:ind w:left="460" w:hanging="36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 a variety of factors, including:</w:t>
      </w:r>
    </w:p>
    <w:p>
      <w:pPr>
        <w:spacing w:after="0" w:line="35" w:lineRule="exact"/>
        <w:rPr>
          <w:sz w:val="20"/>
          <w:szCs w:val="20"/>
          <w:color w:val="auto"/>
        </w:rPr>
      </w:pPr>
    </w:p>
    <w:p>
      <w:pPr>
        <w:ind w:left="9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potential investment opportunities available relative to the potential dilutive effect of additional capital at the time of the projected offering.</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or are unable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(17.00)%</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w w:val="97"/>
              </w:rPr>
              <w:t>(assumed to be $10.00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Investment per share held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stockholder A (assumed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$10.00 per share on shares held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Dilution per share held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(NAV per share less investment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5"/>
              </w:rPr>
              <w:t>Total investment by stockholder A(assumed to be $10.00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A (total NAV 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A (NAV per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100" w:firstLine="8"/>
        <w:spacing w:after="0" w:line="254"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5,025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(NAV per share less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8"/>
              </w:rPr>
              <w:t>Percentage dilution to stockholder A (dilution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w w:val="96"/>
              </w:rPr>
              <w:t>per share divided by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We also must annually distribute dividends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least 90% of the sum of our ordinary income and realized net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such event, the consequences of our retention of net capital gains are as described under “Material U.S. Federal Income Tax Considerations.”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1940 Act. In addition, for tax purposes we have elected to be treated as a RIC, under the Code.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certain subordinated debt, second lien secured debt,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23 years of experience in the mezzanine lending, leveraged finance,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 During Mr. Penn’s tenure with Apollo Investment, it invested approximately $2.8 billion in 73 companies in partnership with 54 different financial sponsors.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his more than 23-year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Mr. Giannetti previously served as Partner in the private equity firm of Wilton Ivy Partners from 2004 to 2007. Prior to joining Wilton Ivy Partners, he was a Managing Director at UBS Securities LLC in its Financial Sponsors and Leveraged Finance Group from 2000 to 2001. Mr. Williams was an officer at UBS Securities LLC from 1996 to 2007, most recently as a Managing Director in its Financial Sponsors and Leveraged Finance Group. Mr. Briones was a Partner of Apollo Investment Management from 2006 to 2008. Prior to joining Apollo, he was a Managing Director in the Financial Sponsors and Leveraged Finance Group at UBS Securities LLC from 2001 to 2006.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500" w:hanging="325"/>
        <w:spacing w:after="0" w:line="27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private equity firms will continue to be active investors in middle-market companies. 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6" w:lineRule="exact"/>
        <w:rPr>
          <w:sz w:val="20"/>
          <w:szCs w:val="20"/>
          <w:color w:val="auto"/>
        </w:rPr>
      </w:pPr>
    </w:p>
    <w:p>
      <w:pPr>
        <w:ind w:left="900" w:right="60" w:hanging="325"/>
        <w:spacing w:after="0" w:line="301"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June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 under our credit facility is set at 100 basis points over LIBOR. We believe that our debt capital resources will provide us with the flexibility to take advantage of market opportunities when they arise.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efficiently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conduct a rigorous due diligence process that is applied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Giannetti, Williams and Briones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mezzanine debt investments and senior secured loan,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80" w:right="140" w:hanging="567"/>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280" w:hanging="567"/>
        <w:spacing w:after="0" w:line="298" w:lineRule="auto"/>
        <w:tabs>
          <w:tab w:leader="none" w:pos="1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do not currently have any employees. Mr. Penn is our Chief Executive Officer. Our Investment Adviser currently has four senior investment professionals, Messrs. Penn, Giannetti, Williams and Briones. In addition, Mr. Efrat is our Chief Financial Officer and Treasurer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investments and senior secured loans to U.S. middle-market companies in a variety of industries. We generally seek to target companies that generate positive cash flows from the broad variety of industries in which our Investment Adviser has direct expertise. The following is a sample list of the industries in which we have invested:</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Aerospace and Defense</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89"/>
              </w:rPr>
              <w:t>•  Healthcare, Education and Childcare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Business Services</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99"/>
              </w:rPr>
              <w:t>•  Hotels, Motels, Inns and Gaming</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Chemicals, Plastics and Rubber</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Consumer Products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Education</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Energy/Utilities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Transportation</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Environmental Services</w:t>
            </w:r>
          </w:p>
        </w:tc>
        <w:tc>
          <w:tcPr>
            <w:tcW w:w="17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gridSpan w:val="5"/>
          </w:tcPr>
          <w:p>
            <w:pPr>
              <w:jc w:val="center"/>
              <w:ind w:left="293"/>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i2 Holdings, LTD.</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Brand Energy and Infrastructure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i2 Holdings, LTD.</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20"/>
              <w:spacing w:after="0"/>
              <w:rPr>
                <w:sz w:val="20"/>
                <w:szCs w:val="20"/>
                <w:color w:val="auto"/>
              </w:rPr>
            </w:pPr>
            <w:r>
              <w:rPr>
                <w:rFonts w:ascii="Arial" w:cs="Arial" w:eastAsia="Arial" w:hAnsi="Arial"/>
                <w:sz w:val="18"/>
                <w:szCs w:val="18"/>
                <w:color w:val="auto"/>
              </w:rPr>
              <w:t>Services, Inc</w:t>
            </w: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 Acquisition Sub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 Technologies</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Trizetto Group,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Saint Acquisition Corp.</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UP Acquisition Sub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Affinion Group Holding,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Trizetto Group,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Lyondell Chemical Co.</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Sheridan Holdings,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Lyondell Chemical Co.</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Specialized Technology Resources,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0"/>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3940" w:type="dxa"/>
            <w:vAlign w:val="bottom"/>
            <w:gridSpan w:val="2"/>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340" w:type="dxa"/>
            <w:vAlign w:val="bottom"/>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Chemicals, Plastics and Rubber</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Aerospace and Defense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Healthcare, Education and Childcare</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Energy/Utilities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31, 2009, our portfolio consisted of forty-four companies and was invested 35% in subordinated debt, 29% in second lien secured debt, 31% in senior secured loans, and 5% in preferred and common equity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December 31,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December 31, 2009 financial statements included elsewhere in this prospectus.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25% or more of the outstanding voting securities of such portfolio company and, therefore, are presumed to be controlled by us under the 1940 Act; “companies owned 5% to 25%”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December 31,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84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53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None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w:t>
            </w:r>
          </w:p>
        </w:tc>
        <w:tc>
          <w:tcPr>
            <w:tcW w:w="230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Second Lien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6.3%</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Secured Debt, 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QUILEX</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IVERSIFIED</w:t>
            </w:r>
            <w:r>
              <w:rPr>
                <w:rFonts w:ascii="Arial" w:cs="Arial" w:eastAsia="Arial" w:hAnsi="Arial"/>
                <w:sz w:val="18"/>
                <w:szCs w:val="18"/>
                <w:color w:val="auto"/>
                <w:w w:val="99"/>
              </w:rPr>
              <w:t xml:space="preserve"> / C</w:t>
            </w:r>
            <w:r>
              <w:rPr>
                <w:rFonts w:ascii="Arial" w:cs="Arial" w:eastAsia="Arial" w:hAnsi="Arial"/>
                <w:sz w:val="14"/>
                <w:szCs w:val="14"/>
                <w:color w:val="auto"/>
                <w:w w:val="99"/>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3344 P</w:t>
            </w:r>
            <w:r>
              <w:rPr>
                <w:rFonts w:ascii="Arial" w:cs="Arial" w:eastAsia="Arial" w:hAnsi="Arial"/>
                <w:sz w:val="14"/>
                <w:szCs w:val="14"/>
                <w:color w:val="auto"/>
              </w:rPr>
              <w:t>EACHTREE</w:t>
            </w:r>
            <w:r>
              <w:rPr>
                <w:rFonts w:ascii="Arial" w:cs="Arial" w:eastAsia="Arial" w:hAnsi="Arial"/>
                <w:sz w:val="18"/>
                <w:szCs w:val="18"/>
                <w:color w:val="auto"/>
              </w:rPr>
              <w:t xml:space="preserve"> R</w:t>
            </w:r>
            <w:r>
              <w:rPr>
                <w:rFonts w:ascii="Arial" w:cs="Arial" w:eastAsia="Arial" w:hAnsi="Arial"/>
                <w:sz w:val="14"/>
                <w:szCs w:val="14"/>
                <w:color w:val="auto"/>
              </w:rPr>
              <w:t>OADS</w:t>
            </w:r>
            <w:r>
              <w:rPr>
                <w:rFonts w:ascii="Arial" w:cs="Arial" w:eastAsia="Arial" w:hAnsi="Arial"/>
                <w:sz w:val="18"/>
                <w:szCs w:val="18"/>
                <w:color w:val="auto"/>
              </w:rPr>
              <w:t xml:space="preserve"> N</w:t>
            </w:r>
            <w:r>
              <w:rPr>
                <w:rFonts w:ascii="Arial" w:cs="Arial" w:eastAsia="Arial" w:hAnsi="Arial"/>
                <w:sz w:val="14"/>
                <w:szCs w:val="14"/>
                <w:color w:val="auto"/>
              </w:rPr>
              <w:t>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2100</w:t>
            </w:r>
          </w:p>
        </w:tc>
        <w:tc>
          <w:tcPr>
            <w:tcW w:w="23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TLANTA</w:t>
            </w:r>
            <w:r>
              <w:rPr>
                <w:rFonts w:ascii="Arial" w:cs="Arial" w:eastAsia="Arial" w:hAnsi="Arial"/>
                <w:sz w:val="18"/>
                <w:szCs w:val="18"/>
                <w:color w:val="auto"/>
              </w:rPr>
              <w:t>, GA 30326</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179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EVA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PLC</w:t>
            </w:r>
          </w:p>
        </w:tc>
        <w:tc>
          <w:tcPr>
            <w:tcW w:w="2740" w:type="dxa"/>
            <w:vAlign w:val="bottom"/>
          </w:tcPr>
          <w:p>
            <w:pPr>
              <w:spacing w:after="0"/>
              <w:rPr>
                <w:sz w:val="17"/>
                <w:szCs w:val="17"/>
                <w:color w:val="auto"/>
              </w:rPr>
            </w:pP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OGISTICS</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25 S</w:t>
            </w:r>
            <w:r>
              <w:rPr>
                <w:rFonts w:ascii="Arial" w:cs="Arial" w:eastAsia="Arial" w:hAnsi="Arial"/>
                <w:sz w:val="14"/>
                <w:szCs w:val="14"/>
                <w:color w:val="auto"/>
              </w:rPr>
              <w:t>T</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r>
              <w:rPr>
                <w:rFonts w:ascii="Arial" w:cs="Arial" w:eastAsia="Arial" w:hAnsi="Arial"/>
                <w:sz w:val="18"/>
                <w:szCs w:val="18"/>
                <w:color w:val="auto"/>
              </w:rPr>
              <w:t xml:space="preserve"> W1</w:t>
            </w:r>
            <w:r>
              <w:rPr>
                <w:rFonts w:ascii="Arial" w:cs="Arial" w:eastAsia="Arial" w:hAnsi="Arial"/>
                <w:sz w:val="14"/>
                <w:szCs w:val="14"/>
                <w:color w:val="auto"/>
              </w:rPr>
              <w:t>S</w:t>
            </w:r>
            <w:r>
              <w:rPr>
                <w:rFonts w:ascii="Arial" w:cs="Arial" w:eastAsia="Arial" w:hAnsi="Arial"/>
                <w:sz w:val="18"/>
                <w:szCs w:val="18"/>
                <w:color w:val="auto"/>
              </w:rPr>
              <w:t xml:space="preserve"> 1</w:t>
            </w:r>
            <w:r>
              <w:rPr>
                <w:rFonts w:ascii="Arial" w:cs="Arial" w:eastAsia="Arial" w:hAnsi="Arial"/>
                <w:sz w:val="14"/>
                <w:szCs w:val="14"/>
                <w:color w:val="auto"/>
              </w:rPr>
              <w:t>FS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xml:space="preserve"> D</w:t>
            </w:r>
            <w:r>
              <w:rPr>
                <w:rFonts w:ascii="Arial" w:cs="Arial" w:eastAsia="Arial" w:hAnsi="Arial"/>
                <w:sz w:val="14"/>
                <w:szCs w:val="14"/>
                <w:color w:val="auto"/>
              </w:rPr>
              <w:t>OWNSAND</w:t>
            </w:r>
            <w:r>
              <w:rPr>
                <w:rFonts w:ascii="Arial" w:cs="Arial" w:eastAsia="Arial" w:hAnsi="Arial"/>
                <w:sz w:val="18"/>
                <w:szCs w:val="18"/>
                <w:color w:val="auto"/>
              </w:rPr>
              <w:t xml:space="preserve"> M</w:t>
            </w:r>
            <w:r>
              <w:rPr>
                <w:rFonts w:ascii="Arial" w:cs="Arial" w:eastAsia="Arial" w:hAnsi="Arial"/>
                <w:sz w:val="14"/>
                <w:szCs w:val="14"/>
                <w:color w:val="auto"/>
              </w:rPr>
              <w:t>ARINA</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OTELS</w:t>
            </w:r>
            <w:r>
              <w:rPr>
                <w:rFonts w:ascii="Arial" w:cs="Arial" w:eastAsia="Arial" w:hAnsi="Arial"/>
                <w:sz w:val="18"/>
                <w:szCs w:val="18"/>
                <w:color w:val="auto"/>
                <w:w w:val="97"/>
              </w:rPr>
              <w:t>, M</w:t>
            </w:r>
            <w:r>
              <w:rPr>
                <w:rFonts w:ascii="Arial" w:cs="Arial" w:eastAsia="Arial" w:hAnsi="Arial"/>
                <w:sz w:val="14"/>
                <w:szCs w:val="14"/>
                <w:color w:val="auto"/>
                <w:w w:val="97"/>
              </w:rPr>
              <w:t>OTELS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777 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NNS</w:t>
            </w:r>
            <w:r>
              <w:rPr>
                <w:rFonts w:ascii="Arial" w:cs="Arial" w:eastAsia="Arial" w:hAnsi="Arial"/>
                <w:sz w:val="18"/>
                <w:szCs w:val="18"/>
                <w:color w:val="auto"/>
              </w:rPr>
              <w:t xml:space="preserve"> &amp; G</w:t>
            </w:r>
            <w:r>
              <w:rPr>
                <w:rFonts w:ascii="Arial" w:cs="Arial" w:eastAsia="Arial" w:hAnsi="Arial"/>
                <w:sz w:val="14"/>
                <w:szCs w:val="14"/>
                <w:color w:val="auto"/>
              </w:rPr>
              <w:t>AMING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PA 19103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OLUMBUS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OMMUNICATION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205-207 D</w:t>
            </w:r>
            <w:r>
              <w:rPr>
                <w:rFonts w:ascii="Arial" w:cs="Arial" w:eastAsia="Arial" w:hAnsi="Arial"/>
                <w:sz w:val="14"/>
                <w:szCs w:val="14"/>
                <w:color w:val="auto"/>
              </w:rPr>
              <w:t>OWELL</w:t>
            </w:r>
            <w:r>
              <w:rPr>
                <w:rFonts w:ascii="Arial" w:cs="Arial" w:eastAsia="Arial" w:hAnsi="Arial"/>
                <w:sz w:val="18"/>
                <w:szCs w:val="18"/>
                <w:color w:val="auto"/>
              </w:rPr>
              <w:t xml:space="preserve"> H</w:t>
            </w:r>
            <w:r>
              <w:rPr>
                <w:rFonts w:ascii="Arial" w:cs="Arial" w:eastAsia="Arial" w:hAnsi="Arial"/>
                <w:sz w:val="14"/>
                <w:szCs w:val="14"/>
                <w:color w:val="auto"/>
              </w:rPr>
              <w:t>OUSE</w:t>
            </w:r>
            <w:r>
              <w:rPr>
                <w:rFonts w:ascii="Arial" w:cs="Arial" w:eastAsia="Arial" w:hAnsi="Arial"/>
                <w:sz w:val="18"/>
                <w:szCs w:val="18"/>
                <w:color w:val="auto"/>
              </w:rPr>
              <w:t xml:space="preserve"> C</w:t>
            </w:r>
            <w:r>
              <w:rPr>
                <w:rFonts w:ascii="Arial" w:cs="Arial" w:eastAsia="Arial" w:hAnsi="Arial"/>
                <w:sz w:val="14"/>
                <w:szCs w:val="14"/>
                <w:color w:val="auto"/>
              </w:rPr>
              <w:t>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OEBUCK</w:t>
            </w:r>
            <w:r>
              <w:rPr>
                <w:rFonts w:ascii="Arial" w:cs="Arial" w:eastAsia="Arial" w:hAnsi="Arial"/>
                <w:sz w:val="18"/>
                <w:szCs w:val="18"/>
                <w:color w:val="auto"/>
              </w:rPr>
              <w:t xml:space="preserve"> &amp; P</w:t>
            </w:r>
            <w:r>
              <w:rPr>
                <w:rFonts w:ascii="Arial" w:cs="Arial" w:eastAsia="Arial" w:hAnsi="Arial"/>
                <w:sz w:val="14"/>
                <w:szCs w:val="14"/>
                <w:color w:val="auto"/>
              </w:rPr>
              <w:t>ALMETTO</w:t>
            </w:r>
            <w:r>
              <w:rPr>
                <w:rFonts w:ascii="Arial" w:cs="Arial" w:eastAsia="Arial" w:hAnsi="Arial"/>
                <w:sz w:val="18"/>
                <w:szCs w:val="18"/>
                <w:color w:val="auto"/>
              </w:rPr>
              <w:t xml:space="preserve"> S</w:t>
            </w:r>
            <w:r>
              <w:rPr>
                <w:rFonts w:ascii="Arial" w:cs="Arial" w:eastAsia="Arial" w:hAnsi="Arial"/>
                <w:sz w:val="14"/>
                <w:szCs w:val="14"/>
                <w:color w:val="auto"/>
              </w:rPr>
              <w:t>TS</w:t>
            </w:r>
            <w:r>
              <w:rPr>
                <w:rFonts w:ascii="Arial" w:cs="Arial" w:eastAsia="Arial" w:hAnsi="Arial"/>
                <w:sz w:val="18"/>
                <w:szCs w:val="18"/>
                <w:color w:val="auto"/>
              </w:rPr>
              <w:t>. B</w:t>
            </w:r>
            <w:r>
              <w:rPr>
                <w:rFonts w:ascii="Arial" w:cs="Arial" w:eastAsia="Arial" w:hAnsi="Arial"/>
                <w:sz w:val="14"/>
                <w:szCs w:val="14"/>
                <w:color w:val="auto"/>
              </w:rPr>
              <w:t>RIDGETOWN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ARBADOS</w:t>
            </w:r>
            <w:r>
              <w:rPr>
                <w:rFonts w:ascii="Arial" w:cs="Arial" w:eastAsia="Arial" w:hAnsi="Arial"/>
                <w:sz w:val="18"/>
                <w:szCs w:val="18"/>
                <w:color w:val="auto"/>
              </w:rPr>
              <w:t>, W</w:t>
            </w:r>
            <w:r>
              <w:rPr>
                <w:rFonts w:ascii="Arial" w:cs="Arial" w:eastAsia="Arial" w:hAnsi="Arial"/>
                <w:sz w:val="14"/>
                <w:szCs w:val="14"/>
                <w:color w:val="auto"/>
              </w:rPr>
              <w:t>EST</w:t>
            </w:r>
            <w:r>
              <w:rPr>
                <w:rFonts w:ascii="Arial" w:cs="Arial" w:eastAsia="Arial" w:hAnsi="Arial"/>
                <w:sz w:val="18"/>
                <w:szCs w:val="18"/>
                <w:color w:val="auto"/>
              </w:rPr>
              <w:t xml:space="preserve"> I</w:t>
            </w:r>
            <w:r>
              <w:rPr>
                <w:rFonts w:ascii="Arial" w:cs="Arial" w:eastAsia="Arial" w:hAnsi="Arial"/>
                <w:sz w:val="14"/>
                <w:szCs w:val="14"/>
                <w:color w:val="auto"/>
              </w:rPr>
              <w:t>NDIES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10.7%</w:t>
            </w:r>
            <w:r>
              <w:rPr>
                <w:rFonts w:ascii="Arial" w:cs="Arial" w:eastAsia="Arial" w:hAnsi="Arial"/>
                <w:sz w:val="11"/>
                <w:szCs w:val="11"/>
                <w:color w:val="auto"/>
                <w:w w:val="89"/>
              </w:rPr>
              <w:t>(2)</w:t>
            </w: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LTD.</w:t>
            </w:r>
          </w:p>
        </w:tc>
        <w:tc>
          <w:tcPr>
            <w:tcW w:w="240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NVIROSOLUTIONS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NVIRONMENTAL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AIRWAY</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ROCERY</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line="217" w:lineRule="exact"/>
              <w:rPr>
                <w:sz w:val="20"/>
                <w:szCs w:val="20"/>
                <w:color w:val="auto"/>
              </w:rPr>
            </w:pPr>
            <w:r>
              <w:rPr>
                <w:rFonts w:ascii="Arial" w:cs="Arial" w:eastAsia="Arial" w:hAnsi="Arial"/>
                <w:sz w:val="18"/>
                <w:szCs w:val="18"/>
                <w:color w:val="auto"/>
              </w:rPr>
              <w:t>2284 12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10027</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1.9%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300</w:t>
            </w:r>
            <w:r>
              <w:rPr>
                <w:rFonts w:ascii="Arial" w:cs="Arial" w:eastAsia="Arial" w:hAnsi="Arial"/>
                <w:sz w:val="14"/>
                <w:szCs w:val="14"/>
                <w:color w:val="auto"/>
              </w:rPr>
              <w: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t>
            </w:r>
            <w:r>
              <w:rPr>
                <w:rFonts w:ascii="Arial" w:cs="Arial" w:eastAsia="Arial" w:hAnsi="Arial"/>
                <w:sz w:val="14"/>
                <w:szCs w:val="14"/>
                <w:color w:val="auto"/>
              </w:rPr>
              <w:t>WOOD</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t>
            </w:r>
            <w:r>
              <w:rPr>
                <w:rFonts w:ascii="Arial" w:cs="Arial" w:eastAsia="Arial" w:hAnsi="Arial"/>
                <w:sz w:val="14"/>
                <w:szCs w:val="14"/>
                <w:color w:val="auto"/>
              </w:rPr>
              <w:t>W</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600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04"/>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EADWATERS</w:t>
            </w:r>
            <w:r>
              <w:rPr>
                <w:rFonts w:ascii="Arial" w:cs="Arial" w:eastAsia="Arial" w:hAnsi="Arial"/>
                <w:sz w:val="18"/>
                <w:szCs w:val="18"/>
                <w:color w:val="auto"/>
              </w:rPr>
              <w:t xml:space="preserve"> I</w:t>
            </w:r>
            <w:r>
              <w:rPr>
                <w:rFonts w:ascii="Arial" w:cs="Arial" w:eastAsia="Arial" w:hAnsi="Arial"/>
                <w:sz w:val="14"/>
                <w:szCs w:val="14"/>
                <w:color w:val="auto"/>
              </w:rPr>
              <w:t>NCORPORATED</w:t>
            </w:r>
          </w:p>
        </w:tc>
        <w:tc>
          <w:tcPr>
            <w:tcW w:w="24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IVERSIFIED</w:t>
            </w:r>
            <w:r>
              <w:rPr>
                <w:rFonts w:ascii="Arial" w:cs="Arial" w:eastAsia="Arial" w:hAnsi="Arial"/>
                <w:sz w:val="18"/>
                <w:szCs w:val="18"/>
                <w:color w:val="auto"/>
              </w:rPr>
              <w:t xml:space="preserve"> / C</w:t>
            </w:r>
            <w:r>
              <w:rPr>
                <w:rFonts w:ascii="Arial" w:cs="Arial" w:eastAsia="Arial" w:hAnsi="Arial"/>
                <w:sz w:val="14"/>
                <w:szCs w:val="14"/>
                <w:color w:val="auto"/>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10653 S</w:t>
            </w:r>
            <w:r>
              <w:rPr>
                <w:rFonts w:ascii="Arial" w:cs="Arial" w:eastAsia="Arial" w:hAnsi="Arial"/>
                <w:sz w:val="14"/>
                <w:szCs w:val="14"/>
                <w:color w:val="auto"/>
              </w:rPr>
              <w:t>OUTH</w:t>
            </w:r>
            <w:r>
              <w:rPr>
                <w:rFonts w:ascii="Arial" w:cs="Arial" w:eastAsia="Arial" w:hAnsi="Arial"/>
                <w:sz w:val="18"/>
                <w:szCs w:val="18"/>
                <w:color w:val="auto"/>
              </w:rPr>
              <w:t xml:space="preserve"> R</w:t>
            </w:r>
            <w:r>
              <w:rPr>
                <w:rFonts w:ascii="Arial" w:cs="Arial" w:eastAsia="Arial" w:hAnsi="Arial"/>
                <w:sz w:val="14"/>
                <w:szCs w:val="14"/>
                <w:color w:val="auto"/>
              </w:rPr>
              <w:t>IVER</w:t>
            </w:r>
            <w:r>
              <w:rPr>
                <w:rFonts w:ascii="Arial" w:cs="Arial" w:eastAsia="Arial" w:hAnsi="Arial"/>
                <w:sz w:val="18"/>
                <w:szCs w:val="18"/>
                <w:color w:val="auto"/>
              </w:rPr>
              <w:t xml:space="preserve"> F</w:t>
            </w:r>
            <w:r>
              <w:rPr>
                <w:rFonts w:ascii="Arial" w:cs="Arial" w:eastAsia="Arial" w:hAnsi="Arial"/>
                <w:sz w:val="14"/>
                <w:szCs w:val="14"/>
                <w:color w:val="auto"/>
              </w:rPr>
              <w:t>RONT</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J</w:t>
            </w:r>
            <w:r>
              <w:rPr>
                <w:rFonts w:ascii="Arial" w:cs="Arial" w:eastAsia="Arial" w:hAnsi="Arial"/>
                <w:sz w:val="14"/>
                <w:szCs w:val="14"/>
                <w:color w:val="auto"/>
              </w:rPr>
              <w:t>ORDAN</w:t>
            </w:r>
            <w:r>
              <w:rPr>
                <w:rFonts w:ascii="Arial" w:cs="Arial" w:eastAsia="Arial" w:hAnsi="Arial"/>
                <w:sz w:val="18"/>
                <w:szCs w:val="18"/>
                <w:color w:val="auto"/>
              </w:rPr>
              <w:t>, U</w:t>
            </w:r>
            <w:r>
              <w:rPr>
                <w:rFonts w:ascii="Arial" w:cs="Arial" w:eastAsia="Arial" w:hAnsi="Arial"/>
                <w:sz w:val="14"/>
                <w:szCs w:val="14"/>
                <w:color w:val="auto"/>
              </w:rPr>
              <w:t>TAH</w:t>
            </w:r>
            <w:r>
              <w:rPr>
                <w:rFonts w:ascii="Arial" w:cs="Arial" w:eastAsia="Arial" w:hAnsi="Arial"/>
                <w:sz w:val="18"/>
                <w:szCs w:val="18"/>
                <w:color w:val="auto"/>
              </w:rPr>
              <w:t xml:space="preserve"> 84095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0" w:type="dxa"/>
            <w:vAlign w:val="bottom"/>
          </w:tcPr>
          <w:p>
            <w:pPr>
              <w:jc w:val="right"/>
              <w:ind w:right="17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5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6.4%</w:t>
            </w:r>
            <w:r>
              <w:rPr>
                <w:rFonts w:ascii="Arial" w:cs="Arial" w:eastAsia="Arial" w:hAnsi="Arial"/>
                <w:sz w:val="11"/>
                <w:szCs w:val="11"/>
                <w:color w:val="auto"/>
                <w:w w:val="91"/>
              </w:rPr>
              <w:t>(2)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r>
              <w:rPr>
                <w:rFonts w:ascii="Arial" w:cs="Arial" w:eastAsia="Arial" w:hAnsi="Arial"/>
                <w:sz w:val="18"/>
                <w:szCs w:val="18"/>
                <w:color w:val="auto"/>
              </w:rPr>
              <w:t xml:space="preserve"> C</w:t>
            </w:r>
            <w:r>
              <w:rPr>
                <w:rFonts w:ascii="Arial" w:cs="Arial" w:eastAsia="Arial" w:hAnsi="Arial"/>
                <w:sz w:val="14"/>
                <w:szCs w:val="14"/>
                <w:color w:val="auto"/>
              </w:rPr>
              <w:t>AMBRIDGESHIRE</w:t>
            </w:r>
            <w:r>
              <w:rPr>
                <w:rFonts w:ascii="Arial" w:cs="Arial" w:eastAsia="Arial" w:hAnsi="Arial"/>
                <w:sz w:val="18"/>
                <w:szCs w:val="18"/>
                <w:color w:val="auto"/>
              </w:rPr>
              <w:t>, CB215</w:t>
            </w:r>
            <w:r>
              <w:rPr>
                <w:rFonts w:ascii="Arial" w:cs="Arial" w:eastAsia="Arial" w:hAnsi="Arial"/>
                <w:sz w:val="14"/>
                <w:szCs w:val="14"/>
                <w:color w:val="auto"/>
              </w:rPr>
              <w:t>XH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r>
              <w:rPr>
                <w:rFonts w:ascii="Arial" w:cs="Arial" w:eastAsia="Arial" w:hAnsi="Arial"/>
                <w:sz w:val="14"/>
                <w:szCs w:val="14"/>
                <w:color w:val="auto"/>
              </w:rPr>
              <w:t>WEST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 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HEMICALS</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&amp; R</w:t>
            </w:r>
            <w:r>
              <w:rPr>
                <w:rFonts w:ascii="Arial" w:cs="Arial" w:eastAsia="Arial" w:hAnsi="Arial"/>
                <w:sz w:val="14"/>
                <w:szCs w:val="14"/>
                <w:color w:val="auto"/>
                <w:w w:val="99"/>
              </w:rPr>
              <w:t>UBBER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YONDELLBASELL</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1221 M</w:t>
            </w:r>
            <w:r>
              <w:rPr>
                <w:rFonts w:ascii="Arial" w:cs="Arial" w:eastAsia="Arial" w:hAnsi="Arial"/>
                <w:sz w:val="14"/>
                <w:szCs w:val="14"/>
                <w:color w:val="auto"/>
              </w:rPr>
              <w:t>CKINNEY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OHEGAN</w:t>
            </w:r>
            <w:r>
              <w:rPr>
                <w:rFonts w:ascii="Arial" w:cs="Arial" w:eastAsia="Arial" w:hAnsi="Arial"/>
                <w:sz w:val="18"/>
                <w:szCs w:val="18"/>
                <w:color w:val="auto"/>
              </w:rPr>
              <w:t xml:space="preserve"> T</w:t>
            </w:r>
            <w:r>
              <w:rPr>
                <w:rFonts w:ascii="Arial" w:cs="Arial" w:eastAsia="Arial" w:hAnsi="Arial"/>
                <w:sz w:val="14"/>
                <w:szCs w:val="14"/>
                <w:color w:val="auto"/>
              </w:rPr>
              <w:t>RIBAL</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A</w:t>
            </w:r>
            <w:r>
              <w:rPr>
                <w:rFonts w:ascii="Arial" w:cs="Arial" w:eastAsia="Arial" w:hAnsi="Arial"/>
                <w:sz w:val="14"/>
                <w:szCs w:val="14"/>
                <w:color w:val="auto"/>
              </w:rPr>
              <w:t>UTHORITY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M</w:t>
            </w:r>
            <w:r>
              <w:rPr>
                <w:rFonts w:ascii="Arial" w:cs="Arial" w:eastAsia="Arial" w:hAnsi="Arial"/>
                <w:sz w:val="14"/>
                <w:szCs w:val="14"/>
                <w:color w:val="auto"/>
              </w:rPr>
              <w:t>OHEGAN</w:t>
            </w:r>
            <w:r>
              <w:rPr>
                <w:rFonts w:ascii="Arial" w:cs="Arial" w:eastAsia="Arial" w:hAnsi="Arial"/>
                <w:sz w:val="18"/>
                <w:szCs w:val="18"/>
                <w:color w:val="auto"/>
              </w:rPr>
              <w:t xml:space="preserve"> S</w:t>
            </w:r>
            <w:r>
              <w:rPr>
                <w:rFonts w:ascii="Arial" w:cs="Arial" w:eastAsia="Arial" w:hAnsi="Arial"/>
                <w:sz w:val="14"/>
                <w:szCs w:val="14"/>
                <w:color w:val="auto"/>
              </w:rPr>
              <w:t>UN</w:t>
            </w:r>
            <w:r>
              <w:rPr>
                <w:rFonts w:ascii="Arial" w:cs="Arial" w:eastAsia="Arial" w:hAnsi="Arial"/>
                <w:sz w:val="18"/>
                <w:szCs w:val="18"/>
                <w:color w:val="auto"/>
              </w:rPr>
              <w:t xml:space="preserve"> B</w:t>
            </w:r>
            <w:r>
              <w:rPr>
                <w:rFonts w:ascii="Arial" w:cs="Arial" w:eastAsia="Arial" w:hAnsi="Arial"/>
                <w:sz w:val="14"/>
                <w:szCs w:val="14"/>
                <w:color w:val="auto"/>
              </w:rPr>
              <w:t>OULEVARD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NCASVILLE</w:t>
            </w:r>
            <w:r>
              <w:rPr>
                <w:rFonts w:ascii="Arial" w:cs="Arial" w:eastAsia="Arial" w:hAnsi="Arial"/>
                <w:sz w:val="18"/>
                <w:szCs w:val="18"/>
                <w:color w:val="auto"/>
              </w:rPr>
              <w:t>, CT 06382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MG</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4.9%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FORMERLY</w:t>
            </w:r>
            <w:r>
              <w:rPr>
                <w:rFonts w:ascii="Arial" w:cs="Arial" w:eastAsia="Arial" w:hAnsi="Arial"/>
                <w:sz w:val="18"/>
                <w:szCs w:val="18"/>
                <w:color w:val="auto"/>
              </w:rPr>
              <w:t xml:space="preserve"> 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jc w:val="right"/>
              <w:ind w:right="177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4"/>
                <w:szCs w:val="14"/>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33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UGARHOUSE</w:t>
            </w:r>
            <w:r>
              <w:rPr>
                <w:rFonts w:ascii="Arial" w:cs="Arial" w:eastAsia="Arial" w:hAnsi="Arial"/>
                <w:sz w:val="18"/>
                <w:szCs w:val="18"/>
                <w:color w:val="auto"/>
              </w:rPr>
              <w:t xml:space="preserve"> H</w:t>
            </w:r>
            <w:r>
              <w:rPr>
                <w:rFonts w:ascii="Arial" w:cs="Arial" w:eastAsia="Arial" w:hAnsi="Arial"/>
                <w:sz w:val="14"/>
                <w:szCs w:val="14"/>
                <w:color w:val="auto"/>
              </w:rPr>
              <w:t>SP</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P</w:t>
            </w:r>
            <w:r>
              <w:rPr>
                <w:rFonts w:ascii="Arial" w:cs="Arial" w:eastAsia="Arial" w:hAnsi="Arial"/>
                <w:sz w:val="14"/>
                <w:szCs w:val="14"/>
                <w:color w:val="auto"/>
              </w:rPr>
              <w:t>ROP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1080</w:t>
            </w:r>
            <w:r>
              <w:rPr>
                <w:rFonts w:ascii="Arial" w:cs="Arial" w:eastAsia="Arial" w:hAnsi="Arial"/>
                <w:sz w:val="14"/>
                <w:szCs w:val="14"/>
                <w:color w:val="auto"/>
              </w:rPr>
              <w:t>N</w:t>
            </w:r>
            <w:r>
              <w:rPr>
                <w:rFonts w:ascii="Arial" w:cs="Arial" w:eastAsia="Arial" w:hAnsi="Arial"/>
                <w:sz w:val="18"/>
                <w:szCs w:val="18"/>
                <w:color w:val="auto"/>
              </w:rPr>
              <w:t>. D</w:t>
            </w:r>
            <w:r>
              <w:rPr>
                <w:rFonts w:ascii="Arial" w:cs="Arial" w:eastAsia="Arial" w:hAnsi="Arial"/>
                <w:sz w:val="14"/>
                <w:szCs w:val="14"/>
                <w:color w:val="auto"/>
              </w:rPr>
              <w:t>ELAWARE</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HILADELPHIA</w:t>
            </w:r>
            <w:r>
              <w:rPr>
                <w:rFonts w:ascii="Arial" w:cs="Arial" w:eastAsia="Arial" w:hAnsi="Arial"/>
                <w:sz w:val="18"/>
                <w:szCs w:val="18"/>
                <w:color w:val="auto"/>
              </w:rPr>
              <w:t>, P</w:t>
            </w:r>
            <w:r>
              <w:rPr>
                <w:rFonts w:ascii="Arial" w:cs="Arial" w:eastAsia="Arial" w:hAnsi="Arial"/>
                <w:sz w:val="14"/>
                <w:szCs w:val="14"/>
                <w:color w:val="auto"/>
              </w:rPr>
              <w:t>ENNSYLVANIA</w:t>
            </w:r>
            <w:r>
              <w:rPr>
                <w:rFonts w:ascii="Arial" w:cs="Arial" w:eastAsia="Arial" w:hAnsi="Arial"/>
                <w:sz w:val="18"/>
                <w:szCs w:val="18"/>
                <w:color w:val="auto"/>
              </w:rPr>
              <w:t xml:space="preserve"> 19125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RAK</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Warrants</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3.5%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1001 B</w:t>
            </w:r>
            <w:r>
              <w:rPr>
                <w:rFonts w:ascii="Arial" w:cs="Arial" w:eastAsia="Arial" w:hAnsi="Arial"/>
                <w:sz w:val="14"/>
                <w:szCs w:val="14"/>
                <w:color w:val="auto"/>
              </w:rPr>
              <w:t>RICKELL</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xml:space="preserve"> 27</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IAMI</w:t>
            </w:r>
            <w:r>
              <w:rPr>
                <w:rFonts w:ascii="Arial" w:cs="Arial" w:eastAsia="Arial" w:hAnsi="Arial"/>
                <w:sz w:val="18"/>
                <w:szCs w:val="18"/>
                <w:color w:val="auto"/>
              </w:rPr>
              <w:t>, FL 33131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INANCIAL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RIZETTO</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1.30%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U.S. X</w:t>
            </w:r>
            <w:r>
              <w:rPr>
                <w:rFonts w:ascii="Arial" w:cs="Arial" w:eastAsia="Arial" w:hAnsi="Arial"/>
                <w:sz w:val="14"/>
                <w:szCs w:val="14"/>
                <w:color w:val="auto"/>
              </w:rPr>
              <w:t>PRESS</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4080 J</w:t>
            </w:r>
            <w:r>
              <w:rPr>
                <w:rFonts w:ascii="Arial" w:cs="Arial" w:eastAsia="Arial" w:hAnsi="Arial"/>
                <w:sz w:val="14"/>
                <w:szCs w:val="14"/>
                <w:color w:val="auto"/>
              </w:rPr>
              <w:t>ENKINS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HATTANOOGA</w:t>
            </w:r>
            <w:r>
              <w:rPr>
                <w:rFonts w:ascii="Arial" w:cs="Arial" w:eastAsia="Arial" w:hAnsi="Arial"/>
                <w:sz w:val="18"/>
                <w:szCs w:val="18"/>
                <w:color w:val="auto"/>
              </w:rPr>
              <w:t>, TN 37421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1.05%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CO. 80202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C</w:t>
            </w:r>
            <w:r>
              <w:rPr>
                <w:rFonts w:ascii="Arial" w:cs="Arial" w:eastAsia="Arial" w:hAnsi="Arial"/>
                <w:sz w:val="14"/>
                <w:szCs w:val="14"/>
                <w:color w:val="auto"/>
              </w:rPr>
              <w:t>OLOR</w:t>
            </w:r>
            <w:r>
              <w:rPr>
                <w:rFonts w:ascii="Arial" w:cs="Arial" w:eastAsia="Arial" w:hAnsi="Arial"/>
                <w:sz w:val="18"/>
                <w:szCs w:val="18"/>
                <w:color w:val="auto"/>
              </w:rPr>
              <w:t xml:space="preserve"> P</w:t>
            </w:r>
            <w:r>
              <w:rPr>
                <w:rFonts w:ascii="Arial" w:cs="Arial" w:eastAsia="Arial" w:hAnsi="Arial"/>
                <w:sz w:val="14"/>
                <w:szCs w:val="14"/>
                <w:color w:val="auto"/>
              </w:rPr>
              <w:t>RESS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999 D</w:t>
            </w:r>
            <w:r>
              <w:rPr>
                <w:rFonts w:ascii="Arial" w:cs="Arial" w:eastAsia="Arial" w:hAnsi="Arial"/>
                <w:sz w:val="14"/>
                <w:szCs w:val="14"/>
                <w:color w:val="auto"/>
              </w:rPr>
              <w:t>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r>
              <w:rPr>
                <w:rFonts w:ascii="Arial" w:cs="Arial" w:eastAsia="Arial" w:hAnsi="Arial"/>
                <w:sz w:val="18"/>
                <w:szCs w:val="18"/>
                <w:color w:val="auto"/>
              </w:rPr>
              <w:t xml:space="preserve"> C</w:t>
            </w:r>
            <w:r>
              <w:rPr>
                <w:rFonts w:ascii="Arial" w:cs="Arial" w:eastAsia="Arial" w:hAnsi="Arial"/>
                <w:sz w:val="14"/>
                <w:szCs w:val="14"/>
                <w:color w:val="auto"/>
              </w:rPr>
              <w:t>ANADA</w:t>
            </w:r>
            <w:r>
              <w:rPr>
                <w:rFonts w:ascii="Arial" w:cs="Arial" w:eastAsia="Arial" w:hAnsi="Arial"/>
                <w:sz w:val="18"/>
                <w:szCs w:val="18"/>
                <w:color w:val="auto"/>
              </w:rPr>
              <w:t xml:space="preserve"> H3</w:t>
            </w:r>
            <w:r>
              <w:rPr>
                <w:rFonts w:ascii="Arial" w:cs="Arial" w:eastAsia="Arial" w:hAnsi="Arial"/>
                <w:sz w:val="14"/>
                <w:szCs w:val="14"/>
                <w:color w:val="auto"/>
              </w:rPr>
              <w:t>A</w:t>
            </w:r>
            <w:r>
              <w:rPr>
                <w:rFonts w:ascii="Arial" w:cs="Arial" w:eastAsia="Arial" w:hAnsi="Arial"/>
                <w:sz w:val="18"/>
                <w:szCs w:val="18"/>
                <w:color w:val="auto"/>
              </w:rPr>
              <w:t xml:space="preserve"> 3</w:t>
            </w:r>
            <w:r>
              <w:rPr>
                <w:rFonts w:ascii="Arial" w:cs="Arial" w:eastAsia="Arial" w:hAnsi="Arial"/>
                <w:sz w:val="14"/>
                <w:szCs w:val="14"/>
                <w:color w:val="auto"/>
              </w:rPr>
              <w:t>L</w:t>
            </w:r>
            <w:r>
              <w:rPr>
                <w:rFonts w:ascii="Arial" w:cs="Arial" w:eastAsia="Arial" w:hAnsi="Arial"/>
                <w:sz w:val="18"/>
                <w:szCs w:val="18"/>
                <w:color w:val="auto"/>
              </w:rPr>
              <w:t>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jc w:val="right"/>
              <w:ind w:right="179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2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Pr>
          <w:p>
            <w:pPr>
              <w:spacing w:after="0" w:line="201"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xml:space="preserve"> R</w:t>
            </w:r>
            <w:r>
              <w:rPr>
                <w:rFonts w:ascii="Arial" w:cs="Arial" w:eastAsia="Arial" w:hAnsi="Arial"/>
                <w:sz w:val="14"/>
                <w:szCs w:val="14"/>
                <w:color w:val="auto"/>
              </w:rPr>
              <w:t>ACING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17"/>
                <w:szCs w:val="17"/>
                <w:color w:val="auto"/>
              </w:rPr>
            </w:pPr>
          </w:p>
        </w:tc>
        <w:tc>
          <w:tcPr>
            <w:tcW w:w="238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810 Y</w:t>
            </w:r>
            <w:r>
              <w:rPr>
                <w:rFonts w:ascii="Arial" w:cs="Arial" w:eastAsia="Arial" w:hAnsi="Arial"/>
                <w:sz w:val="14"/>
                <w:szCs w:val="14"/>
                <w:color w:val="auto"/>
              </w:rPr>
              <w:t>ONKERS</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18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NY 10704</w:t>
            </w:r>
          </w:p>
        </w:tc>
        <w:tc>
          <w:tcPr>
            <w:tcW w:w="18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Percentage of class held represents less than 5% of the voting rights of securities.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December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describes the portfolio by industry classification and enumerates the percentage, by fair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vMerge w:val="restart"/>
          </w:tcPr>
          <w:p>
            <w:pPr>
              <w:jc w:val="right"/>
              <w:ind w:right="2473"/>
              <w:spacing w:after="0"/>
              <w:rPr>
                <w:sz w:val="20"/>
                <w:szCs w:val="20"/>
                <w:color w:val="auto"/>
              </w:rPr>
            </w:pPr>
            <w:r>
              <w:rPr>
                <w:rFonts w:ascii="Arial" w:cs="Arial" w:eastAsia="Arial" w:hAnsi="Arial"/>
                <w:sz w:val="18"/>
                <w:szCs w:val="18"/>
                <w:color w:val="auto"/>
              </w:rPr>
              <w:t>73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2010</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2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140" w:type="dxa"/>
            <w:vAlign w:val="bottom"/>
          </w:tcPr>
          <w:p>
            <w:pPr>
              <w:spacing w:after="0"/>
              <w:rPr>
                <w:sz w:val="20"/>
                <w:szCs w:val="20"/>
                <w:color w:val="auto"/>
              </w:rPr>
            </w:pPr>
            <w:r>
              <w:rPr>
                <w:rFonts w:ascii="Arial" w:cs="Arial" w:eastAsia="Arial" w:hAnsi="Arial"/>
                <w:sz w:val="18"/>
                <w:szCs w:val="18"/>
                <w:color w:val="auto"/>
                <w:w w:val="85"/>
              </w:rPr>
              <w:t>Financial Officer and Treasurer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340" w:type="dxa"/>
            <w:vAlign w:val="bottom"/>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F. Talarico</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5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6"/>
              </w:rPr>
              <w:t>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Jeffrey Flug (47),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L. Katz (44),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Guy F. Talarico (54)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2009, we held six board meetings, four Audit Committee meetings and two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www.pennantpark.com</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0"/>
              </w:rPr>
              <w:t>Pension or</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retirement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benefits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5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accrued as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part of</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PennantPark</w:t>
            </w:r>
          </w:p>
        </w:tc>
        <w:tc>
          <w:tcPr>
            <w:tcW w:w="5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our</w:t>
            </w:r>
          </w:p>
        </w:tc>
        <w:tc>
          <w:tcPr>
            <w:tcW w:w="5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director /</w:t>
            </w:r>
          </w:p>
        </w:tc>
        <w:tc>
          <w:tcPr>
            <w:tcW w:w="0" w:type="dxa"/>
            <w:vAlign w:val="bottom"/>
          </w:tcPr>
          <w:p>
            <w:pPr>
              <w:spacing w:after="0"/>
              <w:rPr>
                <w:sz w:val="1"/>
                <w:szCs w:val="1"/>
                <w:color w:val="auto"/>
              </w:rPr>
            </w:pPr>
          </w:p>
        </w:tc>
      </w:tr>
      <w:tr>
        <w:trPr>
          <w:trHeight w:val="176"/>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5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Independent director receives an annual fee of $75,000 for services performed on behalf of the PennantPark Investment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2010,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sets forth, as of February 1, 2010,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1,600,691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4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2,827,541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90,561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81,712</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436,625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734,153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0" w:lineRule="exact"/>
        <w:rPr>
          <w:sz w:val="20"/>
          <w:szCs w:val="20"/>
          <w:color w:val="auto"/>
        </w:rPr>
      </w:pPr>
    </w:p>
    <w:p>
      <w:pPr>
        <w:ind w:left="460" w:hanging="408"/>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Directors, Officers and Portfolio Managers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officers and portfolio managers as of February 1, 2010.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 Investment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 Investment</w:t>
            </w:r>
            <w:r>
              <w:rPr>
                <w:rFonts w:ascii="Arial" w:cs="Arial" w:eastAsia="Arial" w:hAnsi="Arial"/>
                <w:sz w:val="22"/>
                <w:szCs w:val="22"/>
                <w:b w:val="1"/>
                <w:bCs w:val="1"/>
                <w:color w:val="auto"/>
                <w:w w:val="87"/>
                <w:vertAlign w:val="superscript"/>
              </w:rPr>
              <w:t>(1)</w:t>
            </w:r>
          </w:p>
        </w:tc>
      </w:tr>
      <w:tr>
        <w:trPr>
          <w:trHeight w:val="201"/>
        </w:trPr>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7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Jose A. Briones</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“average adjusted gross assets”, if any).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2009 and 2008, the Investment Adviser earned a base management fees of $2.5 million and $1.8 million respectively. For the fiscal years ended September 30, 2009 and 2008, and for the period from January 11, 2007 (inception) through September 30, 2007, the Investment Adviser earned base management fees, after fee waiver, of $7.7 million, $6.7 million and $1.9 million,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160" w:firstLine="8"/>
        <w:spacing w:after="0" w:line="292"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58420</wp:posOffset>
            </wp:positionV>
            <wp:extent cx="2255520" cy="428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55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2009 and 2008, the Investment Adviser earned an incentive fee of $1.8 million and $1.4 million respectively, from us. For the fiscal years ended September 30, 2009 and 2008, the Investment Adviser earned an incentive fee of $5.7 million and $3.8 million, respectively, from us. For the period from April 24, 2007 (initial public offering) through September 30, 2007, the Investment Adviser did not receive an incentive fee from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240" w:top="459" w:right="7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61"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PennantPark Investment Advisers is a registered investment adviser under the Advisers Act of 1940. The principal executive office of PennantPark Investment Advisers is located at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For the three months ended December 31, 2009 and 2008, the Investment Adviser was reimbursed $0.3 million and $0.3 million, respectively, by PennantPark Investment, including expenses it incurred on behalf of the Administrator, for services described above. For the fiscal years ended September 30, 2009 and 2008, and for the period from January 11, 2007 (inception) through September 30, 2007, the Investment Adviser was reimbursed $1.7 million, $2.0 million and $0.5 million, respectively, by PennantPark Investment, including expenses it incurred on behalf of the Administrator for the services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460" w:right="10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For more information, see “Sales Of Common Stock Below Net Asset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60" w:right="2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31,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February 17, 2010 was $10.10 per share. As of December 31, 2009, we had 16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25,808,772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which eliminates directors’ and officers’ liability to the maximum extent permitted by Maryland law, subject to the requirements of the 1940 Act.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9"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101"/>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ind w:left="920" w:right="60" w:firstLine="421"/>
        <w:spacing w:after="0" w:line="259" w:lineRule="auto"/>
        <w:tabs>
          <w:tab w:leader="none" w:pos="157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the us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460" w:right="12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significant managerial assistance. However, if a business development company purchases such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See “Material U.S. Federal Income Tax Considerations—Election to be Taxed as a RIC.”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joint code’s requirements. Our joint code of ethics is available, free of charge, on our website at www.pennantpark.com.You may read and copy the joint code of ethics at the SEC’s Public Reference Room in Washington, D.C. You may obtain information on the operation of the Public Reference Room by calling the SEC at (202) 551-8090. In addition, the joint code of ethics is referenced as an exhibit to this registration statement and is available on the EDGAR Database on the SEC’s Internet site at http://</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the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You may obtain information about how we voted proxies by making a written request for proxy voting information to: Aviv Efrat, Chief Financial Officer and Treasurer,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privacy policy is available, free of charge, on our website at www.pennantpark.com. In addition, the privacy policy is available on the EDGAR Database on the SEC’s Internet site at www.sec.gov. You may also obtain copies of our privacy policy, after paying a duplicating fee, by electronic request at the following Email address: publicinfo@sec.gov, or by writing the SEC’s Public Reference Section, 100 F Street, N.E., 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meet the Annual Distribution Requirement. Although not required for us to maintain our RIC tax status, in order to preclude the imposition of a 4% nondeductible federal excise tax imposed on RICs, we may make distributions to satisfy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8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03">
              <w:r>
                <w:rPr>
                  <w:rFonts w:ascii="Arial" w:cs="Arial" w:eastAsia="Arial" w:hAnsi="Arial"/>
                  <w:sz w:val="18"/>
                  <w:szCs w:val="18"/>
                  <w:color w:val="0000EE"/>
                  <w:w w:val="89"/>
                </w:rPr>
                <w:t>Management’s Report on Internal Control over Financial Reporting</w:t>
              </w:r>
            </w:hyperlink>
          </w:p>
        </w:tc>
        <w:tc>
          <w:tcPr>
            <w:tcW w:w="61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Report of Independent Registered Public Accounting Firm On Internal Control Over Financial Reporting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5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206">
              <w:r>
                <w:rPr>
                  <w:rFonts w:ascii="Arial" w:cs="Arial" w:eastAsia="Arial" w:hAnsi="Arial"/>
                  <w:sz w:val="18"/>
                  <w:szCs w:val="18"/>
                  <w:color w:val="0000EE"/>
                  <w:w w:val="87"/>
                </w:rPr>
                <w:t>Statements of Assets and Liabilities as of September 30, 2009 and 2008</w:t>
              </w:r>
            </w:hyperlink>
          </w:p>
        </w:tc>
        <w:tc>
          <w:tcPr>
            <w:tcW w:w="2320" w:type="dxa"/>
            <w:vAlign w:val="bottom"/>
            <w:tcBorders>
              <w:top w:val="single" w:sz="8" w:color="0000EE"/>
            </w:tcBorders>
            <w:gridSpan w:val="7"/>
          </w:tcPr>
          <w:p>
            <w:pPr>
              <w:spacing w:after="0"/>
              <w:rPr>
                <w:sz w:val="24"/>
                <w:szCs w:val="24"/>
                <w:color w:val="auto"/>
              </w:rPr>
            </w:pPr>
          </w:p>
        </w:tc>
        <w:tc>
          <w:tcPr>
            <w:tcW w:w="35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207">
              <w:r>
                <w:rPr>
                  <w:rFonts w:ascii="Arial" w:cs="Arial" w:eastAsia="Arial" w:hAnsi="Arial"/>
                  <w:sz w:val="18"/>
                  <w:szCs w:val="18"/>
                  <w:color w:val="0000EE"/>
                  <w:w w:val="87"/>
                </w:rPr>
                <w:t>Statements of Operations for the years ended September 30, 2009, 2008 and Consolidated Statement of Operations for the period from January 11,</w:t>
              </w:r>
            </w:hyperlink>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07">
              <w:r>
                <w:rPr>
                  <w:rFonts w:ascii="Arial" w:cs="Arial" w:eastAsia="Arial" w:hAnsi="Arial"/>
                  <w:sz w:val="18"/>
                  <w:szCs w:val="18"/>
                  <w:color w:val="0000EE"/>
                  <w:w w:val="88"/>
                </w:rPr>
                <w:t>2007 (inception) through September 30, 2007</w:t>
              </w:r>
            </w:hyperlink>
          </w:p>
        </w:tc>
        <w:tc>
          <w:tcPr>
            <w:tcW w:w="74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10900" w:type="dxa"/>
            <w:vAlign w:val="bottom"/>
            <w:gridSpan w:val="20"/>
          </w:tcPr>
          <w:p>
            <w:pPr>
              <w:spacing w:after="0"/>
              <w:rPr>
                <w:rFonts w:ascii="Arial" w:cs="Arial" w:eastAsia="Arial" w:hAnsi="Arial"/>
                <w:sz w:val="18"/>
                <w:szCs w:val="18"/>
                <w:color w:val="0000EE"/>
                <w:w w:val="88"/>
              </w:rPr>
            </w:pPr>
            <w:hyperlink w:anchor="page208">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from January 11, 2007 (inception) through September 30, 2007</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Statements of Cash Flows for the years ended September 30, 2009, 2008 and Consolidated Statement of Cash Flows for the period from January 11,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09">
              <w:r>
                <w:rPr>
                  <w:rFonts w:ascii="Arial" w:cs="Arial" w:eastAsia="Arial" w:hAnsi="Arial"/>
                  <w:sz w:val="18"/>
                  <w:szCs w:val="18"/>
                  <w:color w:val="0000EE"/>
                  <w:w w:val="88"/>
                </w:rPr>
                <w:t>2007 (inception) through September 30, 2007</w:t>
              </w:r>
            </w:hyperlink>
          </w:p>
        </w:tc>
        <w:tc>
          <w:tcPr>
            <w:tcW w:w="702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Schedules of Investments as of September 30, 2009 and September 30,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2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16">
              <w:r>
                <w:rPr>
                  <w:rFonts w:ascii="Arial" w:cs="Arial" w:eastAsia="Arial" w:hAnsi="Arial"/>
                  <w:sz w:val="18"/>
                  <w:szCs w:val="18"/>
                  <w:color w:val="0000EE"/>
                  <w:w w:val="87"/>
                </w:rPr>
                <w:t>Notes to Financial Statements</w:t>
              </w:r>
            </w:hyperlink>
          </w:p>
        </w:tc>
        <w:tc>
          <w:tcPr>
            <w:tcW w:w="3260" w:type="dxa"/>
            <w:vAlign w:val="bottom"/>
            <w:tcBorders>
              <w:top w:val="single" w:sz="8" w:color="0000EE"/>
            </w:tcBorders>
            <w:gridSpan w:val="6"/>
          </w:tcPr>
          <w:p>
            <w:pPr>
              <w:spacing w:after="0"/>
              <w:rPr>
                <w:sz w:val="24"/>
                <w:szCs w:val="24"/>
                <w:color w:val="auto"/>
              </w:rPr>
            </w:pPr>
          </w:p>
        </w:tc>
        <w:tc>
          <w:tcPr>
            <w:tcW w:w="55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43"/>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Interim Financial Statements</w:t>
            </w:r>
          </w:p>
        </w:tc>
        <w:tc>
          <w:tcPr>
            <w:tcW w:w="520" w:type="dxa"/>
            <w:vAlign w:val="bottom"/>
          </w:tcPr>
          <w:p>
            <w:pPr>
              <w:spacing w:after="0"/>
              <w:rPr>
                <w:sz w:val="24"/>
                <w:szCs w:val="24"/>
                <w:color w:val="auto"/>
              </w:rPr>
            </w:pPr>
          </w:p>
        </w:tc>
      </w:tr>
      <w:tr>
        <w:trPr>
          <w:trHeight w:val="286"/>
        </w:trPr>
        <w:tc>
          <w:tcPr>
            <w:tcW w:w="10900" w:type="dxa"/>
            <w:vAlign w:val="bottom"/>
            <w:gridSpan w:val="20"/>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232">
              <w:r>
                <w:rPr>
                  <w:rFonts w:ascii="Arial" w:cs="Arial" w:eastAsia="Arial" w:hAnsi="Arial"/>
                  <w:sz w:val="18"/>
                  <w:szCs w:val="18"/>
                  <w:color w:val="0000EE"/>
                  <w:w w:val="87"/>
                </w:rPr>
                <w:t>Statements of Assets and Liabilities as of December 31, 2009 (unaudited) and September 30, 2009</w:t>
              </w:r>
            </w:hyperlink>
          </w:p>
        </w:tc>
        <w:tc>
          <w:tcPr>
            <w:tcW w:w="39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6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233">
              <w:r>
                <w:rPr>
                  <w:rFonts w:ascii="Arial" w:cs="Arial" w:eastAsia="Arial" w:hAnsi="Arial"/>
                  <w:sz w:val="18"/>
                  <w:szCs w:val="18"/>
                  <w:color w:val="0000EE"/>
                  <w:w w:val="87"/>
                </w:rPr>
                <w:t>Statements of Operations for the three months ended December 31, 2009 and 2008 (unaudited)</w:t>
              </w:r>
            </w:hyperlink>
          </w:p>
        </w:tc>
        <w:tc>
          <w:tcPr>
            <w:tcW w:w="42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66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Statements of Changes in Net Assets for the three months ended December 31, 2009 and 2008</w:t>
              </w:r>
            </w:hyperlink>
          </w:p>
        </w:tc>
        <w:tc>
          <w:tcPr>
            <w:tcW w:w="42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(unaudited)</w:t>
              </w:r>
            </w:hyperlink>
          </w:p>
        </w:tc>
        <w:tc>
          <w:tcPr>
            <w:tcW w:w="98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304"/>
        </w:trPr>
        <w:tc>
          <w:tcPr>
            <w:tcW w:w="67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235">
              <w:r>
                <w:rPr>
                  <w:rFonts w:ascii="Arial" w:cs="Arial" w:eastAsia="Arial" w:hAnsi="Arial"/>
                  <w:sz w:val="18"/>
                  <w:szCs w:val="18"/>
                  <w:color w:val="0000EE"/>
                  <w:w w:val="87"/>
                </w:rPr>
                <w:t>Statements of Cash Flows for the three months ended December 31, 2009 and 2008 (unaudited)</w:t>
              </w:r>
            </w:hyperlink>
          </w:p>
        </w:tc>
        <w:tc>
          <w:tcPr>
            <w:tcW w:w="41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Schedules of Investments as of December 31, 2009 (unaudited) and September 30, 2009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04"/>
        </w:trPr>
        <w:tc>
          <w:tcPr>
            <w:tcW w:w="6200" w:type="dxa"/>
            <w:vAlign w:val="bottom"/>
            <w:tcBorders>
              <w:top w:val="single" w:sz="8" w:color="0000EE"/>
            </w:tcBorders>
            <w:gridSpan w:val="11"/>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Notes to Financial Statements</w:t>
              </w:r>
            </w:hyperlink>
          </w:p>
        </w:tc>
        <w:tc>
          <w:tcPr>
            <w:tcW w:w="47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jc w:val="center"/>
              <w:ind w:right="484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audited the accompanying statements of assets and liabilities of PennantPark Investment Corporation (the “Company”) as of September 30, 2009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2008, including the schedules of investments, and the related statements of operations, changes in net assets, and cash flows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2008 and for the period from January 11, 2007 (inception) through September 30, 2007. These financial statements are the responsibility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Our responsibility is to express an opinion on these financial statements based on our audits.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18, 2009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Registration Statement—Management’s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 at fair value (cost—$479,909,805 and $427,481,745, 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453,644,335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354,261,950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16,115,738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17,885,870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469,760,073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33,247,666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5,539,056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19,489,525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Unfunded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(fair value: $175,475,380 and $160,204,000, respectively, and cost: $225,100,000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$202,000,000, respectively), (See Notes 5 and 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175,475,380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2,220,110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1,508,164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211,801,101</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and 25,368,772 and 21,068,772 shares issued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and outstanding,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327,062,304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1,890,235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(50,494,447)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(27,527,813)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41,796,000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7,828,620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38,149,813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12,013,028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45,118,771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13,107,341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6,308,933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21,254,958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22,718,915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(39,243,879)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46,954,325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(49,052,812)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(2,455,952)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52,326,993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(48,104,208)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(23,921,978)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Net realized and unrealized gain (loss) from investments, cash equivalents and credit facility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13,083,114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(59,258,943)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(24,003,747)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18,556,004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(39,243,879)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(11,154,735)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Net change in unrealized (appreciation) depreciation on investments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(48,104,208)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35,802,029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(40,702,939)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dividends and distributions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32,480,000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294,666,159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48,056,008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(59,664,834)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270,393,094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Adjusted beginning of period balance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252,524,260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210,728,260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at period end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1,890,235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(40,702,939)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reconcile net increase (decrease) in net assets resulting from operations to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w w:val="96"/>
              </w:rPr>
              <w:t>Net change in net unrealized (appreciation) depreciation on investments and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(44,498,373)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(112,693,490)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(206,790,979)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258,912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19,489,525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(16,583,921)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(3,989,948)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2,134,214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1,385,131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555,556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(42,355,514)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(390,748,539)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34,400,000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(20,226,021)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(18,961,895)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(146,500,000)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(269,040,000)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35,353,979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173,038,105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(217,710,434)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6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2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Companies—150.9%</w:t>
            </w:r>
            <w:r>
              <w:rPr>
                <w:rFonts w:ascii="Arial" w:cs="Arial" w:eastAsia="Arial" w:hAnsi="Arial"/>
                <w:sz w:val="16"/>
                <w:szCs w:val="16"/>
                <w:b w:val="1"/>
                <w:bCs w:val="1"/>
                <w:color w:val="auto"/>
                <w:vertAlign w:val="superscript"/>
              </w:rPr>
              <w:t>(1),(2)</w:t>
            </w: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03/01/2012</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03/22/2014</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vMerge w:val="continue"/>
            <w:shd w:val="clear" w:color="auto" w:fill="CCEEFF"/>
          </w:tcPr>
          <w:p>
            <w:pPr>
              <w:spacing w:after="0"/>
              <w:rPr>
                <w:sz w:val="13"/>
                <w:szCs w:val="13"/>
                <w:color w:val="auto"/>
              </w:rPr>
            </w:pPr>
          </w:p>
        </w:tc>
        <w:tc>
          <w:tcPr>
            <w:tcW w:w="10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20,311,603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06/06/2014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05/20/2012</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13.75%</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12/28/2015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04/15/2015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10/01/2016</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02/08/2015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6.36%</w:t>
            </w:r>
          </w:p>
        </w:tc>
        <w:tc>
          <w:tcPr>
            <w:tcW w:w="106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13,600,000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7.44%</w:t>
            </w:r>
          </w:p>
        </w:tc>
        <w:tc>
          <w:tcPr>
            <w:tcW w:w="106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11,735,965</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11,364,000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04/30/2015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7.78%</w:t>
            </w:r>
          </w:p>
        </w:tc>
        <w:tc>
          <w:tcPr>
            <w:tcW w:w="106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03/01/2014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60" w:type="dxa"/>
            <w:vAlign w:val="bottom"/>
            <w:gridSpan w:val="2"/>
          </w:tcPr>
          <w:p>
            <w:pPr>
              <w:ind w:left="3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11/04/2014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L+650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10/15/2017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05/15/2015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8.19%</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106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12/15/2014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10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L+675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949,648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Basis Point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86"/>
              </w:rPr>
              <w:t>Current</w:t>
            </w: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11/06/2018</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03/04/2015</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05/28/2013</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2.57%</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07/31/2016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12.38%</w:t>
            </w:r>
          </w:p>
        </w:tc>
        <w:tc>
          <w:tcPr>
            <w:tcW w:w="10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10,000,000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07/07/2012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04/15/2014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2.88%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02/07/2014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2.53%</w:t>
            </w:r>
          </w:p>
        </w:tc>
        <w:tc>
          <w:tcPr>
            <w:tcW w:w="10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 and</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Durable Consumer Products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L+475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12,668,615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80" w:type="dxa"/>
            <w:vAlign w:val="bottom"/>
          </w:tcPr>
          <w:p>
            <w:pPr>
              <w:spacing w:after="0"/>
              <w:rPr>
                <w:sz w:val="11"/>
                <w:szCs w:val="11"/>
                <w:color w:val="auto"/>
              </w:rPr>
            </w:pPr>
          </w:p>
        </w:tc>
        <w:tc>
          <w:tcPr>
            <w:tcW w:w="900" w:type="dxa"/>
            <w:vAlign w:val="bottom"/>
            <w:gridSpan w:val="2"/>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6,331,385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01/18/2014   Home and Office Furnishings,</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2.55%</w:t>
            </w:r>
          </w:p>
        </w:tc>
        <w:tc>
          <w:tcPr>
            <w:tcW w:w="10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03/28/2014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2.31%</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02/28/2013   Home and Office Furnishings,</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2.26%</w:t>
            </w:r>
          </w:p>
        </w:tc>
        <w:tc>
          <w:tcPr>
            <w:tcW w:w="10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02/01/2013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2.73%</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03/16/2014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05/04/2014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06/30/2010</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Rexnord,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07/19/2013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01/30/2014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L+550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09/23/2014</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08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11.25%</w:t>
            </w:r>
          </w:p>
        </w:tc>
        <w:tc>
          <w:tcPr>
            <w:tcW w:w="104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L+825</w:t>
            </w:r>
            <w:r>
              <w:rPr>
                <w:rFonts w:ascii="Arial" w:cs="Arial" w:eastAsia="Arial" w:hAnsi="Arial"/>
                <w:sz w:val="15"/>
                <w:szCs w:val="15"/>
                <w:color w:val="auto"/>
                <w:vertAlign w:val="superscript"/>
              </w:rPr>
              <w:t>(8)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82"/>
              </w:rPr>
              <w:t>20,000,000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10/12/2014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4.26%</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07/21/2012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07/15/2016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Fair Value</w:t>
            </w:r>
            <w:r>
              <w:rPr>
                <w:rFonts w:ascii="Arial" w:cs="Arial" w:eastAsia="Arial" w:hAnsi="Arial"/>
                <w:sz w:val="22"/>
                <w:szCs w:val="22"/>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0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Companies—5.4%</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07/02/2014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8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5,077,822</w:t>
            </w:r>
          </w:p>
        </w:tc>
        <w:tc>
          <w:tcPr>
            <w:tcW w:w="1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07/02/2013</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6.24%</w:t>
            </w:r>
          </w:p>
        </w:tc>
        <w:tc>
          <w:tcPr>
            <w:tcW w:w="80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—1.0%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37,500</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6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33,247,666</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spacing w:after="0" w:line="68"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Non-income producing securities.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Basis Point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2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$ 16,268,634</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$ 16,268,634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03/19/2014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06/06/2014</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05/20/2012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12/28/2015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10/01/2016</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02/08/2015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187,877,433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9.81%</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04/30/2015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11.26%</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9.31%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4"/>
                <w:szCs w:val="14"/>
                <w:color w:val="auto"/>
              </w:rPr>
              <w:t>Total Second Lien Secured Debt</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128,100,000</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12.00%</w:t>
            </w:r>
            <w:r>
              <w:rPr>
                <w:rFonts w:ascii="Arial" w:cs="Arial" w:eastAsia="Arial" w:hAnsi="Arial"/>
                <w:sz w:val="15"/>
                <w:szCs w:val="15"/>
                <w:color w:val="auto"/>
                <w:vertAlign w:val="superscript"/>
              </w:rPr>
              <w:t>(6)</w:t>
            </w:r>
          </w:p>
        </w:tc>
        <w:tc>
          <w:tcPr>
            <w:tcW w:w="8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842</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841,927</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8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686</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685,820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4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6.50%</w:t>
            </w:r>
            <w:r>
              <w:rPr>
                <w:rFonts w:ascii="Arial" w:cs="Arial" w:eastAsia="Arial" w:hAnsi="Arial"/>
                <w:sz w:val="15"/>
                <w:szCs w:val="15"/>
                <w:color w:val="auto"/>
                <w:vertAlign w:val="superscript"/>
              </w:rPr>
              <w:t>(6)</w:t>
            </w:r>
          </w:p>
        </w:tc>
        <w:tc>
          <w:tcPr>
            <w:tcW w:w="8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1,312,006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8.00%</w:t>
            </w:r>
            <w:r>
              <w:rPr>
                <w:rFonts w:ascii="Arial" w:cs="Arial" w:eastAsia="Arial" w:hAnsi="Arial"/>
                <w:sz w:val="15"/>
                <w:szCs w:val="15"/>
                <w:color w:val="auto"/>
                <w:vertAlign w:val="superscript"/>
              </w:rPr>
              <w:t>(6)</w:t>
            </w:r>
          </w:p>
        </w:tc>
        <w:tc>
          <w:tcPr>
            <w:tcW w:w="8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2,499,066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9,298,819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3,000,000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11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16,271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w w:val="97"/>
              </w:rPr>
              <w:t>CT Technologies Holdings, LLC (CT Technologies Intermediate Holdings,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3,200,000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2,173</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6,659,360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05/28/2013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5.06%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7,889,120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01/31/2013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2,955,000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12,965,204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08/28/2014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09/16/2013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12/19/2013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6,912,500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4.83%</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8,932,500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02/07/2014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9,890,541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5.46%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4,564,563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5.54%</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01/18/2014</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5.96%</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3,950,100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02/28/2013</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4.62%</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6,900,583</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02/01/2013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4,925,000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03/16/2014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5.71%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1,474,667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05/04/2014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4,924,167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03/02/2014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4.71%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07/19/2013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Manufacturing/Basic</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5.76%</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2,917,576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2,625,819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Industry</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2,592,017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354,261,950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0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07/02/2014</w:t>
            </w: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980" w:type="dxa"/>
            <w:vAlign w:val="bottom"/>
            <w:gridSpan w:val="3"/>
            <w:vMerge w:val="continue"/>
            <w:shd w:val="clear" w:color="auto" w:fill="CCEEFF"/>
          </w:tcPr>
          <w:p>
            <w:pPr>
              <w:spacing w:after="0"/>
              <w:rPr>
                <w:sz w:val="13"/>
                <w:szCs w:val="13"/>
                <w:color w:val="auto"/>
              </w:rPr>
            </w:pPr>
          </w:p>
        </w:tc>
        <w:tc>
          <w:tcPr>
            <w:tcW w:w="80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3"/>
              </w:rPr>
              <w:t>4,414,356</w:t>
            </w:r>
          </w:p>
        </w:tc>
        <w:tc>
          <w:tcPr>
            <w:tcW w:w="1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4,192,261</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07/02/2013</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8.55%</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8,347,500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120" w:type="dxa"/>
            <w:vAlign w:val="bottom"/>
            <w:gridSpan w:val="3"/>
          </w:tcPr>
          <w:p>
            <w:pPr>
              <w:spacing w:after="0" w:line="159" w:lineRule="exact"/>
              <w:rPr>
                <w:sz w:val="20"/>
                <w:szCs w:val="20"/>
                <w:color w:val="auto"/>
              </w:rPr>
            </w:pPr>
            <w:r>
              <w:rPr>
                <w:rFonts w:ascii="Arial" w:cs="Arial" w:eastAsia="Arial" w:hAnsi="Arial"/>
                <w:sz w:val="14"/>
                <w:szCs w:val="14"/>
                <w:color w:val="auto"/>
              </w:rPr>
              <w:t>NCP-Performance (Performance Holdings, Inc.)</w:t>
            </w: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5,124,014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16,692,261</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444,174,006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Equivalents—195.7%</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484,423,207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Except where the context suggests otherwise, the terms “we,” “us,” “our” and “PennantPark Investment” refer to PennantPark Investment Corporation.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results could differ from these estimates. Certain prior period amounts have been reclassified to conform to current period presentation.</w:t>
      </w:r>
    </w:p>
    <w:p>
      <w:pPr>
        <w:spacing w:after="0" w:line="19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FASB 162 </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rather to serve as a single source of authoritative accounting literature. The adoption of ASC 105-10 did not have a material impact on our financial statements.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7" w:lineRule="exact"/>
        <w:rPr>
          <w:sz w:val="20"/>
          <w:szCs w:val="20"/>
          <w:color w:val="auto"/>
        </w:rPr>
      </w:pPr>
    </w:p>
    <w:p>
      <w:pPr>
        <w:ind w:firstLine="464"/>
        <w:spacing w:after="0" w:line="294"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150,607,490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134,401,542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157,119,017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10,934,053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16,697,971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530,535,552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503,007,739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4"/>
                <w:szCs w:val="14"/>
                <w:color w:val="auto"/>
              </w:rPr>
            </w:pPr>
          </w:p>
        </w:tc>
        <w:tc>
          <w:tcPr>
            <w:tcW w:w="25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5"/>
              </w:rPr>
              <w:t>September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6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tcPr>
          <w:p>
            <w:pPr>
              <w:jc w:val="right"/>
              <w:ind w:right="13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Loan and debt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349,260,104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22,887,716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(39,243,879)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2,489,868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118,059,327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2,254,440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(27,956,008)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442,128,049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27,632,024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469,760,073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 (depreciation) for the year reported within the net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unrealized appreciation on investments in our Statement of Operations attributable to our </w:t>
            </w:r>
            <w:r>
              <w:rPr>
                <w:rFonts w:ascii="Arial" w:cs="Arial" w:eastAsia="Arial" w:hAnsi="Arial"/>
                <w:sz w:val="18"/>
                <w:szCs w:val="18"/>
                <w:i w:val="1"/>
                <w:iCs w:val="1"/>
                <w:color w:val="auto"/>
                <w:w w:val="92"/>
              </w:rPr>
              <w:t>Level 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30,141,081</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2,489,868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Credit Facility</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162,000,000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(41,796,000)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108,200,000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(52,100,000)</w:t>
            </w: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168,475,380</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0" w:type="dxa"/>
            <w:vAlign w:val="bottom"/>
            <w:gridSpan w:val="2"/>
          </w:tcPr>
          <w:p>
            <w:pPr>
              <w:jc w:val="right"/>
              <w:ind w:right="4480"/>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 for which PennantPark Investment elected the fair value option under ASC 825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Carrying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Cost 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Transition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Fair Value on</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Adjustment to</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before adoption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after adoption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of ASC 825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of ASC 825</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218,100,000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120,204,000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175,475,380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160,204,000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35,802,029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(40,702,939)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21,092,334**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21,068,772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20,936,149*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56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56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80" w:type="dxa"/>
            <w:vAlign w:val="bottom"/>
            <w:gridSpan w:val="3"/>
          </w:tcPr>
          <w:p>
            <w:pPr>
              <w:jc w:val="right"/>
              <w:ind w:right="55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(11,250,565)</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(39,331,872)</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(5,638,469)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22,096,807</w:t>
            </w:r>
          </w:p>
        </w:tc>
        <w:tc>
          <w:tcPr>
            <w:tcW w:w="100" w:type="dxa"/>
            <w:vAlign w:val="bottom"/>
            <w:shd w:val="clear" w:color="auto" w:fill="CCEEFF"/>
          </w:tcPr>
          <w:p>
            <w:pPr>
              <w:spacing w:after="0"/>
              <w:rPr>
                <w:sz w:val="18"/>
                <w:szCs w:val="18"/>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(26,505,869)</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8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9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9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12.83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tcPr>
          <w:p>
            <w:pPr>
              <w:spacing w:after="0"/>
              <w:rPr>
                <w:sz w:val="19"/>
                <w:szCs w:val="19"/>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0.62</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( 3)</w:t>
            </w:r>
          </w:p>
        </w:tc>
        <w:tc>
          <w:tcPr>
            <w:tcW w:w="8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11.85</w:t>
            </w:r>
          </w:p>
        </w:tc>
        <w:tc>
          <w:tcPr>
            <w:tcW w:w="9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(8.29)%* </w:t>
            </w: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7"/>
              </w:rPr>
              <w:t>25,368,772</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5"/>
              </w:rPr>
              <w:t>21,068,772</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( 5)</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( 6)</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85"/>
              </w:rPr>
              <w:t>210,728,260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w w:val="87"/>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w w:val="85"/>
              </w:rPr>
              <w:t>119,472,732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400" w:hanging="452"/>
        <w:spacing w:after="0" w:line="357" w:lineRule="auto"/>
        <w:tabs>
          <w:tab w:leader="none" w:pos="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24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Net investment income and net change in realized and unrealized loss per share data are calculated based on the weighted average shares outstanding for the respective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 including the schedules of investments, as of December 31, 2009, and the statements of operations, changes in net assets, and cash flows for the three month periods ended December 31, 2009 and 2008. These interim financial statements are the responsibility of the Company’s management.</w:t>
      </w:r>
    </w:p>
    <w:p>
      <w:pPr>
        <w:spacing w:after="0" w:line="2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60"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Non-controlled, non-affiliated investments, at fair value (cost—$499,221,096 and $479,909,805,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497,049,288</w:t>
            </w: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Non-controlled, affiliated investments, at fair value (cost—$17,566,905 and $17,378,081, respectively)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16,092,038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of Investments, at fair value (cost—$516,788,001 and $497,287,886,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513,141,326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7,051,165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6,452,193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6,455,018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(cost—$245,700,000 and $225,100,000,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Notes 5 and 10)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201,914,294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1,809,453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220,749,472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4"/>
              </w:rPr>
              <w:t>Common stock, par value $0.001 per share, 100,000,000 shares authorized, 25,808,772 and 25,368,772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330,405,864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2,675,930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(67,098,312)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(3,646,675)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43,785,706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3"/>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5"/>
              </w:rPr>
              <w:t>Three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12,951,233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319,603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327,649</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13,598,485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12,076,509</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1,809,380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557,504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(16,603,865)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24,093,662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(40,663,091)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(212,524)</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(1,693,186)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(5,838,914)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appreciation (depreciation)</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18,042,224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(36,637,583)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(37,524,653)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(31,756,724)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 per common share (See Note 8)</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7,237,888</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(16,603,865)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23,881,138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(5,838,914)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(31,756,724)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(6,452,193)</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3,344,000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(36,813,229)</w:t>
            </w:r>
          </w:p>
        </w:tc>
        <w:tc>
          <w:tcPr>
            <w:tcW w:w="0" w:type="dxa"/>
            <w:vAlign w:val="bottom"/>
          </w:tcPr>
          <w:p>
            <w:pPr>
              <w:spacing w:after="0"/>
              <w:rPr>
                <w:sz w:val="1"/>
                <w:szCs w:val="1"/>
                <w:color w:val="auto"/>
              </w:rPr>
            </w:pPr>
          </w:p>
        </w:tc>
      </w:tr>
      <w:tr>
        <w:trPr>
          <w:trHeight w:val="32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252,524,260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215,711,031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8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(31,756,724)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increase (decrease) in net assets resulting from operations to net cash</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for) provided by operating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(23,881,138)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5,838,914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(5,718,694)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16,603,865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(1,271,930)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(50,481,259)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(1,159,733)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16,808,942</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(175,073)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(19,489,525)</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301,289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(115,217)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(45,083,996)</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10,008,844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(5,056,505)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51,300,000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(30,700,000)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(52,100,000)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18,887,495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(49,656,505)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(26,196,501)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(39,647,661)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00" w:type="dxa"/>
            <w:vAlign w:val="bottom"/>
          </w:tcPr>
          <w:p>
            <w:pPr>
              <w:spacing w:after="0"/>
              <w:rPr>
                <w:sz w:val="15"/>
                <w:szCs w:val="15"/>
                <w:color w:val="auto"/>
              </w:rPr>
            </w:pP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6"/>
              </w:rPr>
              <w:t>Par /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162.4% </w:t>
            </w:r>
            <w:r>
              <w:rPr>
                <w:rFonts w:ascii="Arial" w:cs="Arial" w:eastAsia="Arial" w:hAnsi="Arial"/>
                <w:sz w:val="17"/>
                <w:szCs w:val="17"/>
                <w:b w:val="1"/>
                <w:bCs w:val="1"/>
                <w:color w:val="auto"/>
                <w:vertAlign w:val="superscript"/>
              </w:rPr>
              <w:t>(1),(2)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56.1%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03/01/2012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$ 22,993,485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$ 22,346,382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12/15/2016</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9"/>
              </w:rPr>
              <w:t>Diversified / Conglomerate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11.13%</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9,596,022</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9,975,000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0"/>
              </w:rPr>
              <w:t>Manufacturing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04/17/2015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7,957,538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03/22/2014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(6)</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14.00%</w:t>
            </w:r>
          </w:p>
        </w:tc>
        <w:tc>
          <w:tcPr>
            <w:tcW w:w="300" w:type="dxa"/>
            <w:vAlign w:val="bottom"/>
            <w:vMerge w:val="continue"/>
          </w:tcPr>
          <w:p>
            <w:pPr>
              <w:spacing w:after="0"/>
              <w:rPr>
                <w:sz w:val="13"/>
                <w:szCs w:val="13"/>
                <w:color w:val="auto"/>
              </w:rPr>
            </w:pPr>
          </w:p>
        </w:tc>
        <w:tc>
          <w:tcPr>
            <w:tcW w:w="680" w:type="dxa"/>
            <w:vAlign w:val="bottom"/>
            <w:gridSpan w:val="2"/>
          </w:tcPr>
          <w:p>
            <w:pPr>
              <w:jc w:val="center"/>
              <w:ind w:right="20"/>
              <w:spacing w:after="0" w:line="15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20,413,161</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19,995,129</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21,025,556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04/01/2014</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995,803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06/06/2014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22,810,883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22,451,159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22,993,370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05/20/2012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14,746,483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12/28/2015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10,390,942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10,267,437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9,975,304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8,955,185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12/29/2015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11,126,218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20,349,340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20,165,943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02/08/2015</w:t>
            </w:r>
          </w:p>
        </w:tc>
        <w:tc>
          <w:tcPr>
            <w:tcW w:w="100" w:type="dxa"/>
            <w:vAlign w:val="bottom"/>
          </w:tcPr>
          <w:p>
            <w:pPr>
              <w:spacing w:after="0"/>
              <w:rPr>
                <w:sz w:val="13"/>
                <w:szCs w:val="13"/>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3"/>
                <w:szCs w:val="13"/>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20,489,864</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169,740,266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171,668,935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45.5%</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6.31%</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L+600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13,167,599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12,185,600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7.29%</w:t>
            </w:r>
          </w:p>
        </w:tc>
        <w:tc>
          <w:tcPr>
            <w:tcW w:w="300" w:type="dxa"/>
            <w:vAlign w:val="bottom"/>
          </w:tcPr>
          <w:p>
            <w:pPr>
              <w:spacing w:after="0"/>
              <w:rPr>
                <w:sz w:val="11"/>
                <w:szCs w:val="11"/>
                <w:color w:val="auto"/>
              </w:rPr>
            </w:pP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11,745,828</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11,124,000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04/30/2015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7.75%</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11,951,224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11,496,000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03/01/2014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11/01/2017</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4,814,489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QMG Acquisition, LLC, Term Loan A</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9.50%</w:t>
            </w:r>
          </w:p>
        </w:tc>
        <w:tc>
          <w:tcPr>
            <w:tcW w:w="3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3,243,646</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 Term Loan B</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12/15/2015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10,566,670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9,943,805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05/15/2017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16,930,027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15,983,750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5.98%</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18,938,779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19,694,000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17,094,214</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16,569,492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15,675,394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143,731,888</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139,020,391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318,896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797,288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978,806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4,927,099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 Class A-1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2,879,746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9,750,316</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10,882,075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140" w:type="dxa"/>
            <w:vAlign w:val="bottom"/>
          </w:tcPr>
          <w:p>
            <w:pPr>
              <w:ind w:left="70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Par / 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Value </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1,627</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245,762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5,556</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6,977,888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(CT Technologies Intermediate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457,322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160,323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137,923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2,433,112</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3,449,041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1,242,185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7,446,363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14,767,267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 – 52.2%</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03/04/2015</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13,894,737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11,907,829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13,269,474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7,289,802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7,696,875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07/31/2016</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9,436,259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11/20/2014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07/07/2012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13,502,355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10,628,954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Fairway Group Acquisition Company</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Grocery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L+950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9,701,353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03/08/2014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5,225,715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11/01/2014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Diversified /Conglomerate</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3,000,000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2,972,827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6,712,537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12,668,615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13,002,337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13,175,360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6,331,385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6,488,872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6,584,640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01/18/2014</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2.51%</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2,730,158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02/28/2013</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6,790,000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6,793,783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6,207,194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02/01/2013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03/16/2014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QMG Acquisition, LLC</w:t>
            </w:r>
            <w:r>
              <w:rPr>
                <w:rFonts w:ascii="Arial" w:cs="Arial" w:eastAsia="Arial" w:hAnsi="Arial"/>
                <w:sz w:val="15"/>
                <w:szCs w:val="15"/>
                <w:color w:val="auto"/>
                <w:vertAlign w:val="superscript"/>
              </w:rPr>
              <w:t>(9)</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07/19/2013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01/30/2014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5.77%</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09/23/2014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19,241,573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U.S. Xpress Enterprises,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10/12/2014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L+450 </w:t>
            </w:r>
            <w:r>
              <w:rPr>
                <w:rFonts w:ascii="Arial" w:cs="Arial" w:eastAsia="Arial" w:hAnsi="Arial"/>
                <w:sz w:val="17"/>
                <w:szCs w:val="17"/>
                <w:color w:val="auto"/>
                <w:vertAlign w:val="superscript"/>
              </w:rPr>
              <w:t>(8)</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14,915,634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10,407,364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12,230,820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07/21/2012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Printing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3,493,681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3,196,579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07/15/2016</w:t>
            </w:r>
          </w:p>
        </w:tc>
        <w:tc>
          <w:tcPr>
            <w:tcW w:w="180" w:type="dxa"/>
            <w:vAlign w:val="bottom"/>
          </w:tcPr>
          <w:p>
            <w:pPr>
              <w:spacing w:after="0"/>
              <w:rPr>
                <w:sz w:val="13"/>
                <w:szCs w:val="13"/>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3"/>
                <w:szCs w:val="13"/>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4,861,682</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First Lien Secured Debt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168,552,263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160,710,620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499,221,096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497,049,288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6"/>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5.3% </w:t>
            </w:r>
            <w:r>
              <w:rPr>
                <w:rFonts w:ascii="Arial" w:cs="Arial" w:eastAsia="Arial" w:hAnsi="Arial"/>
                <w:sz w:val="17"/>
                <w:szCs w:val="17"/>
                <w:b w:val="1"/>
                <w:bCs w:val="1"/>
                <w:color w:val="auto"/>
                <w:vertAlign w:val="superscript"/>
              </w:rPr>
              <w:t>(1),(2)</w:t>
            </w: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1.7%</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07/02/2014</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 xml:space="preserve">14.25% </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5,258,719</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5,066,905</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5,127,251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2.7%</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07/02/2013</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6.04%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8,115,625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 xml:space="preserve"> – 0.9%</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2,849,162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9"/>
              </w:rPr>
              <w:t>Investments in Non-Controlled, Affiliated Portfolio Companies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17,566,905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16,092,038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167.6%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516,788,001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513,141,326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2.3%</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9"/>
              </w:rPr>
              <w:t>7,051,165</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169.9%</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523,839,166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520,192,491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(69.9%)</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(214,044,169)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306,148,322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50.6%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03/01/2012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04/17/2015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03/22/2014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20,311,603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06/06/2014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05/20/2012</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12/28/2015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04/15/2015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10/01/2016</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02/08/2015</w:t>
            </w:r>
          </w:p>
        </w:tc>
        <w:tc>
          <w:tcPr>
            <w:tcW w:w="180" w:type="dxa"/>
            <w:vAlign w:val="bottom"/>
          </w:tcPr>
          <w:p>
            <w:pPr>
              <w:spacing w:after="0"/>
              <w:rPr>
                <w:sz w:val="13"/>
                <w:szCs w:val="13"/>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L+600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13,600,000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tcPr>
          <w:p>
            <w:pPr>
              <w:spacing w:after="0"/>
              <w:rPr>
                <w:sz w:val="11"/>
                <w:szCs w:val="11"/>
                <w:color w:val="auto"/>
              </w:rPr>
            </w:pP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7.44%</w:t>
            </w:r>
          </w:p>
        </w:tc>
        <w:tc>
          <w:tcPr>
            <w:tcW w:w="380" w:type="dxa"/>
            <w:vAlign w:val="bottom"/>
          </w:tcPr>
          <w:p>
            <w:pPr>
              <w:spacing w:after="0"/>
              <w:rPr>
                <w:sz w:val="11"/>
                <w:szCs w:val="11"/>
                <w:color w:val="auto"/>
              </w:rPr>
            </w:pPr>
          </w:p>
        </w:tc>
        <w:tc>
          <w:tcPr>
            <w:tcW w:w="8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11,735,965</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04/30/2015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7.78%</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03/01/2014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11/04/2014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6.91%</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10/15/2017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05/15/2015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L+575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12/15/2014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color w:val="auto"/>
              </w:rPr>
              <w:t>Total Second Lien Secured Debt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6.50%</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8.00%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4.5%</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  3,005,163</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8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68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1,656,350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w:t>
            </w:r>
            <w:r>
              <w:rPr>
                <w:rFonts w:ascii="Arial" w:cs="Arial" w:eastAsia="Arial" w:hAnsi="Arial"/>
                <w:sz w:val="14"/>
                <w:szCs w:val="14"/>
                <w:b w:val="1"/>
                <w:bCs w:val="1"/>
                <w:color w:val="auto"/>
              </w:rPr>
              <w:t>irst Lien Secured Debt – 50.1%</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03/04/2015</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05/28/2013</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10/01/2016</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07/31/2016</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07/07/2012</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03/08/2014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04/15/2014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02/07/2014</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03/08/2014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7.75%</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L+475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12/15/2009</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12/15/2009</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01/18/2014</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2.55%</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03/28/2014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02/28/2013</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02/01/2013</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03/16/2014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05/04/2014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06/30/2010</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07/19/2013</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01/30/2014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09/23/2014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10/12/2014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07/21/2012</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07/15/2016</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Investments in Non-Controlled, Non-Affiliated Portfolio Companies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ind w:left="600"/>
              <w:spacing w:after="0" w:line="135" w:lineRule="exact"/>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 / Shares</w:t>
            </w:r>
          </w:p>
        </w:tc>
        <w:tc>
          <w:tcPr>
            <w:tcW w:w="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Companies—5.4% </w:t>
            </w:r>
            <w:r>
              <w:rPr>
                <w:rFonts w:ascii="Arial" w:cs="Arial" w:eastAsia="Arial" w:hAnsi="Arial"/>
                <w:sz w:val="17"/>
                <w:szCs w:val="17"/>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 – 1.7%</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 – 2.7%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6.24%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4"/>
                <w:szCs w:val="14"/>
                <w:b w:val="1"/>
                <w:bCs w:val="1"/>
                <w:color w:val="auto"/>
              </w:rPr>
              <w:t xml:space="preserve"> – 1.0%</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156.3%</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11.1%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5"/>
              </w:rPr>
              <w:t>33,247,666</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167.4%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(67.4%)</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additional net proceeds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Investment Valuations</w:t>
      </w:r>
    </w:p>
    <w:p>
      <w:pPr>
        <w:spacing w:after="0" w:line="17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Security Transactions, Revenue Recognition, and Realized/Unrealized Gains or Losses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record an excise tax of $0.1 million for the three months ended December 31, 2009.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28"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Dividends, Distributions, and Capital Transactions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New Accounting Pronouncements and Accounting Standards Updates</w:t>
      </w:r>
    </w:p>
    <w:p>
      <w:pPr>
        <w:spacing w:after="0" w:line="17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the three months ended December 31, 2009 and 2008, the Investment Adviser earned a base management fee of $2.5 million and $1.8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59" w:right="3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months ended December 31, 2009 and 2008, the Investment Adviser earned an incentive fee of $1.8 million and $1.4 million, respectively from us.</w:t>
      </w:r>
    </w:p>
    <w:p>
      <w:pPr>
        <w:spacing w:after="0" w:line="11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months ended December 31, 2009 and 2008, the Investment Adviser was reimbursed $0.3 million and $0.3 million, respectively, from us, including expenses it incurred on behalf of the Administrator, for services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2009 and 2008 totaled $51.6 million and $1.7 million, respectively. Sales and repayments of long-term investments for the three months ended December 31, 2009 and 2008 totaled $16.8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2009</w:t>
            </w: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168,552,263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160,710,620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164,863,868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152,481,888</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147,136,016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152,321,496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174,807,171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176,796,186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158,139,903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10,882,075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9,750,317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11,196,363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17,616,429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516,788,001</w:t>
            </w:r>
          </w:p>
        </w:tc>
        <w:tc>
          <w:tcPr>
            <w:tcW w:w="1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513,141,326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497,287,886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523,839,166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520,192,491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530,535,552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503,007,739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F-46</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3"/>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6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20"/>
          </w:cols>
          <w:pgMar w:left="240" w:top="460"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2009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2009</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$ 484,642,822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$ 484,642,822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513,141,326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513,141,326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7,051,165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520,192,491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36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$ 442,128,049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469,760,073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gridSpan w:val="3"/>
          </w:tcPr>
          <w:p>
            <w:pPr>
              <w:jc w:val="right"/>
              <w:ind w:right="1780"/>
              <w:spacing w:after="0"/>
              <w:rPr>
                <w:sz w:val="20"/>
                <w:szCs w:val="20"/>
                <w:color w:val="auto"/>
              </w:rPr>
            </w:pPr>
            <w:r>
              <w:rPr>
                <w:rFonts w:ascii="Arial" w:cs="Arial" w:eastAsia="Arial" w:hAnsi="Arial"/>
                <w:sz w:val="18"/>
                <w:szCs w:val="18"/>
                <w:color w:val="auto"/>
              </w:rPr>
              <w:t>F-49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(13,598,702)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21,998,720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52,229,864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52,912,922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(16,808,942)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484,642,822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28,498,504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513,141,326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appreciation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(1,122,745)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(887,070)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(39,885,419)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1,870,146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308,077,621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20,735,754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328,813,375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depreciation for the year reported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depreciation on investments in our Statement of Operations attributable to our </w:t>
            </w:r>
            <w:r>
              <w:rPr>
                <w:rFonts w:ascii="Arial" w:cs="Arial" w:eastAsia="Arial" w:hAnsi="Arial"/>
                <w:sz w:val="18"/>
                <w:szCs w:val="18"/>
                <w:i w:val="1"/>
                <w:iCs w:val="1"/>
                <w:color w:val="auto"/>
                <w:w w:val="92"/>
              </w:rPr>
              <w:t>Level 3</w:t>
            </w:r>
            <w:r>
              <w:rPr>
                <w:rFonts w:ascii="Arial" w:cs="Arial" w:eastAsia="Arial" w:hAnsi="Arial"/>
                <w:sz w:val="18"/>
                <w:szCs w:val="18"/>
                <w:color w:val="auto"/>
                <w:w w:val="92"/>
              </w:rPr>
              <w:t xml:space="preserve"> assets still</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(40,255,417)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(42,726,275)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December 31,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2009 (Cost – $245,700,000)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  There was no temporary draw as of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Period Ended December 31, 2008*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 (Cost – $157,400,000)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$ 109,885,306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There was no temporary draw as of December 31, 2008.</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three month periods ended December 31, 2009 and 2008, our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2009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8,676,247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25,751,381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increase (decrease) in net assets per share resulting from operations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ind w:left="4600"/>
              <w:spacing w:after="0"/>
              <w:rPr>
                <w:sz w:val="20"/>
                <w:szCs w:val="20"/>
                <w:color w:val="auto"/>
              </w:rPr>
            </w:pPr>
            <w:r>
              <w:rPr>
                <w:rFonts w:ascii="Arial" w:cs="Arial" w:eastAsia="Arial" w:hAnsi="Arial"/>
                <w:sz w:val="18"/>
                <w:szCs w:val="18"/>
                <w:color w:val="auto"/>
              </w:rPr>
              <w:t>F-52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2009 and 2008 were $306.1 million and $215.7 million, respectively, and $11.86 and $10.24, respectively. Below are the financial highlights for the three months ended December 31, 2009 and 2008.</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Three months</w:t>
            </w:r>
          </w:p>
        </w:tc>
        <w:tc>
          <w:tcPr>
            <w:tcW w:w="28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change in realized and unrealized gain/(loss)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25,808,772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306,148,322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215,711,031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224,010,870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164,316,304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540" w:firstLine="8"/>
        <w:spacing w:after="0" w:line="286" w:lineRule="auto"/>
        <w:tabs>
          <w:tab w:leader="none" w:pos="4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180" w:hanging="452"/>
        <w:spacing w:after="0" w:line="300" w:lineRule="auto"/>
        <w:tabs>
          <w:tab w:leader="none" w:pos="4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180" w:hanging="452"/>
        <w:spacing w:after="0" w:line="261"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and net increase (decrease) in net assets resulting from operations per share data are calculated based on the weighted average shares outstanding for the respective periods.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2009 and September 30, 2009, there were $245.7 million and $225.1 million (including a $7.0 million temporary draw) in outstanding borrowings under the credit facility, respectively, with a weighted average interest rate at the time of 1.23% and 1.31%, respectively, exclusive of the fee on undrawn commitment of 0.20%.</w:t>
      </w:r>
    </w:p>
    <w:p>
      <w:pPr>
        <w:spacing w:after="0" w:line="10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PennantPark Investment has evaluated subsequent events and has no material events to report subsequent to the measurement date of these financial statements through the date of issuance on February 3,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503555</wp:posOffset>
            </wp:positionV>
            <wp:extent cx="2470150" cy="523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4,000,000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294005</wp:posOffset>
            </wp:positionV>
            <wp:extent cx="34048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191135</wp:posOffset>
            </wp:positionV>
            <wp:extent cx="34048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Joint-bookrunners</w:t>
      </w:r>
    </w:p>
    <w:p>
      <w:pPr>
        <w:spacing w:after="0" w:line="13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315595</wp:posOffset>
            </wp:positionV>
            <wp:extent cx="15176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August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decimal"/>
      <w:start w:val="1"/>
    </w:lvl>
  </w:abstractNum>
  <w:abstractNum w:abstractNumId="3">
    <w:nsid w:val="1DBABF00"/>
    <w:multiLevelType w:val="hybridMultilevel"/>
    <w:lvl w:ilvl="0">
      <w:lvlJc w:val="left"/>
      <w:lvlText w:val="(%1)"/>
      <w:numFmt w:val="decimal"/>
      <w:start w:val="7"/>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decimal"/>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1)"/>
      <w:numFmt w:val="decimal"/>
      <w:start w:val="1"/>
    </w:lvl>
  </w:abstractNum>
  <w:abstractNum w:abstractNumId="10">
    <w:nsid w:val="15014ACB"/>
    <w:multiLevelType w:val="hybridMultilevel"/>
    <w:lvl w:ilvl="0">
      <w:lvlJc w:val="left"/>
      <w:lvlText w:val="(%1)"/>
      <w:numFmt w:val="decimal"/>
      <w:start w:val="3"/>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1)"/>
      <w:numFmt w:val="lowerRoman"/>
      <w:start w:val="1"/>
    </w:lvl>
  </w:abstractNum>
  <w:abstractNum w:abstractNumId="14">
    <w:nsid w:val="6B94764"/>
    <w:multiLevelType w:val="hybridMultilevel"/>
    <w:lvl w:ilvl="0">
      <w:lvlJc w:val="left"/>
      <w:lvlText w:val="%1."/>
      <w:numFmt w:val="decimal"/>
      <w:start w:val="10"/>
    </w:lvl>
  </w:abstractNum>
  <w:abstractNum w:abstractNumId="15">
    <w:nsid w:val="42C296BD"/>
    <w:multiLevelType w:val="hybridMultilevel"/>
    <w:lvl w:ilvl="0">
      <w:lvlJc w:val="left"/>
      <w:lvlText w:val="(%1)"/>
      <w:numFmt w:val="lowerLetter"/>
      <w:start w:val="4"/>
    </w:lvl>
  </w:abstractNum>
  <w:abstractNum w:abstractNumId="16">
    <w:nsid w:val="168E121F"/>
    <w:multiLevelType w:val="hybridMultilevel"/>
    <w:lvl w:ilvl="0">
      <w:lvlJc w:val="left"/>
      <w:lvlText w:val="(%1)"/>
      <w:numFmt w:val="decimal"/>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1)"/>
      <w:numFmt w:val="decimal"/>
      <w:start w:val="1"/>
    </w:lvl>
  </w:abstractNum>
  <w:abstractNum w:abstractNumId="19">
    <w:nsid w:val="5DC79EA8"/>
    <w:multiLevelType w:val="hybridMultilevel"/>
    <w:lvl w:ilvl="0">
      <w:lvlJc w:val="left"/>
      <w:lvlText w:val="(%1)"/>
      <w:numFmt w:val="decimal"/>
      <w:start w:val="1"/>
    </w:lvl>
  </w:abstractNum>
  <w:abstractNum w:abstractNumId="20">
    <w:nsid w:val="540A471C"/>
    <w:multiLevelType w:val="hybridMultilevel"/>
    <w:lvl w:ilvl="0">
      <w:lvlJc w:val="left"/>
      <w:lvlText w:val="(%1)"/>
      <w:numFmt w:val="lowerRoman"/>
      <w:start w:val="1"/>
    </w:lvl>
  </w:abstractNum>
  <w:abstractNum w:abstractNumId="21">
    <w:nsid w:val="7BD3EE7B"/>
    <w:multiLevelType w:val="hybridMultilevel"/>
    <w:lvl w:ilvl="0">
      <w:lvlJc w:val="left"/>
      <w:lvlText w:val="(%1)"/>
      <w:numFmt w:val="lowerRoman"/>
      <w:start w:val="3"/>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1)"/>
      <w:numFmt w:val="decimal"/>
      <w:start w:val="3"/>
    </w:lvl>
  </w:abstractNum>
  <w:abstractNum w:abstractNumId="26">
    <w:nsid w:val="42963E5A"/>
    <w:multiLevelType w:val="hybridMultilevel"/>
    <w:lvl w:ilvl="0">
      <w:lvlJc w:val="left"/>
      <w:lvlText w:val="(%1)"/>
      <w:numFmt w:val="decimal"/>
      <w:start w:val="3"/>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1)"/>
      <w:numFmt w:val="decimal"/>
      <w:start w:val="1"/>
    </w:lvl>
  </w:abstractNum>
  <w:abstractNum w:abstractNumId="29">
    <w:nsid w:val="1A32234B"/>
    <w:multiLevelType w:val="hybridMultilevel"/>
    <w:lvl w:ilvl="0">
      <w:lvlJc w:val="left"/>
      <w:lvlText w:val="(%1)"/>
      <w:numFmt w:val="decimal"/>
      <w:start w:val="7"/>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1)"/>
      <w:numFmt w:val="decimal"/>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1)"/>
      <w:numFmt w:val="decimal"/>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1)"/>
      <w:numFmt w:val="decimal"/>
      <w:start w:val="1"/>
    </w:lvl>
  </w:abstractNum>
  <w:abstractNum w:abstractNumId="44">
    <w:nsid w:val="885E1B"/>
    <w:multiLevelType w:val="hybridMultilevel"/>
    <w:lvl w:ilvl="0">
      <w:lvlJc w:val="left"/>
      <w:lvlText w:val="%1)"/>
      <w:numFmt w:val="decimal"/>
      <w:start w:val="1"/>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1)"/>
      <w:numFmt w:val="decimal"/>
      <w:start w:val="3"/>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1)"/>
      <w:numFmt w:val="decimal"/>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1)"/>
      <w:numFmt w:val="decimal"/>
      <w:start w:val="1"/>
    </w:lvl>
  </w:abstractNum>
  <w:abstractNum w:abstractNumId="66">
    <w:nsid w:val="488AC1A"/>
    <w:multiLevelType w:val="hybridMultilevel"/>
    <w:lvl w:ilvl="0">
      <w:lvlJc w:val="left"/>
      <w:lvlText w:val="(%1)"/>
      <w:numFmt w:val="decimal"/>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1)"/>
      <w:numFmt w:val="decimal"/>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lvl w:ilvl="1">
      <w:lvlJc w:val="left"/>
      <w:lvlText w:val="="/>
      <w:numFmt w:val="bullet"/>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1)"/>
      <w:numFmt w:val="decimal"/>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1)"/>
      <w:numFmt w:val="decimal"/>
      <w:start w:val="1"/>
    </w:lvl>
    <w:lvl w:ilvl="1">
      <w:lvlJc w:val="left"/>
      <w:lvlText w:val="(%2)"/>
      <w:numFmt w:val="lowerLetter"/>
      <w:start w:val="1"/>
    </w:lvl>
  </w:abstractNum>
  <w:abstractNum w:abstractNumId="101">
    <w:nsid w:val="4BD8591A"/>
    <w:multiLevelType w:val="hybridMultilevel"/>
    <w:lvl w:ilvl="0">
      <w:lvlJc w:val="left"/>
      <w:lvlText w:val="(%1)"/>
      <w:numFmt w:val="decimal"/>
      <w:start w:val="4"/>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1)"/>
      <w:numFmt w:val="decimal"/>
      <w:start w:val="1"/>
    </w:lvl>
  </w:abstractNum>
  <w:abstractNum w:abstractNumId="107">
    <w:nsid w:val="69E373"/>
    <w:multiLevelType w:val="hybridMultilevel"/>
    <w:lvl w:ilvl="0">
      <w:lvlJc w:val="left"/>
      <w:lvlText w:val="(%1)"/>
      <w:numFmt w:val="decimal"/>
      <w:start w:val="1"/>
    </w:lvl>
  </w:abstractNum>
  <w:abstractNum w:abstractNumId="108">
    <w:nsid w:val="2C27173B"/>
    <w:multiLevelType w:val="hybridMultilevel"/>
    <w:lvl w:ilvl="0">
      <w:lvlJc w:val="left"/>
      <w:lvlText w:val="(%1)"/>
      <w:numFmt w:val="lowerRoman"/>
      <w:start w:val="1"/>
    </w:lvl>
  </w:abstractNum>
  <w:abstractNum w:abstractNumId="109">
    <w:nsid w:val="4C9B0904"/>
    <w:multiLevelType w:val="hybridMultilevel"/>
    <w:lvl w:ilvl="0">
      <w:lvlJc w:val="left"/>
      <w:lvlText w:val="(%1)"/>
      <w:numFmt w:val="decimal"/>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1)"/>
      <w:numFmt w:val="decimal"/>
      <w:start w:val="1"/>
    </w:lvl>
  </w:abstractNum>
  <w:abstractNum w:abstractNumId="116">
    <w:nsid w:val="5B25ACE2"/>
    <w:multiLevelType w:val="hybridMultilevel"/>
    <w:lvl w:ilvl="0">
      <w:lvlJc w:val="left"/>
      <w:lvlText w:val="(%1)"/>
      <w:numFmt w:val="decimal"/>
      <w:start w:val="3"/>
    </w:lvl>
  </w:abstractNum>
  <w:abstractNum w:abstractNumId="117">
    <w:nsid w:val="175DFCF0"/>
    <w:multiLevelType w:val="hybridMultilevel"/>
    <w:lvl w:ilvl="0">
      <w:lvlJc w:val="left"/>
      <w:lvlText w:val="(%1)"/>
      <w:numFmt w:val="decimal"/>
      <w:start w:val="1"/>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Roman"/>
      <w:start w:val="1"/>
    </w:lvl>
  </w:abstractNum>
  <w:abstractNum w:abstractNumId="121">
    <w:nsid w:val="5915FF32"/>
    <w:multiLevelType w:val="hybridMultilevel"/>
    <w:lvl w:ilvl="0">
      <w:lvlJc w:val="left"/>
      <w:lvlText w:val="(%1)"/>
      <w:numFmt w:val="lowerLetter"/>
      <w:start w:val="2"/>
    </w:lvl>
  </w:abstractNum>
  <w:abstractNum w:abstractNumId="122">
    <w:nsid w:val="56438D15"/>
    <w:multiLevelType w:val="hybridMultilevel"/>
    <w:lvl w:ilvl="0">
      <w:lvlJc w:val="left"/>
      <w:lvlText w:val="(%1)"/>
      <w:numFmt w:val="lowerLetter"/>
      <w:start w:val="3"/>
    </w:lvl>
  </w:abstractNum>
  <w:abstractNum w:abstractNumId="123">
    <w:nsid w:val="519E3149"/>
    <w:multiLevelType w:val="hybridMultilevel"/>
    <w:lvl w:ilvl="0">
      <w:lvlJc w:val="left"/>
      <w:lvlText w:val="(%1)"/>
      <w:numFmt w:val="lowerLetter"/>
      <w:start w:val="4"/>
    </w:lvl>
  </w:abstractNum>
  <w:abstractNum w:abstractNumId="124">
    <w:nsid w:val="2C6E4AFD"/>
    <w:multiLevelType w:val="hybridMultilevel"/>
    <w:lvl w:ilvl="0">
      <w:lvlJc w:val="left"/>
      <w:lvlText w:val="(%1)"/>
      <w:numFmt w:val="lowerLetter"/>
      <w:start w:val="5"/>
    </w:lvl>
  </w:abstractNum>
  <w:abstractNum w:abstractNumId="125">
    <w:nsid w:val="17A1B582"/>
    <w:multiLevelType w:val="hybridMultilevel"/>
    <w:lvl w:ilvl="0">
      <w:lvlJc w:val="left"/>
      <w:lvlText w:val="*"/>
      <w:numFmt w:val="bullet"/>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2019-12-11T04:15:35Z</dcterms:created>
  <dcterms:modified xsi:type="dcterms:W3CDTF">2019-12-11T04:15:35Z</dcterms:modified>
</cp:coreProperties>
</file>