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7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380" w:type="dxa"/>
            <w:vAlign w:val="bottom"/>
            <w:gridSpan w:val="2"/>
          </w:tcPr>
          <w:p>
            <w:pPr>
              <w:jc w:val="center"/>
              <w:ind w:left="3801"/>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40" w:type="dxa"/>
            <w:vAlign w:val="bottom"/>
            <w:gridSpan w:val="5"/>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left="380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MARYLAND</w:t>
            </w:r>
          </w:p>
        </w:tc>
        <w:tc>
          <w:tcPr>
            <w:tcW w:w="3860" w:type="dxa"/>
            <w:vAlign w:val="bottom"/>
            <w:gridSpan w:val="3"/>
          </w:tcPr>
          <w:p>
            <w:pPr>
              <w:jc w:val="right"/>
              <w:ind w:right="2282"/>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62"/>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New York, N.Y.</w:t>
            </w:r>
          </w:p>
        </w:tc>
        <w:tc>
          <w:tcPr>
            <w:tcW w:w="3860" w:type="dxa"/>
            <w:vAlign w:val="bottom"/>
            <w:gridSpan w:val="3"/>
            <w:vMerge w:val="restart"/>
          </w:tcPr>
          <w:p>
            <w:pPr>
              <w:jc w:val="right"/>
              <w:ind w:right="246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42"/>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840" w:type="dxa"/>
            <w:vAlign w:val="bottom"/>
          </w:tcPr>
          <w:p>
            <w:pPr>
              <w:jc w:val="center"/>
              <w:ind w:left="434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left="378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1"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80" w:firstLine="468"/>
        <w:spacing w:after="0" w:line="248"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w:t>
      </w:r>
    </w:p>
    <w:p>
      <w:pPr>
        <w:ind w:left="160"/>
        <w:spacing w:after="0"/>
        <w:rPr>
          <w:sz w:val="20"/>
          <w:szCs w:val="20"/>
          <w:color w:val="auto"/>
        </w:rPr>
      </w:pPr>
      <w:r>
        <w:rPr>
          <w:rFonts w:ascii="Arial" w:cs="Arial" w:eastAsia="Arial" w:hAnsi="Arial"/>
          <w:sz w:val="14"/>
          <w:szCs w:val="14"/>
          <w:color w:val="auto"/>
        </w:rPr>
        <w:t>No</w:t>
      </w:r>
    </w:p>
    <w:p>
      <w:pPr>
        <w:spacing w:after="0" w:line="138" w:lineRule="exact"/>
        <w:rPr>
          <w:sz w:val="24"/>
          <w:szCs w:val="24"/>
          <w:color w:val="auto"/>
        </w:rPr>
      </w:pPr>
    </w:p>
    <w:p>
      <w:pPr>
        <w:ind w:right="6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May 8, 2017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MARCH 31, 2017</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10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100" w:type="dxa"/>
            <w:vAlign w:val="bottom"/>
          </w:tcPr>
          <w:p>
            <w:pPr>
              <w:spacing w:after="0"/>
              <w:rPr>
                <w:sz w:val="24"/>
                <w:szCs w:val="24"/>
                <w:color w:val="auto"/>
              </w:rPr>
            </w:pP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ind w:left="430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100" w:type="dxa"/>
            <w:vAlign w:val="bottom"/>
          </w:tcPr>
          <w:p>
            <w:pPr>
              <w:spacing w:after="0"/>
              <w:rPr>
                <w:sz w:val="24"/>
                <w:szCs w:val="24"/>
                <w:color w:val="auto"/>
              </w:rPr>
            </w:pPr>
          </w:p>
        </w:tc>
      </w:tr>
      <w:tr>
        <w:trPr>
          <w:trHeight w:val="337"/>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661"/>
        </w:trPr>
        <w:tc>
          <w:tcPr>
            <w:tcW w:w="9160" w:type="dxa"/>
            <w:vAlign w:val="bottom"/>
          </w:tcPr>
          <w:p>
            <w:pPr>
              <w:ind w:left="5580"/>
              <w:spacing w:after="0"/>
              <w:rPr>
                <w:sz w:val="20"/>
                <w:szCs w:val="20"/>
                <w:color w:val="auto"/>
              </w:rPr>
            </w:pPr>
            <w:r>
              <w:rPr>
                <w:rFonts w:ascii="Arial" w:cs="Arial" w:eastAsia="Arial" w:hAnsi="Arial"/>
                <w:sz w:val="14"/>
                <w:szCs w:val="14"/>
                <w:color w:val="auto"/>
              </w:rPr>
              <w:t>2</w:t>
            </w:r>
          </w:p>
        </w:tc>
        <w:tc>
          <w:tcPr>
            <w:tcW w:w="2100" w:type="dxa"/>
            <w:vAlign w:val="bottom"/>
          </w:tcPr>
          <w:p>
            <w:pPr>
              <w:spacing w:after="0"/>
              <w:rPr>
                <w:sz w:val="24"/>
                <w:szCs w:val="24"/>
                <w:color w:val="auto"/>
              </w:rPr>
            </w:pPr>
          </w:p>
        </w:tc>
      </w:tr>
      <w:tr>
        <w:trPr>
          <w:trHeight w:val="100"/>
        </w:trPr>
        <w:tc>
          <w:tcPr>
            <w:tcW w:w="9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69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9"/>
        </w:trPr>
        <w:tc>
          <w:tcPr>
            <w:tcW w:w="800" w:type="dxa"/>
            <w:vAlign w:val="bottom"/>
          </w:tcPr>
          <w:p>
            <w:pPr>
              <w:spacing w:after="0"/>
              <w:rPr>
                <w:sz w:val="22"/>
                <w:szCs w:val="22"/>
                <w:color w:val="auto"/>
              </w:rPr>
            </w:pPr>
          </w:p>
        </w:tc>
        <w:tc>
          <w:tcPr>
            <w:tcW w:w="72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6"/>
        </w:trPr>
        <w:tc>
          <w:tcPr>
            <w:tcW w:w="800" w:type="dxa"/>
            <w:vAlign w:val="bottom"/>
          </w:tcPr>
          <w:p>
            <w:pPr>
              <w:spacing w:after="0"/>
              <w:rPr>
                <w:sz w:val="16"/>
                <w:szCs w:val="16"/>
                <w:color w:val="auto"/>
              </w:rPr>
            </w:pPr>
          </w:p>
        </w:tc>
        <w:tc>
          <w:tcPr>
            <w:tcW w:w="72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16"/>
        </w:trPr>
        <w:tc>
          <w:tcPr>
            <w:tcW w:w="8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March 31, 2017</w:t>
            </w: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2016</w:t>
            </w:r>
          </w:p>
        </w:tc>
      </w:tr>
      <w:tr>
        <w:trPr>
          <w:trHeight w:val="171"/>
        </w:trPr>
        <w:tc>
          <w:tcPr>
            <w:tcW w:w="8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692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26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(cost—$806,381,197 and $805,189,545, respectively)</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827,414,297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813,467,491</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(cost—$247,342,695 and $262,476,906, respectively)</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242,689,039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215,192,547</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(cost—$195,523,633 and $186,290,695, respectively)</w:t>
            </w:r>
          </w:p>
        </w:tc>
        <w:tc>
          <w:tcPr>
            <w:tcW w:w="30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124,376,311</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125,019,637</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(cost—$1,249,247,525 and $1,253,957,146, respectively)</w:t>
            </w:r>
          </w:p>
        </w:tc>
        <w:tc>
          <w:tcPr>
            <w:tcW w:w="3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1,194,479,647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1,153,679,675</w:t>
            </w:r>
          </w:p>
        </w:tc>
        <w:tc>
          <w:tcPr>
            <w:tcW w:w="120" w:type="dxa"/>
            <w:vAlign w:val="bottom"/>
          </w:tcPr>
          <w:p>
            <w:pPr>
              <w:spacing w:after="0"/>
              <w:rPr>
                <w:sz w:val="13"/>
                <w:szCs w:val="13"/>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(cost—$66,560,479 and $75,617,133, respectively)</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66,565,207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10,167,252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7,032,858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12,086,044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2,275,115</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2,615,232</w:t>
            </w:r>
          </w:p>
        </w:tc>
        <w:tc>
          <w:tcPr>
            <w:tcW w:w="120" w:type="dxa"/>
            <w:vAlign w:val="bottom"/>
            <w:tcBorders>
              <w:bottom w:val="single" w:sz="8" w:color="CCECFF"/>
            </w:tcBorders>
          </w:tcPr>
          <w:p>
            <w:pPr>
              <w:spacing w:after="0"/>
              <w:rPr>
                <w:sz w:val="14"/>
                <w:szCs w:val="14"/>
                <w:color w:val="auto"/>
              </w:rPr>
            </w:pPr>
          </w:p>
        </w:tc>
      </w:tr>
      <w:tr>
        <w:trPr>
          <w:trHeight w:val="155"/>
        </w:trPr>
        <w:tc>
          <w:tcPr>
            <w:tcW w:w="800" w:type="dxa"/>
            <w:vAlign w:val="bottom"/>
            <w:shd w:val="clear" w:color="auto" w:fill="CCECFF"/>
          </w:tcPr>
          <w:p>
            <w:pPr>
              <w:spacing w:after="0"/>
              <w:rPr>
                <w:sz w:val="13"/>
                <w:szCs w:val="13"/>
                <w:color w:val="auto"/>
              </w:rPr>
            </w:pPr>
          </w:p>
        </w:tc>
        <w:tc>
          <w:tcPr>
            <w:tcW w:w="69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shd w:val="clear" w:color="auto" w:fill="CCECFF"/>
          </w:tcPr>
          <w:p>
            <w:pPr>
              <w:spacing w:after="0"/>
              <w:rPr>
                <w:sz w:val="13"/>
                <w:szCs w:val="13"/>
                <w:color w:val="auto"/>
              </w:rPr>
            </w:pP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1,285,573,265</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1,238,935,878</w:t>
            </w:r>
          </w:p>
        </w:tc>
        <w:tc>
          <w:tcPr>
            <w:tcW w:w="120" w:type="dxa"/>
            <w:vAlign w:val="bottom"/>
            <w:shd w:val="clear" w:color="auto" w:fill="CCECFF"/>
          </w:tcPr>
          <w:p>
            <w:pPr>
              <w:spacing w:after="0"/>
              <w:rPr>
                <w:sz w:val="13"/>
                <w:szCs w:val="13"/>
                <w:color w:val="auto"/>
              </w:rPr>
            </w:pPr>
          </w:p>
        </w:tc>
      </w:tr>
      <w:tr>
        <w:trPr>
          <w:trHeight w:val="156"/>
        </w:trPr>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6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12,790,950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19,897,034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Credit Facility payable (cost—$99,586,300 and $50,339,700, respectively) (See Notes 5 and 10)</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88,491,651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39,551,187</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10)</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255,137,500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SBA debentures payable, net (par—$197,500,000) (See Notes 5 and 10)</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193,579,200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193,244,534</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2025 Notes payable (par—$71,250,000) (See Notes 5 and 10)</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72,247,500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72,618,000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Base management fee payable, net (See Note 3)</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5,319,305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5,074,830</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3,060,280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2,865,444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7,649,300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7,520,113</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30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1,109,912</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622,880</w:t>
            </w:r>
          </w:p>
        </w:tc>
        <w:tc>
          <w:tcPr>
            <w:tcW w:w="120" w:type="dxa"/>
            <w:vAlign w:val="bottom"/>
            <w:shd w:val="clear" w:color="auto" w:fill="CCECFF"/>
          </w:tcPr>
          <w:p>
            <w:pPr>
              <w:spacing w:after="0"/>
              <w:rPr>
                <w:sz w:val="14"/>
                <w:szCs w:val="14"/>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69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639,385,598</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3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80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71,060,836 shares issued and outstanding, respectively</w:t>
            </w:r>
          </w:p>
        </w:tc>
        <w:tc>
          <w:tcPr>
            <w:tcW w:w="300" w:type="dxa"/>
            <w:vAlign w:val="bottom"/>
            <w:shd w:val="clear" w:color="auto" w:fill="CCECFF"/>
          </w:tcPr>
          <w:p>
            <w:pPr>
              <w:spacing w:after="0"/>
              <w:rPr>
                <w:sz w:val="12"/>
                <w:szCs w:val="12"/>
                <w:color w:val="auto"/>
              </w:rPr>
            </w:pPr>
          </w:p>
        </w:tc>
        <w:tc>
          <w:tcPr>
            <w:tcW w:w="1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7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819,983,676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819,983,676</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Undistributed net investment income</w:t>
            </w:r>
          </w:p>
        </w:tc>
        <w:tc>
          <w:tcPr>
            <w:tcW w:w="3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1,640,939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3,119,380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Accumulated net realized loss on investments</w:t>
            </w:r>
          </w:p>
        </w:tc>
        <w:tc>
          <w:tcPr>
            <w:tcW w:w="30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(125,709,891)</w:t>
            </w: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(84,771,820)</w:t>
            </w: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unrealized depreciation on investments</w:t>
            </w:r>
          </w:p>
        </w:tc>
        <w:tc>
          <w:tcPr>
            <w:tcW w:w="30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(54,757,767)</w:t>
            </w: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(100,280,954)</w:t>
            </w: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Net unrealized depreciation on debt</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4,959,649</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5,245,513</w:t>
            </w:r>
          </w:p>
        </w:tc>
        <w:tc>
          <w:tcPr>
            <w:tcW w:w="120" w:type="dxa"/>
            <w:vAlign w:val="bottom"/>
            <w:tcBorders>
              <w:bottom w:val="single" w:sz="8" w:color="CCECFF"/>
            </w:tcBorders>
          </w:tcPr>
          <w:p>
            <w:pPr>
              <w:spacing w:after="0"/>
              <w:rPr>
                <w:sz w:val="14"/>
                <w:szCs w:val="14"/>
                <w:color w:val="auto"/>
              </w:rPr>
            </w:pPr>
          </w:p>
        </w:tc>
      </w:tr>
      <w:tr>
        <w:trPr>
          <w:trHeight w:val="155"/>
        </w:trPr>
        <w:tc>
          <w:tcPr>
            <w:tcW w:w="800" w:type="dxa"/>
            <w:vAlign w:val="bottom"/>
            <w:shd w:val="clear" w:color="auto" w:fill="CCECFF"/>
          </w:tcPr>
          <w:p>
            <w:pPr>
              <w:spacing w:after="0"/>
              <w:rPr>
                <w:sz w:val="13"/>
                <w:szCs w:val="13"/>
                <w:color w:val="auto"/>
              </w:rPr>
            </w:pPr>
          </w:p>
        </w:tc>
        <w:tc>
          <w:tcPr>
            <w:tcW w:w="69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646,187,667</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643,366,856</w:t>
            </w:r>
          </w:p>
        </w:tc>
        <w:tc>
          <w:tcPr>
            <w:tcW w:w="120" w:type="dxa"/>
            <w:vAlign w:val="bottom"/>
            <w:shd w:val="clear" w:color="auto" w:fill="CCECFF"/>
          </w:tcPr>
          <w:p>
            <w:pPr>
              <w:spacing w:after="0"/>
              <w:rPr>
                <w:sz w:val="13"/>
                <w:szCs w:val="13"/>
                <w:color w:val="auto"/>
              </w:rPr>
            </w:pPr>
          </w:p>
        </w:tc>
      </w:tr>
      <w:tr>
        <w:trPr>
          <w:trHeight w:val="195"/>
        </w:trPr>
        <w:tc>
          <w:tcPr>
            <w:tcW w:w="800" w:type="dxa"/>
            <w:vAlign w:val="bottom"/>
            <w:tcBorders>
              <w:bottom w:val="single" w:sz="8" w:color="CCECFF"/>
            </w:tcBorders>
          </w:tcPr>
          <w:p>
            <w:pPr>
              <w:spacing w:after="0"/>
              <w:rPr>
                <w:sz w:val="17"/>
                <w:szCs w:val="17"/>
                <w:color w:val="auto"/>
              </w:rPr>
            </w:pPr>
          </w:p>
        </w:tc>
        <w:tc>
          <w:tcPr>
            <w:tcW w:w="69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1,285,573,265</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9.09</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9.05</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2220" w:type="dxa"/>
            <w:vAlign w:val="bottom"/>
            <w:gridSpan w:val="5"/>
          </w:tcPr>
          <w:p>
            <w:pPr>
              <w:jc w:val="right"/>
              <w:ind w:right="299"/>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spacing w:after="0"/>
              <w:rPr>
                <w:sz w:val="13"/>
                <w:szCs w:val="13"/>
                <w:color w:val="auto"/>
              </w:rPr>
            </w:pP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5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24,090,316</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26,649,790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45,962,445</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54,867,820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1,565,617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5,860,016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3,668,153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7,527,669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4,440,386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3,337,000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8,666,067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5,517,576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3,618,674</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3,261,619</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7,264,738</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6,458,652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33,714,993</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39,108,425</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65,583,903</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74,371,717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6,332,507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6,115,075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12,607,289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12,620,855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3,643,189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4,772,473</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7,017,399</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8,568,255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7,179,057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6,942,925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13,914,631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13,669,250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894,000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900,500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1,788,000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1,768,000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668,483</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937,563</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1,336,990</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1,822,192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18,717,236</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19,668,536</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36,664,309</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38,448,552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(1,596,111)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(1,742,008)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(3,139,950)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(3,390,262)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48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850,000</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17,546,125</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18,276,528</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34,374,359</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36,708,290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16,168,868</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20,831,897</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31,209,544</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37,663,427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on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(18,742,737)</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(11,210,018)</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(40,938,071)</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9"/>
              <w:spacing w:after="0"/>
              <w:rPr>
                <w:sz w:val="20"/>
                <w:szCs w:val="20"/>
                <w:color w:val="auto"/>
              </w:rPr>
            </w:pPr>
            <w:r>
              <w:rPr>
                <w:rFonts w:ascii="Arial" w:cs="Arial" w:eastAsia="Arial" w:hAnsi="Arial"/>
                <w:sz w:val="14"/>
                <w:szCs w:val="14"/>
                <w:color w:val="auto"/>
              </w:rPr>
              <w:t>(36,584,981)</w:t>
            </w: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(6,279,870)</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(6,211,252)</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13,356,331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9"/>
              <w:spacing w:after="0"/>
              <w:rPr>
                <w:sz w:val="20"/>
                <w:szCs w:val="20"/>
                <w:color w:val="auto"/>
              </w:rPr>
            </w:pPr>
            <w:r>
              <w:rPr>
                <w:rFonts w:ascii="Arial" w:cs="Arial" w:eastAsia="Arial" w:hAnsi="Arial"/>
                <w:sz w:val="14"/>
                <w:szCs w:val="14"/>
                <w:color w:val="auto"/>
              </w:rPr>
              <w:t>(22,954,067)</w:t>
            </w: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26,429,957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(9,775,018)</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32,166,856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(32,904,728)</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(6,116,548)</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10,314,028</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(285,864)</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17,974,803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14,033,539</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(5,672,242)</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45,237,323</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(37,883,992)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(4,709,198)</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(16,882,260)</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4,299,252</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(74,468,973)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48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11,459,670</w:t>
            </w:r>
          </w:p>
        </w:tc>
        <w:tc>
          <w:tcPr>
            <w:tcW w:w="22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3,949,637</w:t>
            </w:r>
          </w:p>
        </w:tc>
        <w:tc>
          <w:tcPr>
            <w:tcW w:w="2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35,508,796</w:t>
            </w:r>
          </w:p>
        </w:tc>
        <w:tc>
          <w:tcPr>
            <w:tcW w:w="2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(36,805,546</w:t>
            </w:r>
          </w:p>
        </w:tc>
        <w:tc>
          <w:tcPr>
            <w:tcW w:w="100" w:type="dxa"/>
            <w:vAlign w:val="bottom"/>
            <w:tcBorders>
              <w:bottom w:val="single" w:sz="8" w:color="CCEC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3"/>
        </w:trPr>
        <w:tc>
          <w:tcPr>
            <w:tcW w:w="59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w w:val="99"/>
              </w:rPr>
              <w:t>Net increase (decrease) in net assets resulting from operations per common share (See Note 7)</w:t>
            </w:r>
          </w:p>
        </w:tc>
        <w:tc>
          <w:tcPr>
            <w:tcW w:w="4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0.06</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0.50</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31,209,544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37,663,427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(40,938,071)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(36,584,981)</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45,523,187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(55,858,795)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(285,864)</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17,974,803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35,508,796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(36,805,546)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(32,687,985)</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(39,985,833)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(12,180,491)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2,820,811</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(88,971,870)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643,366,856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716,590,542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646,187,667</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627,618,672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(distributions in excess of) net investment income, at end of period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1,640,939</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(15,747,292)</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of common stock repurchased</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(1,905,207)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35,508,796</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(36,805,546)</w:t>
            </w: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provided by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(45,523,187)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55,858,795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285,864</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(17,974,803)</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40,938,071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36,584,981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(1,791,876)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(2,897,809)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(289,692,765)</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(216,808,143)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(11,287,854)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(6,151,360)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266,232,636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200,963,008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334,666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293,819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(3,134,394)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182,936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(12,086,044)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340,117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4,965,110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(3,591,177)</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interest payable on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129,187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base management fee payable, net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244,475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(1,465,365)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performance-based incentive fee payable, net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194,836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(998,916)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487,032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(2,322,367)</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(18,820,440)</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9,855,777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(12,180,491)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(39,794,068)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(40,519,291)</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SBA debentures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Capitalized borrowing costs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(545,625)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345,760,000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276,164,923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(296,513,400)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(271,699,400)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9,452,532</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(26,279,884)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(9,367,908)</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(16,424,107)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325,002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75,608,113</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49,619,256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66,565,207</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33,195,129</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13,450,777</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13,352,817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102,458</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2,157,017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25,049,756</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39,438,420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jc w:val="center"/>
              <w:ind w:right="22"/>
              <w:spacing w:after="0"/>
              <w:rPr>
                <w:sz w:val="20"/>
                <w:szCs w:val="20"/>
                <w:color w:val="auto"/>
              </w:rPr>
            </w:pPr>
            <w:r>
              <w:rPr>
                <w:rFonts w:ascii="Arial" w:cs="Arial" w:eastAsia="Arial" w:hAnsi="Arial"/>
                <w:sz w:val="12"/>
                <w:szCs w:val="12"/>
                <w:b w:val="1"/>
                <w:bCs w:val="1"/>
                <w:color w:val="auto"/>
                <w:w w:val="85"/>
              </w:rPr>
              <w:t>Basis Point</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8"/>
              </w:rPr>
              <w:t>Spread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tcPr>
          <w:p>
            <w:pPr>
              <w:spacing w:after="0"/>
              <w:rPr>
                <w:sz w:val="11"/>
                <w:szCs w:val="11"/>
                <w:color w:val="auto"/>
              </w:rPr>
            </w:pPr>
          </w:p>
        </w:tc>
        <w:tc>
          <w:tcPr>
            <w:tcW w:w="1120" w:type="dxa"/>
            <w:vAlign w:val="bottom"/>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7"/>
              </w:rPr>
              <w:t>Above</w:t>
            </w:r>
          </w:p>
        </w:tc>
        <w:tc>
          <w:tcPr>
            <w:tcW w:w="2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6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120" w:type="dxa"/>
            <w:vAlign w:val="bottom"/>
          </w:tcPr>
          <w:p>
            <w:pPr>
              <w:jc w:val="right"/>
              <w:ind w:right="402"/>
              <w:spacing w:after="0"/>
              <w:rPr>
                <w:sz w:val="20"/>
                <w:szCs w:val="20"/>
                <w:color w:val="auto"/>
              </w:rPr>
            </w:pPr>
            <w:r>
              <w:rPr>
                <w:rFonts w:ascii="Arial" w:cs="Arial" w:eastAsia="Arial" w:hAnsi="Arial"/>
                <w:sz w:val="12"/>
                <w:szCs w:val="12"/>
                <w:b w:val="1"/>
                <w:bCs w:val="1"/>
                <w:color w:val="auto"/>
              </w:rPr>
              <w:t>Coupon</w:t>
            </w:r>
          </w:p>
        </w:tc>
        <w:tc>
          <w:tcPr>
            <w:tcW w:w="720" w:type="dxa"/>
            <w:vAlign w:val="bottom"/>
          </w:tcPr>
          <w:p>
            <w:pPr>
              <w:jc w:val="center"/>
              <w:ind w:right="2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9"/>
        </w:trPr>
        <w:tc>
          <w:tcPr>
            <w:tcW w:w="6540" w:type="dxa"/>
            <w:vAlign w:val="bottom"/>
            <w:tcBorders>
              <w:top w:val="single" w:sz="8" w:color="auto"/>
            </w:tcBorders>
            <w:gridSpan w:val="3"/>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Companies—128.1% </w:t>
            </w:r>
            <w:r>
              <w:rPr>
                <w:rFonts w:ascii="Arial" w:cs="Arial" w:eastAsia="Arial" w:hAnsi="Arial"/>
                <w:sz w:val="9"/>
                <w:szCs w:val="9"/>
                <w:b w:val="1"/>
                <w:bCs w:val="1"/>
                <w:color w:val="auto"/>
              </w:rPr>
              <w:t>(1), (2)</w:t>
            </w:r>
          </w:p>
        </w:tc>
        <w:tc>
          <w:tcPr>
            <w:tcW w:w="112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88"/>
        </w:trPr>
        <w:tc>
          <w:tcPr>
            <w:tcW w:w="3000" w:type="dxa"/>
            <w:vAlign w:val="bottom"/>
            <w:shd w:val="clear" w:color="auto" w:fill="CCECFF"/>
          </w:tcPr>
          <w:p>
            <w:pPr>
              <w:spacing w:after="0"/>
              <w:rPr>
                <w:sz w:val="7"/>
                <w:szCs w:val="7"/>
                <w:color w:val="auto"/>
              </w:rPr>
            </w:pPr>
          </w:p>
        </w:tc>
        <w:tc>
          <w:tcPr>
            <w:tcW w:w="920" w:type="dxa"/>
            <w:vAlign w:val="bottom"/>
            <w:shd w:val="clear" w:color="auto" w:fill="CCECFF"/>
          </w:tcPr>
          <w:p>
            <w:pPr>
              <w:spacing w:after="0"/>
              <w:rPr>
                <w:sz w:val="7"/>
                <w:szCs w:val="7"/>
                <w:color w:val="auto"/>
              </w:rPr>
            </w:pPr>
          </w:p>
        </w:tc>
        <w:tc>
          <w:tcPr>
            <w:tcW w:w="2620" w:type="dxa"/>
            <w:vAlign w:val="bottom"/>
            <w:shd w:val="clear" w:color="auto" w:fill="CCECFF"/>
          </w:tcPr>
          <w:p>
            <w:pPr>
              <w:spacing w:after="0"/>
              <w:rPr>
                <w:sz w:val="7"/>
                <w:szCs w:val="7"/>
                <w:color w:val="auto"/>
              </w:rPr>
            </w:pPr>
          </w:p>
        </w:tc>
        <w:tc>
          <w:tcPr>
            <w:tcW w:w="112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Debt—49.7%</w:t>
            </w: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Bottom Line Systems,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02/13/2023</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8.51%</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L+750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19,950,000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19,658,923</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19,776,358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92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7.00%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L+575</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8,894,361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9,037,500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Consumer Products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13.50%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L+1,225</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8,999,849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9,150,000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8.02%</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L+700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9,851,491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9,854,227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10/21/2020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Consumer Products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9.00%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L+800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4,372,074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4,329,154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4,328,353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2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620" w:type="dxa"/>
            <w:vAlign w:val="bottom"/>
          </w:tcPr>
          <w:p>
            <w:pPr>
              <w:jc w:val="center"/>
              <w:spacing w:after="0"/>
              <w:rPr>
                <w:sz w:val="20"/>
                <w:szCs w:val="20"/>
                <w:color w:val="auto"/>
              </w:rPr>
            </w:pPr>
            <w:r>
              <w:rPr>
                <w:rFonts w:ascii="Arial" w:cs="Arial" w:eastAsia="Arial" w:hAnsi="Arial"/>
                <w:sz w:val="12"/>
                <w:szCs w:val="12"/>
                <w:color w:val="auto"/>
                <w:w w:val="92"/>
              </w:rPr>
              <w:t>Building Materials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9.00%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L+800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24,727,793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24,555,615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24,975,071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10.50%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L+950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14,264,438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13,990,995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14,264,438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Juniper Landscaping of Florida, LLC (Revolver)</w:t>
            </w:r>
          </w:p>
        </w:tc>
        <w:tc>
          <w:tcPr>
            <w:tcW w:w="920" w:type="dxa"/>
            <w:vAlign w:val="bottom"/>
          </w:tcPr>
          <w:p>
            <w:pPr>
              <w:ind w:left="120"/>
              <w:spacing w:after="0"/>
              <w:rPr>
                <w:sz w:val="20"/>
                <w:szCs w:val="20"/>
                <w:color w:val="auto"/>
              </w:rPr>
            </w:pPr>
            <w:r>
              <w:rPr>
                <w:rFonts w:ascii="Arial" w:cs="Arial" w:eastAsia="Arial" w:hAnsi="Arial"/>
                <w:sz w:val="12"/>
                <w:szCs w:val="12"/>
                <w:color w:val="auto"/>
              </w:rPr>
              <w:t>12/22/2021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10.50%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L+950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180,000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Juniper Landscaping of Florida, LLC (Revolver) </w:t>
            </w:r>
            <w:r>
              <w:rPr>
                <w:rFonts w:ascii="Arial" w:cs="Arial" w:eastAsia="Arial" w:hAnsi="Arial"/>
                <w:sz w:val="9"/>
                <w:szCs w:val="9"/>
                <w:color w:val="auto"/>
              </w:rPr>
              <w:t>(8)</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12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3,420,000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2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10.00%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14,281,764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14,327,892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01/15/2021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Retail</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10.02%</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37,406,659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36,967,307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38,154,793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One Sixty Over Ninety, LLC</w:t>
            </w:r>
          </w:p>
        </w:tc>
        <w:tc>
          <w:tcPr>
            <w:tcW w:w="92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62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10.22%</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L+922</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15,927,812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15,925,000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12/16/2019</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Mining, Steel, Iron and Non-Precious Metals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11.50%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14,170,818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14,463,750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Robertshaw US Holding Corp.</w:t>
            </w:r>
          </w:p>
        </w:tc>
        <w:tc>
          <w:tcPr>
            <w:tcW w:w="920" w:type="dxa"/>
            <w:vAlign w:val="bottom"/>
          </w:tcPr>
          <w:p>
            <w:pPr>
              <w:ind w:left="120"/>
              <w:spacing w:after="0"/>
              <w:rPr>
                <w:sz w:val="20"/>
                <w:szCs w:val="20"/>
                <w:color w:val="auto"/>
              </w:rPr>
            </w:pPr>
            <w:r>
              <w:rPr>
                <w:rFonts w:ascii="Arial" w:cs="Arial" w:eastAsia="Arial" w:hAnsi="Arial"/>
                <w:sz w:val="12"/>
                <w:szCs w:val="12"/>
                <w:color w:val="auto"/>
              </w:rPr>
              <w:t>06/18/2019</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8.50%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L+700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15,884,843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15,825,004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15,829,611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Sotera Defense Solutions,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04/21/2017</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Aerospace and Defense</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9.00%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L+750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37,929,343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37,890,912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37,360,403</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2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620" w:type="dxa"/>
            <w:vAlign w:val="bottom"/>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11.50%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L+1,050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29,623,798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30,551,086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31,684,222</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(PIK 3.50%)</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12.23%</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L+1,125</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26,186,907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25,770,090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26,186,907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2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Buildings and Real Estate</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10.84%</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L+1,050</w:t>
            </w:r>
          </w:p>
        </w:tc>
        <w:tc>
          <w:tcPr>
            <w:tcW w:w="280" w:type="dxa"/>
            <w:vAlign w:val="bottom"/>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21,520,472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34,514,100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26,955,991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10.15%</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8,607,813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8,607,813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8,521,734</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11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324,967,094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320,976,250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Debt—55.2%</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2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10.50%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L+950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38,137,869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38,800,000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Financial Services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13.75%</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28,271,082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Harbortouch Payments, LLC</w:t>
            </w:r>
          </w:p>
        </w:tc>
        <w:tc>
          <w:tcPr>
            <w:tcW w:w="92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10.50%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L+950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17,163,491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17,237,500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11.15%</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L+1,000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41,812,500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40,169,970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38,049,375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122"/>
              <w:spacing w:after="0"/>
              <w:rPr>
                <w:sz w:val="20"/>
                <w:szCs w:val="20"/>
                <w:color w:val="auto"/>
              </w:rPr>
            </w:pPr>
            <w:r>
              <w:rPr>
                <w:rFonts w:ascii="Arial" w:cs="Arial" w:eastAsia="Arial" w:hAnsi="Arial"/>
                <w:sz w:val="12"/>
                <w:szCs w:val="12"/>
                <w:color w:val="auto"/>
              </w:rPr>
              <w:t>(PIK 5.32%)</w:t>
            </w: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tcPr>
          <w:p>
            <w:pPr>
              <w:ind w:left="120"/>
              <w:spacing w:after="0"/>
              <w:rPr>
                <w:sz w:val="20"/>
                <w:szCs w:val="20"/>
                <w:color w:val="auto"/>
              </w:rPr>
            </w:pPr>
            <w:r>
              <w:rPr>
                <w:rFonts w:ascii="Arial" w:cs="Arial" w:eastAsia="Arial" w:hAnsi="Arial"/>
                <w:sz w:val="12"/>
                <w:szCs w:val="12"/>
                <w:color w:val="auto"/>
              </w:rPr>
              <w:t>06/01/2017</w:t>
            </w:r>
          </w:p>
        </w:tc>
        <w:tc>
          <w:tcPr>
            <w:tcW w:w="262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112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5,156,586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3,739,798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2,990,819</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Printing and Publishing</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11.50%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L+1,050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25,964,846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07/07/2021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12.32%</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L+1,100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44,135,394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45,071,250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12/17/2021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13.00%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L+1,200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77,781,101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Pre-Paid Legal Services, Inc.</w:t>
            </w:r>
          </w:p>
        </w:tc>
        <w:tc>
          <w:tcPr>
            <w:tcW w:w="920" w:type="dxa"/>
            <w:vAlign w:val="bottom"/>
          </w:tcPr>
          <w:p>
            <w:pPr>
              <w:ind w:left="120"/>
              <w:spacing w:after="0"/>
              <w:rPr>
                <w:sz w:val="20"/>
                <w:szCs w:val="20"/>
                <w:color w:val="auto"/>
              </w:rPr>
            </w:pPr>
            <w:r>
              <w:rPr>
                <w:rFonts w:ascii="Arial" w:cs="Arial" w:eastAsia="Arial" w:hAnsi="Arial"/>
                <w:sz w:val="12"/>
                <w:szCs w:val="12"/>
                <w:color w:val="auto"/>
              </w:rPr>
              <w:t>07/01/2020</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10.25%</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62,261,413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62,854,793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Veritext Corp. (f/k/a VT Buyer Acquisition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01/30/2023</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Business Services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10.15%</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18,319,105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18,457,688</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11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353,162,968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356,431,776</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Notes—15.9%</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02/15/2019</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13.15%</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L+1,200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8,930,000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8,853,259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8,883,496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Environmental Services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12.00%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32,107,388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32,348,798</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Credit Infonet,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13.00%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11,110,315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10,898,315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11,014,693</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(PIK 0.75%)</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18.50%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L+1,400</w:t>
            </w:r>
          </w:p>
        </w:tc>
        <w:tc>
          <w:tcPr>
            <w:tcW w:w="2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8,661,597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12,677,001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10,830,920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122"/>
              <w:spacing w:after="0"/>
              <w:rPr>
                <w:sz w:val="20"/>
                <w:szCs w:val="20"/>
                <w:color w:val="auto"/>
              </w:rPr>
            </w:pPr>
            <w:r>
              <w:rPr>
                <w:rFonts w:ascii="Arial" w:cs="Arial" w:eastAsia="Arial" w:hAnsi="Arial"/>
                <w:sz w:val="12"/>
                <w:szCs w:val="12"/>
                <w:color w:val="auto"/>
              </w:rPr>
              <w:t>(PIK 10.00%)</w:t>
            </w: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Randall-Reilly, LLC</w:t>
            </w:r>
          </w:p>
        </w:tc>
        <w:tc>
          <w:tcPr>
            <w:tcW w:w="920" w:type="dxa"/>
            <w:vAlign w:val="bottom"/>
          </w:tcPr>
          <w:p>
            <w:pPr>
              <w:ind w:left="120"/>
              <w:spacing w:after="0"/>
              <w:rPr>
                <w:sz w:val="20"/>
                <w:szCs w:val="20"/>
                <w:color w:val="auto"/>
              </w:rPr>
            </w:pPr>
            <w:r>
              <w:rPr>
                <w:rFonts w:ascii="Arial" w:cs="Arial" w:eastAsia="Arial" w:hAnsi="Arial"/>
                <w:sz w:val="12"/>
                <w:szCs w:val="12"/>
                <w:color w:val="auto"/>
              </w:rPr>
              <w:t>04/15/2020</w:t>
            </w:r>
          </w:p>
        </w:tc>
        <w:tc>
          <w:tcPr>
            <w:tcW w:w="26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12.50%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26,608,064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26,336,240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06/01/2023</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11.00%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13,045,873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13,233,500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2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11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104,189,900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102,647,647</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Interests—0.8% </w:t>
            </w:r>
            <w:r>
              <w:rPr>
                <w:rFonts w:ascii="Arial" w:cs="Arial" w:eastAsia="Arial" w:hAnsi="Arial"/>
                <w:sz w:val="9"/>
                <w:szCs w:val="9"/>
                <w:b w:val="1"/>
                <w:bCs w:val="1"/>
                <w:color w:val="auto"/>
              </w:rPr>
              <w:t>(6)</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6.00%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385,372</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Financial Services</w:t>
            </w:r>
          </w:p>
        </w:tc>
        <w:tc>
          <w:tcPr>
            <w:tcW w:w="112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1,188,178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1120" w:type="dxa"/>
            <w:vAlign w:val="bottom"/>
          </w:tcPr>
          <w:p>
            <w:pPr>
              <w:jc w:val="right"/>
              <w:ind w:right="162"/>
              <w:spacing w:after="0"/>
              <w:rPr>
                <w:sz w:val="20"/>
                <w:szCs w:val="20"/>
                <w:color w:val="auto"/>
              </w:rPr>
            </w:pPr>
            <w:r>
              <w:rPr>
                <w:rFonts w:ascii="Arial" w:cs="Arial" w:eastAsia="Arial" w:hAnsi="Arial"/>
                <w:sz w:val="12"/>
                <w:szCs w:val="12"/>
                <w:color w:val="auto"/>
              </w:rPr>
              <w:t>8.00%</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2,490,931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Other Media</w:t>
            </w:r>
          </w:p>
        </w:tc>
        <w:tc>
          <w:tcPr>
            <w:tcW w:w="112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8.00%</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35,925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Roto Holdings, Inc.</w:t>
            </w:r>
          </w:p>
        </w:tc>
        <w:tc>
          <w:tcPr>
            <w:tcW w:w="92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62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1120" w:type="dxa"/>
            <w:vAlign w:val="bottom"/>
            <w:tcBorders>
              <w:bottom w:val="single" w:sz="8" w:color="CCECFF"/>
            </w:tcBorders>
          </w:tcPr>
          <w:p>
            <w:pPr>
              <w:jc w:val="right"/>
              <w:ind w:right="162"/>
              <w:spacing w:after="0"/>
              <w:rPr>
                <w:sz w:val="20"/>
                <w:szCs w:val="20"/>
                <w:color w:val="auto"/>
              </w:rPr>
            </w:pPr>
            <w:r>
              <w:rPr>
                <w:rFonts w:ascii="Arial" w:cs="Arial" w:eastAsia="Arial" w:hAnsi="Arial"/>
                <w:sz w:val="12"/>
                <w:szCs w:val="12"/>
                <w:color w:val="auto"/>
              </w:rPr>
              <w:t>9.00%</w:t>
            </w:r>
          </w:p>
        </w:tc>
        <w:tc>
          <w:tcPr>
            <w:tcW w:w="720" w:type="dxa"/>
            <w:vAlign w:val="bottom"/>
            <w:tcBorders>
              <w:bottom w:val="single" w:sz="8" w:color="CCECFF"/>
            </w:tcBorders>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1,469,970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5,570,376</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right="82"/>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80" w:type="dxa"/>
            <w:vAlign w:val="bottom"/>
          </w:tcPr>
          <w:p>
            <w:pPr>
              <w:spacing w:after="0"/>
              <w:rPr>
                <w:sz w:val="11"/>
                <w:szCs w:val="11"/>
                <w:color w:val="auto"/>
              </w:rPr>
            </w:pPr>
          </w:p>
        </w:tc>
        <w:tc>
          <w:tcPr>
            <w:tcW w:w="98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680" w:type="dxa"/>
            <w:vAlign w:val="bottom"/>
          </w:tcPr>
          <w:p>
            <w:pPr>
              <w:jc w:val="center"/>
              <w:ind w:right="62"/>
              <w:spacing w:after="0"/>
              <w:rPr>
                <w:sz w:val="20"/>
                <w:szCs w:val="20"/>
                <w:color w:val="auto"/>
              </w:rPr>
            </w:pPr>
            <w:r>
              <w:rPr>
                <w:rFonts w:ascii="Arial" w:cs="Arial" w:eastAsia="Arial" w:hAnsi="Arial"/>
                <w:sz w:val="12"/>
                <w:szCs w:val="12"/>
                <w:b w:val="1"/>
                <w:bCs w:val="1"/>
                <w:color w:val="auto"/>
                <w:w w:val="92"/>
              </w:rPr>
              <w:t>Industry</w:t>
            </w:r>
          </w:p>
        </w:tc>
        <w:tc>
          <w:tcPr>
            <w:tcW w:w="980" w:type="dxa"/>
            <w:vAlign w:val="bottom"/>
          </w:tcPr>
          <w:p>
            <w:pPr>
              <w:jc w:val="right"/>
              <w:ind w:right="322"/>
              <w:spacing w:after="0"/>
              <w:rPr>
                <w:sz w:val="20"/>
                <w:szCs w:val="20"/>
                <w:color w:val="auto"/>
              </w:rPr>
            </w:pPr>
            <w:r>
              <w:rPr>
                <w:rFonts w:ascii="Arial" w:cs="Arial" w:eastAsia="Arial" w:hAnsi="Arial"/>
                <w:sz w:val="12"/>
                <w:szCs w:val="12"/>
                <w:b w:val="1"/>
                <w:bCs w:val="1"/>
                <w:color w:val="auto"/>
              </w:rPr>
              <w:t>Coupon</w:t>
            </w:r>
          </w:p>
        </w:tc>
        <w:tc>
          <w:tcPr>
            <w:tcW w:w="900" w:type="dxa"/>
            <w:vAlign w:val="bottom"/>
          </w:tcPr>
          <w:p>
            <w:pPr>
              <w:jc w:val="center"/>
              <w:ind w:right="1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2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9"/>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Interests/Warrants—6.5% </w:t>
            </w:r>
            <w:r>
              <w:rPr>
                <w:rFonts w:ascii="Arial" w:cs="Arial" w:eastAsia="Arial" w:hAnsi="Arial"/>
                <w:sz w:val="9"/>
                <w:szCs w:val="9"/>
                <w:b w:val="1"/>
                <w:bCs w:val="1"/>
                <w:color w:val="auto"/>
                <w:w w:val="93"/>
              </w:rPr>
              <w:t>(6)</w:t>
            </w:r>
          </w:p>
        </w:tc>
        <w:tc>
          <w:tcPr>
            <w:tcW w:w="920" w:type="dxa"/>
            <w:vAlign w:val="bottom"/>
            <w:tcBorders>
              <w:top w:val="single" w:sz="8" w:color="auto"/>
            </w:tcBorders>
            <w:shd w:val="clear" w:color="auto" w:fill="CCECFF"/>
          </w:tcPr>
          <w:p>
            <w:pPr>
              <w:spacing w:after="0"/>
              <w:rPr>
                <w:sz w:val="12"/>
                <w:szCs w:val="12"/>
                <w:color w:val="auto"/>
              </w:rPr>
            </w:pPr>
          </w:p>
        </w:tc>
        <w:tc>
          <w:tcPr>
            <w:tcW w:w="2680" w:type="dxa"/>
            <w:vAlign w:val="bottom"/>
            <w:tcBorders>
              <w:top w:val="single" w:sz="8" w:color="auto"/>
            </w:tcBorders>
            <w:shd w:val="clear" w:color="auto" w:fill="CCECFF"/>
          </w:tcPr>
          <w:p>
            <w:pPr>
              <w:spacing w:after="0"/>
              <w:rPr>
                <w:sz w:val="12"/>
                <w:szCs w:val="12"/>
                <w:color w:val="auto"/>
              </w:rPr>
            </w:pPr>
          </w:p>
        </w:tc>
        <w:tc>
          <w:tcPr>
            <w:tcW w:w="9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88"/>
        </w:trPr>
        <w:tc>
          <w:tcPr>
            <w:tcW w:w="3040" w:type="dxa"/>
            <w:vAlign w:val="bottom"/>
            <w:shd w:val="clear" w:color="auto" w:fill="CCECFF"/>
          </w:tcPr>
          <w:p>
            <w:pPr>
              <w:spacing w:after="0"/>
              <w:rPr>
                <w:sz w:val="7"/>
                <w:szCs w:val="7"/>
                <w:color w:val="auto"/>
              </w:rPr>
            </w:pPr>
          </w:p>
        </w:tc>
        <w:tc>
          <w:tcPr>
            <w:tcW w:w="920" w:type="dxa"/>
            <w:vAlign w:val="bottom"/>
            <w:shd w:val="clear" w:color="auto" w:fill="CCECFF"/>
          </w:tcPr>
          <w:p>
            <w:pPr>
              <w:spacing w:after="0"/>
              <w:rPr>
                <w:sz w:val="7"/>
                <w:szCs w:val="7"/>
                <w:color w:val="auto"/>
              </w:rPr>
            </w:pPr>
          </w:p>
        </w:tc>
        <w:tc>
          <w:tcPr>
            <w:tcW w:w="2680" w:type="dxa"/>
            <w:vAlign w:val="bottom"/>
            <w:shd w:val="clear" w:color="auto" w:fill="CCECFF"/>
          </w:tcPr>
          <w:p>
            <w:pPr>
              <w:spacing w:after="0"/>
              <w:rPr>
                <w:sz w:val="7"/>
                <w:szCs w:val="7"/>
                <w:color w:val="auto"/>
              </w:rPr>
            </w:pPr>
          </w:p>
        </w:tc>
        <w:tc>
          <w:tcPr>
            <w:tcW w:w="980" w:type="dxa"/>
            <w:vAlign w:val="bottom"/>
            <w:shd w:val="clear" w:color="auto" w:fill="CCECFF"/>
          </w:tcPr>
          <w:p>
            <w:pPr>
              <w:spacing w:after="0"/>
              <w:rPr>
                <w:sz w:val="7"/>
                <w:szCs w:val="7"/>
                <w:color w:val="auto"/>
              </w:rPr>
            </w:pPr>
          </w:p>
        </w:tc>
        <w:tc>
          <w:tcPr>
            <w:tcW w:w="90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20" w:type="dxa"/>
            <w:vAlign w:val="bottom"/>
          </w:tcPr>
          <w:p>
            <w:pPr>
              <w:ind w:left="120"/>
              <w:spacing w:after="0"/>
              <w:rPr>
                <w:sz w:val="20"/>
                <w:szCs w:val="20"/>
                <w:color w:val="auto"/>
              </w:rPr>
            </w:pPr>
            <w:r>
              <w:rPr>
                <w:rFonts w:ascii="Arial" w:cs="Arial" w:eastAsia="Arial" w:hAnsi="Arial"/>
                <w:sz w:val="12"/>
                <w:szCs w:val="12"/>
                <w:color w:val="auto"/>
              </w:rPr>
              <w:t>03/23/2021</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753</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8"/>
              </w:rPr>
              <w:t>Financial Services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1,189</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20" w:type="dxa"/>
            <w:vAlign w:val="bottom"/>
          </w:tcPr>
          <w:p>
            <w:pPr>
              <w:ind w:left="120"/>
              <w:spacing w:after="0"/>
              <w:rPr>
                <w:sz w:val="20"/>
                <w:szCs w:val="20"/>
                <w:color w:val="auto"/>
              </w:rPr>
            </w:pPr>
            <w:r>
              <w:rPr>
                <w:rFonts w:ascii="Arial" w:cs="Arial" w:eastAsia="Arial" w:hAnsi="Arial"/>
                <w:sz w:val="12"/>
                <w:szCs w:val="12"/>
                <w:color w:val="auto"/>
              </w:rPr>
              <w:t>05/05/2026</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9"/>
              </w:rPr>
              <w:t>Education</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1,532,451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7"/>
              </w:rPr>
              <w:t>Broadcasting and Entertainment</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6"/>
              </w:rPr>
              <w:t>Cargo Transport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137,923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2,111,588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4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3,696,676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93"/>
              </w:rPr>
              <w:t>Distribution</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4,015,299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Electronics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2,997,890</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e.l.f. Beauty,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470,899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1,261,147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13,094,262</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92"/>
              </w:rPr>
              <w:t>Building Materials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601,583</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HW Holdco, LLC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90"/>
              </w:rPr>
              <w:t>Other Media</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3,885,433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Kadmon Holdings, Inc.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912,291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93"/>
              </w:rPr>
              <w:t>Distribution</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564,582</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86"/>
              </w:rPr>
              <w:t>Personal, Food and Miscellaneous Services</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7,455,412</w:t>
            </w:r>
          </w:p>
        </w:tc>
        <w:tc>
          <w:tcPr>
            <w:tcW w:w="100" w:type="dxa"/>
            <w:vAlign w:val="bottom"/>
          </w:tcPr>
          <w:p>
            <w:pPr>
              <w:spacing w:after="0"/>
              <w:rPr>
                <w:sz w:val="12"/>
                <w:szCs w:val="12"/>
                <w:color w:val="auto"/>
              </w:rPr>
            </w:pPr>
          </w:p>
        </w:tc>
      </w:tr>
      <w:tr>
        <w:trPr>
          <w:trHeight w:val="141"/>
        </w:trPr>
        <w:tc>
          <w:tcPr>
            <w:tcW w:w="304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Patriot National, Inc.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7"/>
              </w:rPr>
              <w:t>Insurance</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284,496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Roto Holdings,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90"/>
              </w:rPr>
              <w:t>Manufacturing / Basic Industries</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1,992,420</w:t>
            </w:r>
          </w:p>
        </w:tc>
        <w:tc>
          <w:tcPr>
            <w:tcW w:w="100" w:type="dxa"/>
            <w:vAlign w:val="bottom"/>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6"/>
              </w:rPr>
              <w:t>Personal, Food and Miscellaneous Services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100" w:type="dxa"/>
            <w:vAlign w:val="bottom"/>
            <w:shd w:val="clear" w:color="auto" w:fill="CCECFF"/>
          </w:tcPr>
          <w:p>
            <w:pPr>
              <w:spacing w:after="0"/>
              <w:rPr>
                <w:sz w:val="12"/>
                <w:szCs w:val="12"/>
                <w:color w:val="auto"/>
              </w:rPr>
            </w:pPr>
          </w:p>
        </w:tc>
      </w:tr>
      <w:tr>
        <w:trPr>
          <w:trHeight w:val="141"/>
        </w:trPr>
        <w:tc>
          <w:tcPr>
            <w:tcW w:w="304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20" w:type="dxa"/>
            <w:vAlign w:val="bottom"/>
            <w:tcBorders>
              <w:bottom w:val="single" w:sz="8" w:color="CCECFF"/>
            </w:tcBorders>
          </w:tcPr>
          <w:p>
            <w:pPr>
              <w:spacing w:after="0"/>
              <w:rPr>
                <w:sz w:val="12"/>
                <w:szCs w:val="12"/>
                <w:color w:val="auto"/>
              </w:rPr>
            </w:pPr>
          </w:p>
        </w:tc>
        <w:tc>
          <w:tcPr>
            <w:tcW w:w="2680" w:type="dxa"/>
            <w:vAlign w:val="bottom"/>
            <w:tcBorders>
              <w:bottom w:val="single" w:sz="8" w:color="CCECFF"/>
            </w:tcBorders>
          </w:tcPr>
          <w:p>
            <w:pPr>
              <w:spacing w:after="0"/>
              <w:rPr>
                <w:sz w:val="12"/>
                <w:szCs w:val="12"/>
                <w:color w:val="auto"/>
              </w:rPr>
            </w:pPr>
          </w:p>
        </w:tc>
        <w:tc>
          <w:tcPr>
            <w:tcW w:w="98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19,327,064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41,788,248</w:t>
            </w:r>
          </w:p>
        </w:tc>
        <w:tc>
          <w:tcPr>
            <w:tcW w:w="100" w:type="dxa"/>
            <w:vAlign w:val="bottom"/>
            <w:tcBorders>
              <w:bottom w:val="single" w:sz="8" w:color="CCECFF"/>
            </w:tcBorders>
          </w:tcPr>
          <w:p>
            <w:pPr>
              <w:spacing w:after="0"/>
              <w:rPr>
                <w:sz w:val="12"/>
                <w:szCs w:val="12"/>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806,381,197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827,414,297</w:t>
            </w:r>
          </w:p>
        </w:tc>
        <w:tc>
          <w:tcPr>
            <w:tcW w:w="100" w:type="dxa"/>
            <w:vAlign w:val="bottom"/>
            <w:shd w:val="clear" w:color="auto" w:fill="CCECFF"/>
          </w:tcPr>
          <w:p>
            <w:pPr>
              <w:spacing w:after="0"/>
              <w:rPr>
                <w:sz w:val="12"/>
                <w:szCs w:val="12"/>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Companies—37.6% </w:t>
            </w:r>
            <w:r>
              <w:rPr>
                <w:rFonts w:ascii="Arial" w:cs="Arial" w:eastAsia="Arial" w:hAnsi="Arial"/>
                <w:sz w:val="9"/>
                <w:szCs w:val="9"/>
                <w:b w:val="1"/>
                <w:bCs w:val="1"/>
                <w:color w:val="auto"/>
                <w:w w:val="91"/>
              </w:rPr>
              <w:t>(1), (2)</w:t>
            </w: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8"/>
        </w:trPr>
        <w:tc>
          <w:tcPr>
            <w:tcW w:w="3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Debt—12.0%</w:t>
            </w: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920" w:type="dxa"/>
            <w:vAlign w:val="bottom"/>
          </w:tcPr>
          <w:p>
            <w:pPr>
              <w:ind w:left="120"/>
              <w:spacing w:after="0"/>
              <w:rPr>
                <w:sz w:val="20"/>
                <w:szCs w:val="20"/>
                <w:color w:val="auto"/>
              </w:rPr>
            </w:pPr>
            <w:r>
              <w:rPr>
                <w:rFonts w:ascii="Arial" w:cs="Arial" w:eastAsia="Arial" w:hAnsi="Arial"/>
                <w:sz w:val="12"/>
                <w:szCs w:val="12"/>
                <w:color w:val="auto"/>
              </w:rPr>
              <w:t>12/31/2021</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8"/>
              </w:rPr>
              <w:t>Diversified Natural Resources,</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15.00%</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3,257,511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3,158,161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3,257,511</w:t>
            </w:r>
          </w:p>
        </w:tc>
        <w:tc>
          <w:tcPr>
            <w:tcW w:w="100" w:type="dxa"/>
            <w:vAlign w:val="bottom"/>
          </w:tcPr>
          <w:p>
            <w:pPr>
              <w:spacing w:after="0"/>
              <w:rPr>
                <w:sz w:val="13"/>
                <w:szCs w:val="13"/>
                <w:color w:val="auto"/>
              </w:rPr>
            </w:pPr>
          </w:p>
        </w:tc>
      </w:tr>
      <w:tr>
        <w:trPr>
          <w:trHeight w:val="141"/>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87"/>
              </w:rPr>
              <w:t>Precious Metals and Minerals</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(PIK 5.00%)</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10.79%</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L+1,000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10,195,875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9,951,350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10,195,875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20" w:type="dxa"/>
            <w:vAlign w:val="bottom"/>
          </w:tcPr>
          <w:p>
            <w:pPr>
              <w:ind w:left="120"/>
              <w:spacing w:after="0"/>
              <w:rPr>
                <w:sz w:val="20"/>
                <w:szCs w:val="20"/>
                <w:color w:val="auto"/>
              </w:rPr>
            </w:pPr>
            <w:r>
              <w:rPr>
                <w:rFonts w:ascii="Arial" w:cs="Arial" w:eastAsia="Arial" w:hAnsi="Arial"/>
                <w:sz w:val="12"/>
                <w:szCs w:val="12"/>
                <w:color w:val="auto"/>
              </w:rPr>
              <w:t>12/23/2021</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10.79%</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L+1,000</w:t>
            </w:r>
          </w:p>
        </w:tc>
        <w:tc>
          <w:tcPr>
            <w:tcW w:w="720" w:type="dxa"/>
            <w:vAlign w:val="bottom"/>
          </w:tcPr>
          <w:p>
            <w:pPr>
              <w:jc w:val="right"/>
              <w:spacing w:after="0"/>
              <w:rPr>
                <w:sz w:val="20"/>
                <w:szCs w:val="20"/>
                <w:color w:val="auto"/>
              </w:rPr>
            </w:pPr>
            <w:r>
              <w:rPr>
                <w:rFonts w:ascii="Arial" w:cs="Arial" w:eastAsia="Arial" w:hAnsi="Arial"/>
                <w:sz w:val="12"/>
                <w:szCs w:val="12"/>
                <w:color w:val="auto"/>
              </w:rPr>
              <w:t>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900,000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11/25/2020</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5"/>
              </w:rPr>
              <w:t>Aerospace and Defense</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10.75%</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L+975</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23,403,750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23,037,901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23,169,713</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20" w:type="dxa"/>
            <w:vAlign w:val="bottom"/>
          </w:tcPr>
          <w:p>
            <w:pPr>
              <w:ind w:left="120"/>
              <w:spacing w:after="0"/>
              <w:rPr>
                <w:sz w:val="20"/>
                <w:szCs w:val="20"/>
                <w:color w:val="auto"/>
              </w:rPr>
            </w:pPr>
            <w:r>
              <w:rPr>
                <w:rFonts w:ascii="Arial" w:cs="Arial" w:eastAsia="Arial" w:hAnsi="Arial"/>
                <w:sz w:val="12"/>
                <w:szCs w:val="12"/>
                <w:color w:val="auto"/>
              </w:rPr>
              <w:t>11/25/2020</w:t>
            </w: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85"/>
              </w:rPr>
              <w:t>Aerospace and Defense</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1,942,623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PAS Technologies,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06/19/2017</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5"/>
              </w:rPr>
              <w:t>Aerospace and Defense</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6.02%</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L+500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4,428,016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4,009,095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4,428,016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42"/>
              <w:spacing w:after="0"/>
              <w:rPr>
                <w:sz w:val="20"/>
                <w:szCs w:val="20"/>
                <w:color w:val="auto"/>
              </w:rPr>
            </w:pPr>
            <w:r>
              <w:rPr>
                <w:rFonts w:ascii="Arial" w:cs="Arial" w:eastAsia="Arial" w:hAnsi="Arial"/>
                <w:sz w:val="12"/>
                <w:szCs w:val="12"/>
                <w:color w:val="auto"/>
              </w:rPr>
              <w:t>(PIK 1.00%)</w:t>
            </w: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TRAK Acquisition Corp.</w:t>
            </w:r>
          </w:p>
        </w:tc>
        <w:tc>
          <w:tcPr>
            <w:tcW w:w="920" w:type="dxa"/>
            <w:vAlign w:val="bottom"/>
          </w:tcPr>
          <w:p>
            <w:pPr>
              <w:ind w:left="120"/>
              <w:spacing w:after="0"/>
              <w:rPr>
                <w:sz w:val="20"/>
                <w:szCs w:val="20"/>
                <w:color w:val="auto"/>
              </w:rPr>
            </w:pPr>
            <w:r>
              <w:rPr>
                <w:rFonts w:ascii="Arial" w:cs="Arial" w:eastAsia="Arial" w:hAnsi="Arial"/>
                <w:sz w:val="12"/>
                <w:szCs w:val="12"/>
                <w:color w:val="auto"/>
              </w:rPr>
              <w:t>04/30/2018</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5"/>
              </w:rPr>
              <w:t>Business Services</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12.00%</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L+1,050</w:t>
            </w:r>
          </w:p>
        </w:tc>
        <w:tc>
          <w:tcPr>
            <w:tcW w:w="720" w:type="dxa"/>
            <w:vAlign w:val="bottom"/>
          </w:tcPr>
          <w:p>
            <w:pPr>
              <w:jc w:val="right"/>
              <w:spacing w:after="0"/>
              <w:rPr>
                <w:sz w:val="20"/>
                <w:szCs w:val="20"/>
                <w:color w:val="auto"/>
              </w:rPr>
            </w:pPr>
            <w:r>
              <w:rPr>
                <w:rFonts w:ascii="Arial" w:cs="Arial" w:eastAsia="Arial" w:hAnsi="Arial"/>
                <w:sz w:val="12"/>
                <w:szCs w:val="12"/>
                <w:color w:val="auto"/>
              </w:rPr>
              <w:t>22,077,411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21,984,542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22,077,411</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 (Revolver)</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08/25/2017</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5"/>
              </w:rPr>
              <w:t>Business Services</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12.00%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L+1,050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U.S. Well Services,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02/02/2022</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12.00%</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L+1,100</w:t>
            </w:r>
          </w:p>
        </w:tc>
        <w:tc>
          <w:tcPr>
            <w:tcW w:w="720" w:type="dxa"/>
            <w:vAlign w:val="bottom"/>
          </w:tcPr>
          <w:p>
            <w:pPr>
              <w:jc w:val="right"/>
              <w:spacing w:after="0"/>
              <w:rPr>
                <w:sz w:val="20"/>
                <w:szCs w:val="20"/>
                <w:color w:val="auto"/>
              </w:rPr>
            </w:pPr>
            <w:r>
              <w:rPr>
                <w:rFonts w:ascii="Arial" w:cs="Arial" w:eastAsia="Arial" w:hAnsi="Arial"/>
                <w:sz w:val="12"/>
                <w:szCs w:val="12"/>
                <w:color w:val="auto"/>
              </w:rPr>
              <w:t>9,175,404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9,090,959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9,175,404</w:t>
            </w:r>
          </w:p>
        </w:tc>
        <w:tc>
          <w:tcPr>
            <w:tcW w:w="10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(PIK 12.00%)</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 (Revolver)</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02/02/2022</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7.00%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L+600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1,384,812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1,384,812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1,384,812</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920" w:type="dxa"/>
            <w:vAlign w:val="bottom"/>
          </w:tcPr>
          <w:p>
            <w:pPr>
              <w:ind w:left="120"/>
              <w:spacing w:after="0"/>
              <w:rPr>
                <w:sz w:val="20"/>
                <w:szCs w:val="20"/>
                <w:color w:val="auto"/>
              </w:rPr>
            </w:pPr>
            <w:r>
              <w:rPr>
                <w:rFonts w:ascii="Arial" w:cs="Arial" w:eastAsia="Arial" w:hAnsi="Arial"/>
                <w:sz w:val="12"/>
                <w:szCs w:val="12"/>
                <w:color w:val="auto"/>
              </w:rPr>
              <w:t>02/02/2022</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807,609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Borders>
              <w:top w:val="single" w:sz="8" w:color="CCECFF"/>
            </w:tcBorders>
            <w:shd w:val="clear" w:color="auto" w:fill="CCECFF"/>
          </w:tcPr>
          <w:p>
            <w:pPr>
              <w:spacing w:after="0"/>
              <w:rPr>
                <w:sz w:val="12"/>
                <w:szCs w:val="12"/>
                <w:color w:val="auto"/>
              </w:rPr>
            </w:pPr>
          </w:p>
        </w:tc>
        <w:tc>
          <w:tcPr>
            <w:tcW w:w="2680" w:type="dxa"/>
            <w:vAlign w:val="bottom"/>
            <w:tcBorders>
              <w:top w:val="single" w:sz="8" w:color="CCECFF"/>
            </w:tcBorders>
            <w:shd w:val="clear" w:color="auto" w:fill="CCECFF"/>
          </w:tcPr>
          <w:p>
            <w:pPr>
              <w:spacing w:after="0"/>
              <w:rPr>
                <w:sz w:val="12"/>
                <w:szCs w:val="12"/>
                <w:color w:val="auto"/>
              </w:rPr>
            </w:pPr>
          </w:p>
        </w:tc>
        <w:tc>
          <w:tcPr>
            <w:tcW w:w="98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76,516,820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77,588,742</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rPr>
              <w:t>Second Lien Secured Debt—4.2%</w:t>
            </w: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10/31/2018</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8.50%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L+700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17,191,157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17,614,260</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EnviroSolutions Real Property Holdings, Inc.</w:t>
            </w:r>
          </w:p>
        </w:tc>
        <w:tc>
          <w:tcPr>
            <w:tcW w:w="92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12/26/2017</w:t>
            </w:r>
          </w:p>
        </w:tc>
        <w:tc>
          <w:tcPr>
            <w:tcW w:w="268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980" w:type="dxa"/>
            <w:vAlign w:val="bottom"/>
            <w:tcBorders>
              <w:bottom w:val="single" w:sz="8" w:color="CCECFF"/>
            </w:tcBorders>
          </w:tcPr>
          <w:p>
            <w:pPr>
              <w:jc w:val="right"/>
              <w:ind w:right="82"/>
              <w:spacing w:after="0"/>
              <w:rPr>
                <w:sz w:val="20"/>
                <w:szCs w:val="20"/>
                <w:color w:val="auto"/>
              </w:rPr>
            </w:pPr>
            <w:r>
              <w:rPr>
                <w:rFonts w:ascii="Arial" w:cs="Arial" w:eastAsia="Arial" w:hAnsi="Arial"/>
                <w:sz w:val="12"/>
                <w:szCs w:val="12"/>
                <w:color w:val="auto"/>
              </w:rPr>
              <w:t>9.04%</w:t>
            </w:r>
          </w:p>
        </w:tc>
        <w:tc>
          <w:tcPr>
            <w:tcW w:w="900" w:type="dxa"/>
            <w:vAlign w:val="bottom"/>
            <w:tcBorders>
              <w:bottom w:val="single" w:sz="8" w:color="CCECFF"/>
            </w:tcBorders>
          </w:tcPr>
          <w:p>
            <w:pPr>
              <w:jc w:val="right"/>
              <w:ind w:right="142"/>
              <w:spacing w:after="0"/>
              <w:rPr>
                <w:sz w:val="20"/>
                <w:szCs w:val="20"/>
                <w:color w:val="auto"/>
              </w:rPr>
            </w:pPr>
            <w:r>
              <w:rPr>
                <w:rFonts w:ascii="Arial" w:cs="Arial" w:eastAsia="Arial" w:hAnsi="Arial"/>
                <w:sz w:val="12"/>
                <w:szCs w:val="12"/>
                <w:color w:val="auto"/>
              </w:rPr>
              <w:t>L+800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9,409,740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9,340,343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9,409,740</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26,531,500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27,024,000</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Notes—10.1%</w:t>
            </w: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(9),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07/30/2018</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7.50%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10,055,185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9,383,248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9,753,530</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42"/>
              <w:spacing w:after="0"/>
              <w:rPr>
                <w:sz w:val="20"/>
                <w:szCs w:val="20"/>
                <w:color w:val="auto"/>
              </w:rPr>
            </w:pPr>
            <w:r>
              <w:rPr>
                <w:rFonts w:ascii="Arial" w:cs="Arial" w:eastAsia="Arial" w:hAnsi="Arial"/>
                <w:sz w:val="12"/>
                <w:szCs w:val="12"/>
                <w:color w:val="auto"/>
              </w:rPr>
              <w:t>(PIK 4.00%)</w:t>
            </w: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20" w:type="dxa"/>
            <w:vAlign w:val="bottom"/>
          </w:tcPr>
          <w:p>
            <w:pPr>
              <w:ind w:left="120"/>
              <w:spacing w:after="0"/>
              <w:rPr>
                <w:sz w:val="20"/>
                <w:szCs w:val="20"/>
                <w:color w:val="auto"/>
              </w:rPr>
            </w:pPr>
            <w:r>
              <w:rPr>
                <w:rFonts w:ascii="Arial" w:cs="Arial" w:eastAsia="Arial" w:hAnsi="Arial"/>
                <w:sz w:val="12"/>
                <w:szCs w:val="12"/>
                <w:color w:val="auto"/>
              </w:rPr>
              <w:t>12/31/2021</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8"/>
              </w:rPr>
              <w:t>Diversified Natural Resources,</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17.00%</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9,407,407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9,407,407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9,407,407</w:t>
            </w:r>
          </w:p>
        </w:tc>
        <w:tc>
          <w:tcPr>
            <w:tcW w:w="10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87"/>
              </w:rPr>
              <w:t>Precious Metals and Minerals</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(PIK 17.00%)</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05/03/2021</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12.50%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26,903,473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36,908,379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45,735,904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42"/>
              <w:spacing w:after="0"/>
              <w:rPr>
                <w:sz w:val="20"/>
                <w:szCs w:val="20"/>
                <w:color w:val="auto"/>
              </w:rPr>
            </w:pPr>
            <w:r>
              <w:rPr>
                <w:rFonts w:ascii="Arial" w:cs="Arial" w:eastAsia="Arial" w:hAnsi="Arial"/>
                <w:sz w:val="12"/>
                <w:szCs w:val="12"/>
                <w:color w:val="auto"/>
              </w:rPr>
              <w:t>(PIK 12.50%)</w:t>
            </w: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20" w:type="dxa"/>
            <w:vAlign w:val="bottom"/>
            <w:tcBorders>
              <w:bottom w:val="single" w:sz="8" w:color="CCECFF"/>
            </w:tcBorders>
          </w:tcPr>
          <w:p>
            <w:pPr>
              <w:spacing w:after="0"/>
              <w:rPr>
                <w:sz w:val="12"/>
                <w:szCs w:val="12"/>
                <w:color w:val="auto"/>
              </w:rPr>
            </w:pPr>
          </w:p>
        </w:tc>
        <w:tc>
          <w:tcPr>
            <w:tcW w:w="2680" w:type="dxa"/>
            <w:vAlign w:val="bottom"/>
            <w:tcBorders>
              <w:bottom w:val="single" w:sz="8" w:color="CCECFF"/>
            </w:tcBorders>
          </w:tcPr>
          <w:p>
            <w:pPr>
              <w:spacing w:after="0"/>
              <w:rPr>
                <w:sz w:val="12"/>
                <w:szCs w:val="12"/>
                <w:color w:val="auto"/>
              </w:rPr>
            </w:pPr>
          </w:p>
        </w:tc>
        <w:tc>
          <w:tcPr>
            <w:tcW w:w="98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55,699,034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64,896,841</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Equity—0.8% </w:t>
            </w:r>
            <w:r>
              <w:rPr>
                <w:rFonts w:ascii="Arial" w:cs="Arial" w:eastAsia="Arial" w:hAnsi="Arial"/>
                <w:sz w:val="9"/>
                <w:szCs w:val="9"/>
                <w:b w:val="1"/>
                <w:bCs w:val="1"/>
                <w:color w:val="auto"/>
              </w:rPr>
              <w:t>(6)</w:t>
            </w: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PAS International Holdings, Inc.</w:t>
            </w:r>
          </w:p>
        </w:tc>
        <w:tc>
          <w:tcPr>
            <w:tcW w:w="92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680" w:type="dxa"/>
            <w:vAlign w:val="bottom"/>
            <w:tcBorders>
              <w:bottom w:val="single" w:sz="8" w:color="CCECFF"/>
            </w:tcBorders>
          </w:tcPr>
          <w:p>
            <w:pPr>
              <w:jc w:val="center"/>
              <w:ind w:right="42"/>
              <w:spacing w:after="0"/>
              <w:rPr>
                <w:sz w:val="20"/>
                <w:szCs w:val="20"/>
                <w:color w:val="auto"/>
              </w:rPr>
            </w:pPr>
            <w:r>
              <w:rPr>
                <w:rFonts w:ascii="Arial" w:cs="Arial" w:eastAsia="Arial" w:hAnsi="Arial"/>
                <w:sz w:val="12"/>
                <w:szCs w:val="12"/>
                <w:color w:val="auto"/>
                <w:w w:val="85"/>
              </w:rPr>
              <w:t>Aerospace and Defense</w:t>
            </w:r>
          </w:p>
        </w:tc>
        <w:tc>
          <w:tcPr>
            <w:tcW w:w="980" w:type="dxa"/>
            <w:vAlign w:val="bottom"/>
            <w:tcBorders>
              <w:bottom w:val="single" w:sz="8" w:color="CCECFF"/>
            </w:tcBorders>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20,059,340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5,254,029</w:t>
            </w:r>
          </w:p>
        </w:tc>
        <w:tc>
          <w:tcPr>
            <w:tcW w:w="100" w:type="dxa"/>
            <w:vAlign w:val="bottom"/>
            <w:tcBorders>
              <w:bottom w:val="single" w:sz="8" w:color="CCECFF"/>
            </w:tcBorders>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Interests/Warrants—10.5% </w:t>
            </w:r>
            <w:r>
              <w:rPr>
                <w:rFonts w:ascii="Arial" w:cs="Arial" w:eastAsia="Arial" w:hAnsi="Arial"/>
                <w:sz w:val="9"/>
                <w:szCs w:val="9"/>
                <w:b w:val="1"/>
                <w:bCs w:val="1"/>
                <w:color w:val="auto"/>
                <w:w w:val="91"/>
              </w:rPr>
              <w:t>(6)</w:t>
            </w:r>
          </w:p>
        </w:tc>
        <w:tc>
          <w:tcPr>
            <w:tcW w:w="920" w:type="dxa"/>
            <w:vAlign w:val="bottom"/>
            <w:shd w:val="clear" w:color="auto" w:fill="CCECFF"/>
          </w:tcPr>
          <w:p>
            <w:pPr>
              <w:spacing w:after="0"/>
              <w:rPr>
                <w:sz w:val="12"/>
                <w:szCs w:val="12"/>
                <w:color w:val="auto"/>
              </w:rPr>
            </w:pPr>
          </w:p>
        </w:tc>
        <w:tc>
          <w:tcPr>
            <w:tcW w:w="26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88"/>
        </w:trPr>
        <w:tc>
          <w:tcPr>
            <w:tcW w:w="3040" w:type="dxa"/>
            <w:vAlign w:val="bottom"/>
            <w:shd w:val="clear" w:color="auto" w:fill="CCECFF"/>
          </w:tcPr>
          <w:p>
            <w:pPr>
              <w:spacing w:after="0"/>
              <w:rPr>
                <w:sz w:val="7"/>
                <w:szCs w:val="7"/>
                <w:color w:val="auto"/>
              </w:rPr>
            </w:pPr>
          </w:p>
        </w:tc>
        <w:tc>
          <w:tcPr>
            <w:tcW w:w="920" w:type="dxa"/>
            <w:vAlign w:val="bottom"/>
            <w:shd w:val="clear" w:color="auto" w:fill="CCECFF"/>
          </w:tcPr>
          <w:p>
            <w:pPr>
              <w:spacing w:after="0"/>
              <w:rPr>
                <w:sz w:val="7"/>
                <w:szCs w:val="7"/>
                <w:color w:val="auto"/>
              </w:rPr>
            </w:pPr>
          </w:p>
        </w:tc>
        <w:tc>
          <w:tcPr>
            <w:tcW w:w="2680" w:type="dxa"/>
            <w:vAlign w:val="bottom"/>
            <w:shd w:val="clear" w:color="auto" w:fill="CCECFF"/>
          </w:tcPr>
          <w:p>
            <w:pPr>
              <w:spacing w:after="0"/>
              <w:rPr>
                <w:sz w:val="7"/>
                <w:szCs w:val="7"/>
                <w:color w:val="auto"/>
              </w:rPr>
            </w:pPr>
          </w:p>
        </w:tc>
        <w:tc>
          <w:tcPr>
            <w:tcW w:w="980" w:type="dxa"/>
            <w:vAlign w:val="bottom"/>
            <w:shd w:val="clear" w:color="auto" w:fill="CCECFF"/>
          </w:tcPr>
          <w:p>
            <w:pPr>
              <w:spacing w:after="0"/>
              <w:rPr>
                <w:sz w:val="7"/>
                <w:szCs w:val="7"/>
                <w:color w:val="auto"/>
              </w:rPr>
            </w:pPr>
          </w:p>
        </w:tc>
        <w:tc>
          <w:tcPr>
            <w:tcW w:w="90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859,496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17,958,774</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39,506</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88"/>
              </w:rPr>
              <w:t>Diversified Natural Resources, Precious Metals and</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5,465,627</w:t>
            </w:r>
          </w:p>
        </w:tc>
        <w:tc>
          <w:tcPr>
            <w:tcW w:w="100" w:type="dxa"/>
            <w:vAlign w:val="bottom"/>
          </w:tcPr>
          <w:p>
            <w:pPr>
              <w:spacing w:after="0"/>
              <w:rPr>
                <w:sz w:val="12"/>
                <w:szCs w:val="12"/>
                <w:color w:val="auto"/>
              </w:rPr>
            </w:pPr>
          </w:p>
        </w:tc>
      </w:tr>
      <w:tr>
        <w:trPr>
          <w:trHeight w:val="141"/>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92"/>
              </w:rPr>
              <w:t>Minerals</w:t>
            </w: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42"/>
              <w:spacing w:after="0"/>
              <w:rPr>
                <w:sz w:val="20"/>
                <w:szCs w:val="20"/>
                <w:color w:val="auto"/>
              </w:rPr>
            </w:pPr>
            <w:r>
              <w:rPr>
                <w:rFonts w:ascii="Arial" w:cs="Arial" w:eastAsia="Arial" w:hAnsi="Arial"/>
                <w:sz w:val="12"/>
                <w:szCs w:val="12"/>
                <w:color w:val="auto"/>
                <w:w w:val="85"/>
              </w:rPr>
              <w:t>Aerospace and Defense</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1,315,694</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42"/>
              <w:spacing w:after="0"/>
              <w:rPr>
                <w:sz w:val="20"/>
                <w:szCs w:val="20"/>
                <w:color w:val="auto"/>
              </w:rPr>
            </w:pPr>
            <w:r>
              <w:rPr>
                <w:rFonts w:ascii="Arial" w:cs="Arial" w:eastAsia="Arial" w:hAnsi="Arial"/>
                <w:sz w:val="12"/>
                <w:szCs w:val="12"/>
                <w:color w:val="auto"/>
                <w:w w:val="85"/>
              </w:rPr>
              <w:t>Aerospace and Defense</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13,247,132</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113,610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3,309,788</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174,219</w:t>
            </w: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1,800,000</w:t>
            </w:r>
          </w:p>
        </w:tc>
        <w:tc>
          <w:tcPr>
            <w:tcW w:w="100" w:type="dxa"/>
            <w:vAlign w:val="bottom"/>
          </w:tcPr>
          <w:p>
            <w:pPr>
              <w:spacing w:after="0"/>
              <w:rPr>
                <w:sz w:val="13"/>
                <w:szCs w:val="13"/>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60" w:type="dxa"/>
            <w:vAlign w:val="bottom"/>
          </w:tcPr>
          <w:p>
            <w:pPr>
              <w:spacing w:after="0"/>
              <w:rPr>
                <w:sz w:val="11"/>
                <w:szCs w:val="11"/>
                <w:color w:val="auto"/>
              </w:rPr>
            </w:pPr>
          </w:p>
        </w:tc>
        <w:tc>
          <w:tcPr>
            <w:tcW w:w="12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20" w:type="dxa"/>
            <w:vAlign w:val="bottom"/>
            <w:gridSpan w:val="2"/>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Expiration</w:t>
            </w:r>
          </w:p>
        </w:tc>
        <w:tc>
          <w:tcPr>
            <w:tcW w:w="2460" w:type="dxa"/>
            <w:vAlign w:val="bottom"/>
          </w:tcPr>
          <w:p>
            <w:pPr>
              <w:jc w:val="center"/>
              <w:ind w:left="302"/>
              <w:spacing w:after="0"/>
              <w:rPr>
                <w:sz w:val="20"/>
                <w:szCs w:val="20"/>
                <w:color w:val="auto"/>
              </w:rPr>
            </w:pPr>
            <w:r>
              <w:rPr>
                <w:rFonts w:ascii="Arial" w:cs="Arial" w:eastAsia="Arial" w:hAnsi="Arial"/>
                <w:sz w:val="12"/>
                <w:szCs w:val="12"/>
                <w:b w:val="1"/>
                <w:bCs w:val="1"/>
                <w:color w:val="auto"/>
                <w:w w:val="88"/>
              </w:rPr>
              <w:t>Industry</w:t>
            </w:r>
          </w:p>
        </w:tc>
        <w:tc>
          <w:tcPr>
            <w:tcW w:w="1220" w:type="dxa"/>
            <w:vAlign w:val="bottom"/>
            <w:gridSpan w:val="2"/>
          </w:tcPr>
          <w:p>
            <w:pPr>
              <w:ind w:left="52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r>
      <w:tr>
        <w:trPr>
          <w:trHeight w:val="142"/>
        </w:trPr>
        <w:tc>
          <w:tcPr>
            <w:tcW w:w="29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CFF"/>
            </w:tcBorders>
            <w:shd w:val="clear" w:color="auto" w:fill="CCECFF"/>
          </w:tcPr>
          <w:p>
            <w:pPr>
              <w:spacing w:after="0"/>
              <w:rPr>
                <w:sz w:val="12"/>
                <w:szCs w:val="12"/>
                <w:color w:val="auto"/>
              </w:rPr>
            </w:pPr>
          </w:p>
        </w:tc>
        <w:tc>
          <w:tcPr>
            <w:tcW w:w="2460" w:type="dxa"/>
            <w:vAlign w:val="bottom"/>
            <w:tcBorders>
              <w:top w:val="single" w:sz="8" w:color="auto"/>
            </w:tcBorders>
            <w:shd w:val="clear" w:color="auto" w:fill="CCECFF"/>
          </w:tcPr>
          <w:p>
            <w:pPr>
              <w:jc w:val="center"/>
              <w:ind w:left="302"/>
              <w:spacing w:after="0"/>
              <w:rPr>
                <w:sz w:val="20"/>
                <w:szCs w:val="20"/>
                <w:color w:val="auto"/>
              </w:rPr>
            </w:pPr>
            <w:r>
              <w:rPr>
                <w:rFonts w:ascii="Arial" w:cs="Arial" w:eastAsia="Arial" w:hAnsi="Arial"/>
                <w:sz w:val="12"/>
                <w:szCs w:val="12"/>
                <w:color w:val="auto"/>
                <w:w w:val="85"/>
              </w:rPr>
              <w:t>Aerospace and Defense</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202,620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12,375,591</w:t>
            </w: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2920" w:type="dxa"/>
            <w:vAlign w:val="bottom"/>
            <w:gridSpan w:val="2"/>
          </w:tcPr>
          <w:p>
            <w:pPr>
              <w:spacing w:after="0"/>
              <w:rPr>
                <w:sz w:val="20"/>
                <w:szCs w:val="20"/>
                <w:color w:val="auto"/>
              </w:rPr>
            </w:pPr>
            <w:r>
              <w:rPr>
                <w:rFonts w:ascii="Arial" w:cs="Arial" w:eastAsia="Arial" w:hAnsi="Arial"/>
                <w:sz w:val="12"/>
                <w:szCs w:val="12"/>
                <w:color w:val="auto"/>
              </w:rPr>
              <w:t>TRAK Acquisition Corp.</w:t>
            </w:r>
          </w:p>
        </w:tc>
        <w:tc>
          <w:tcPr>
            <w:tcW w:w="120" w:type="dxa"/>
            <w:vAlign w:val="bottom"/>
          </w:tcPr>
          <w:p>
            <w:pPr>
              <w:spacing w:after="0"/>
              <w:rPr>
                <w:sz w:val="12"/>
                <w:szCs w:val="12"/>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Pr>
          <w:p>
            <w:pPr>
              <w:jc w:val="center"/>
              <w:ind w:left="322"/>
              <w:spacing w:after="0"/>
              <w:rPr>
                <w:sz w:val="20"/>
                <w:szCs w:val="20"/>
                <w:color w:val="auto"/>
              </w:rPr>
            </w:pPr>
            <w:r>
              <w:rPr>
                <w:rFonts w:ascii="Arial" w:cs="Arial" w:eastAsia="Arial" w:hAnsi="Arial"/>
                <w:sz w:val="12"/>
                <w:szCs w:val="12"/>
                <w:color w:val="auto"/>
                <w:w w:val="85"/>
              </w:rPr>
              <w:t>Business Services</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491,755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4,712,212</w:t>
            </w:r>
          </w:p>
        </w:tc>
        <w:tc>
          <w:tcPr>
            <w:tcW w:w="100" w:type="dxa"/>
            <w:vAlign w:val="bottom"/>
          </w:tcPr>
          <w:p>
            <w:pPr>
              <w:spacing w:after="0"/>
              <w:rPr>
                <w:sz w:val="12"/>
                <w:szCs w:val="12"/>
                <w:color w:val="auto"/>
              </w:rPr>
            </w:pPr>
          </w:p>
        </w:tc>
      </w:tr>
      <w:tr>
        <w:trPr>
          <w:trHeight w:val="148"/>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120" w:type="dxa"/>
            <w:vAlign w:val="bottom"/>
            <w:shd w:val="clear" w:color="auto" w:fill="CCECFF"/>
          </w:tcPr>
          <w:p>
            <w:pPr>
              <w:spacing w:after="0"/>
              <w:rPr>
                <w:sz w:val="12"/>
                <w:szCs w:val="12"/>
                <w:color w:val="auto"/>
              </w:rPr>
            </w:pPr>
          </w:p>
        </w:tc>
        <w:tc>
          <w:tcPr>
            <w:tcW w:w="6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shd w:val="clear" w:color="auto" w:fill="CCECFF"/>
          </w:tcPr>
          <w:p>
            <w:pPr>
              <w:jc w:val="center"/>
              <w:ind w:left="322"/>
              <w:spacing w:after="0"/>
              <w:rPr>
                <w:sz w:val="20"/>
                <w:szCs w:val="20"/>
                <w:color w:val="auto"/>
              </w:rPr>
            </w:pPr>
            <w:r>
              <w:rPr>
                <w:rFonts w:ascii="Arial" w:cs="Arial" w:eastAsia="Arial" w:hAnsi="Arial"/>
                <w:sz w:val="12"/>
                <w:szCs w:val="12"/>
                <w:color w:val="auto"/>
                <w:w w:val="88"/>
              </w:rPr>
              <w:t>Oil and Gas</w:t>
            </w: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7,526,884</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5"/>
              </w:rPr>
              <w:t>Total Common Equity/Partnership Interests/Warrants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0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68,536,001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67,925,427</w:t>
            </w:r>
          </w:p>
        </w:tc>
        <w:tc>
          <w:tcPr>
            <w:tcW w:w="100" w:type="dxa"/>
            <w:vAlign w:val="bottom"/>
            <w:tcBorders>
              <w:bottom w:val="single" w:sz="8" w:color="CCECFF"/>
            </w:tcBorders>
          </w:tcPr>
          <w:p>
            <w:pPr>
              <w:spacing w:after="0"/>
              <w:rPr>
                <w:sz w:val="12"/>
                <w:szCs w:val="12"/>
                <w:color w:val="auto"/>
              </w:rPr>
            </w:pPr>
          </w:p>
        </w:tc>
      </w:tr>
      <w:tr>
        <w:trPr>
          <w:trHeight w:val="142"/>
        </w:trPr>
        <w:tc>
          <w:tcPr>
            <w:tcW w:w="3700" w:type="dxa"/>
            <w:vAlign w:val="bottom"/>
            <w:gridSpan w:val="5"/>
            <w:shd w:val="clear" w:color="auto" w:fill="CCECFF"/>
          </w:tcPr>
          <w:p>
            <w:pPr>
              <w:spacing w:after="0"/>
              <w:rPr>
                <w:sz w:val="20"/>
                <w:szCs w:val="20"/>
                <w:color w:val="auto"/>
              </w:rPr>
            </w:pPr>
            <w:r>
              <w:rPr>
                <w:rFonts w:ascii="Arial" w:cs="Arial" w:eastAsia="Arial" w:hAnsi="Arial"/>
                <w:sz w:val="12"/>
                <w:szCs w:val="12"/>
                <w:b w:val="1"/>
                <w:bCs w:val="1"/>
                <w:color w:val="auto"/>
                <w:w w:val="95"/>
              </w:rPr>
              <w:t>Total Investments in Non-Controlled, Affiliated Portfolio Companies</w:t>
            </w: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247,342,695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242,689,039</w:t>
            </w:r>
          </w:p>
        </w:tc>
        <w:tc>
          <w:tcPr>
            <w:tcW w:w="100" w:type="dxa"/>
            <w:vAlign w:val="bottom"/>
            <w:shd w:val="clear" w:color="auto" w:fill="CCECFF"/>
          </w:tcPr>
          <w:p>
            <w:pPr>
              <w:spacing w:after="0"/>
              <w:rPr>
                <w:sz w:val="12"/>
                <w:szCs w:val="12"/>
                <w:color w:val="auto"/>
              </w:rPr>
            </w:pPr>
          </w:p>
        </w:tc>
      </w:tr>
      <w:tr>
        <w:trPr>
          <w:trHeight w:val="149"/>
        </w:trPr>
        <w:tc>
          <w:tcPr>
            <w:tcW w:w="3700" w:type="dxa"/>
            <w:vAlign w:val="bottom"/>
            <w:gridSpan w:val="5"/>
          </w:tcPr>
          <w:p>
            <w:pPr>
              <w:spacing w:after="0"/>
              <w:rPr>
                <w:sz w:val="20"/>
                <w:szCs w:val="20"/>
                <w:color w:val="auto"/>
              </w:rPr>
            </w:pPr>
            <w:r>
              <w:rPr>
                <w:rFonts w:ascii="Arial" w:cs="Arial" w:eastAsia="Arial" w:hAnsi="Arial"/>
                <w:sz w:val="12"/>
                <w:szCs w:val="12"/>
                <w:b w:val="1"/>
                <w:bCs w:val="1"/>
                <w:color w:val="auto"/>
                <w:w w:val="91"/>
              </w:rPr>
              <w:t xml:space="preserve">Investments in Controlled, Affiliated Portfolio Companies—19.2% </w:t>
            </w:r>
            <w:r>
              <w:rPr>
                <w:rFonts w:ascii="Arial" w:cs="Arial" w:eastAsia="Arial" w:hAnsi="Arial"/>
                <w:sz w:val="9"/>
                <w:szCs w:val="9"/>
                <w:b w:val="1"/>
                <w:bCs w:val="1"/>
                <w:color w:val="auto"/>
                <w:w w:val="91"/>
              </w:rPr>
              <w:t>(1), (2)</w:t>
            </w: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7"/>
        </w:trPr>
        <w:tc>
          <w:tcPr>
            <w:tcW w:w="2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9"/>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Debt—15.7%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2920" w:type="dxa"/>
            <w:vAlign w:val="bottom"/>
            <w:gridSpan w:val="2"/>
          </w:tcPr>
          <w:p>
            <w:pPr>
              <w:spacing w:after="0"/>
              <w:rPr>
                <w:sz w:val="20"/>
                <w:szCs w:val="20"/>
                <w:color w:val="auto"/>
              </w:rPr>
            </w:pPr>
            <w:r>
              <w:rPr>
                <w:rFonts w:ascii="Arial" w:cs="Arial" w:eastAsia="Arial" w:hAnsi="Arial"/>
                <w:sz w:val="12"/>
                <w:szCs w:val="12"/>
                <w:color w:val="auto"/>
              </w:rPr>
              <w:t>RAM Energy LLC</w:t>
            </w:r>
          </w:p>
        </w:tc>
        <w:tc>
          <w:tcPr>
            <w:tcW w:w="660" w:type="dxa"/>
            <w:vAlign w:val="bottom"/>
            <w:gridSpan w:val="2"/>
          </w:tcPr>
          <w:p>
            <w:pPr>
              <w:ind w:left="120"/>
              <w:spacing w:after="0"/>
              <w:rPr>
                <w:sz w:val="20"/>
                <w:szCs w:val="20"/>
                <w:color w:val="auto"/>
              </w:rPr>
            </w:pPr>
            <w:r>
              <w:rPr>
                <w:rFonts w:ascii="Arial" w:cs="Arial" w:eastAsia="Arial" w:hAnsi="Arial"/>
                <w:sz w:val="12"/>
                <w:szCs w:val="12"/>
                <w:color w:val="auto"/>
                <w:w w:val="86"/>
              </w:rPr>
              <w:t>07/18/2019</w:t>
            </w:r>
          </w:p>
        </w:tc>
        <w:tc>
          <w:tcPr>
            <w:tcW w:w="120" w:type="dxa"/>
            <w:vAlign w:val="bottom"/>
          </w:tcPr>
          <w:p>
            <w:pPr>
              <w:spacing w:after="0"/>
              <w:rPr>
                <w:sz w:val="13"/>
                <w:szCs w:val="13"/>
                <w:color w:val="auto"/>
              </w:rPr>
            </w:pPr>
          </w:p>
        </w:tc>
        <w:tc>
          <w:tcPr>
            <w:tcW w:w="2460" w:type="dxa"/>
            <w:vAlign w:val="bottom"/>
          </w:tcPr>
          <w:p>
            <w:pPr>
              <w:jc w:val="center"/>
              <w:ind w:left="302"/>
              <w:spacing w:after="0"/>
              <w:rPr>
                <w:sz w:val="20"/>
                <w:szCs w:val="20"/>
                <w:color w:val="auto"/>
              </w:rPr>
            </w:pPr>
            <w:r>
              <w:rPr>
                <w:rFonts w:ascii="Arial" w:cs="Arial" w:eastAsia="Arial" w:hAnsi="Arial"/>
                <w:sz w:val="12"/>
                <w:szCs w:val="12"/>
                <w:color w:val="auto"/>
                <w:w w:val="90"/>
              </w:rPr>
              <w:t>Energy and Utilities</w:t>
            </w: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10.00%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L+800</w:t>
            </w:r>
          </w:p>
        </w:tc>
        <w:tc>
          <w:tcPr>
            <w:tcW w:w="800" w:type="dxa"/>
            <w:vAlign w:val="bottom"/>
          </w:tcPr>
          <w:p>
            <w:pPr>
              <w:jc w:val="right"/>
              <w:spacing w:after="0"/>
              <w:rPr>
                <w:sz w:val="20"/>
                <w:szCs w:val="20"/>
                <w:color w:val="auto"/>
              </w:rPr>
            </w:pPr>
            <w:r>
              <w:rPr>
                <w:rFonts w:ascii="Arial" w:cs="Arial" w:eastAsia="Arial" w:hAnsi="Arial"/>
                <w:sz w:val="12"/>
                <w:szCs w:val="12"/>
                <w:color w:val="auto"/>
              </w:rPr>
              <w:t>88,913,338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88,122,435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72,908,937</w:t>
            </w:r>
          </w:p>
        </w:tc>
        <w:tc>
          <w:tcPr>
            <w:tcW w:w="100" w:type="dxa"/>
            <w:vAlign w:val="bottom"/>
          </w:tcPr>
          <w:p>
            <w:pPr>
              <w:spacing w:after="0"/>
              <w:rPr>
                <w:sz w:val="13"/>
                <w:szCs w:val="13"/>
                <w:color w:val="auto"/>
              </w:rPr>
            </w:pPr>
          </w:p>
        </w:tc>
      </w:tr>
      <w:tr>
        <w:trPr>
          <w:trHeight w:val="142"/>
        </w:trPr>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20" w:type="dxa"/>
            <w:vAlign w:val="bottom"/>
            <w:gridSpan w:val="2"/>
          </w:tcPr>
          <w:p>
            <w:pPr>
              <w:ind w:left="520"/>
              <w:spacing w:after="0"/>
              <w:rPr>
                <w:sz w:val="20"/>
                <w:szCs w:val="20"/>
                <w:color w:val="auto"/>
              </w:rPr>
            </w:pPr>
            <w:r>
              <w:rPr>
                <w:rFonts w:ascii="Arial" w:cs="Arial" w:eastAsia="Arial" w:hAnsi="Arial"/>
                <w:sz w:val="12"/>
                <w:szCs w:val="12"/>
                <w:color w:val="auto"/>
                <w:w w:val="95"/>
              </w:rPr>
              <w:t>(PIK 10.00%)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66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w w:val="86"/>
              </w:rPr>
              <w:t>12/31/2018</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ind w:left="302"/>
              <w:spacing w:after="0"/>
              <w:rPr>
                <w:sz w:val="20"/>
                <w:szCs w:val="20"/>
                <w:color w:val="auto"/>
              </w:rPr>
            </w:pPr>
            <w:r>
              <w:rPr>
                <w:rFonts w:ascii="Arial" w:cs="Arial" w:eastAsia="Arial" w:hAnsi="Arial"/>
                <w:sz w:val="12"/>
                <w:szCs w:val="12"/>
                <w:color w:val="auto"/>
                <w:w w:val="91"/>
              </w:rPr>
              <w:t>Media</w:t>
            </w: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14.15%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L+1,300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28,426,231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26,984,627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28,426,231</w:t>
            </w:r>
          </w:p>
        </w:tc>
        <w:tc>
          <w:tcPr>
            <w:tcW w:w="100" w:type="dxa"/>
            <w:vAlign w:val="bottom"/>
            <w:shd w:val="clear" w:color="auto" w:fill="CCECFF"/>
          </w:tcPr>
          <w:p>
            <w:pPr>
              <w:spacing w:after="0"/>
              <w:rPr>
                <w:sz w:val="12"/>
                <w:szCs w:val="12"/>
                <w:color w:val="auto"/>
              </w:rPr>
            </w:pPr>
          </w:p>
        </w:tc>
      </w:tr>
      <w:tr>
        <w:trPr>
          <w:trHeight w:val="148"/>
        </w:trPr>
        <w:tc>
          <w:tcPr>
            <w:tcW w:w="21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w w:val="95"/>
              </w:rPr>
              <w:t>(PIK 14.15%)</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0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115,107,062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101,335,168</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Debt—0.6%</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2920" w:type="dxa"/>
            <w:vAlign w:val="bottom"/>
            <w:gridSpan w:val="2"/>
          </w:tcPr>
          <w:p>
            <w:pPr>
              <w:spacing w:after="0"/>
              <w:rPr>
                <w:sz w:val="20"/>
                <w:szCs w:val="20"/>
                <w:color w:val="auto"/>
              </w:rPr>
            </w:pPr>
            <w:r>
              <w:rPr>
                <w:rFonts w:ascii="Arial" w:cs="Arial" w:eastAsia="Arial" w:hAnsi="Arial"/>
                <w:sz w:val="12"/>
                <w:szCs w:val="12"/>
                <w:color w:val="auto"/>
              </w:rPr>
              <w:t>Superior Digital Displays, LLC</w:t>
            </w:r>
          </w:p>
        </w:tc>
        <w:tc>
          <w:tcPr>
            <w:tcW w:w="660" w:type="dxa"/>
            <w:vAlign w:val="bottom"/>
            <w:gridSpan w:val="2"/>
          </w:tcPr>
          <w:p>
            <w:pPr>
              <w:ind w:left="120"/>
              <w:spacing w:after="0"/>
              <w:rPr>
                <w:sz w:val="20"/>
                <w:szCs w:val="20"/>
                <w:color w:val="auto"/>
              </w:rPr>
            </w:pPr>
            <w:r>
              <w:rPr>
                <w:rFonts w:ascii="Arial" w:cs="Arial" w:eastAsia="Arial" w:hAnsi="Arial"/>
                <w:sz w:val="12"/>
                <w:szCs w:val="12"/>
                <w:color w:val="auto"/>
                <w:w w:val="86"/>
              </w:rPr>
              <w:t>07/01/2019</w:t>
            </w:r>
          </w:p>
        </w:tc>
        <w:tc>
          <w:tcPr>
            <w:tcW w:w="120" w:type="dxa"/>
            <w:vAlign w:val="bottom"/>
          </w:tcPr>
          <w:p>
            <w:pPr>
              <w:spacing w:after="0"/>
              <w:rPr>
                <w:sz w:val="13"/>
                <w:szCs w:val="13"/>
                <w:color w:val="auto"/>
              </w:rPr>
            </w:pPr>
          </w:p>
        </w:tc>
        <w:tc>
          <w:tcPr>
            <w:tcW w:w="2460" w:type="dxa"/>
            <w:vAlign w:val="bottom"/>
          </w:tcPr>
          <w:p>
            <w:pPr>
              <w:jc w:val="center"/>
              <w:ind w:left="302"/>
              <w:spacing w:after="0"/>
              <w:rPr>
                <w:sz w:val="20"/>
                <w:szCs w:val="20"/>
                <w:color w:val="auto"/>
              </w:rPr>
            </w:pPr>
            <w:r>
              <w:rPr>
                <w:rFonts w:ascii="Arial" w:cs="Arial" w:eastAsia="Arial" w:hAnsi="Arial"/>
                <w:sz w:val="12"/>
                <w:szCs w:val="12"/>
                <w:color w:val="auto"/>
                <w:w w:val="91"/>
              </w:rPr>
              <w:t>Media</w:t>
            </w: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16.15%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L+1,500</w:t>
            </w:r>
          </w:p>
        </w:tc>
        <w:tc>
          <w:tcPr>
            <w:tcW w:w="800" w:type="dxa"/>
            <w:vAlign w:val="bottom"/>
          </w:tcPr>
          <w:p>
            <w:pPr>
              <w:jc w:val="right"/>
              <w:spacing w:after="0"/>
              <w:rPr>
                <w:sz w:val="20"/>
                <w:szCs w:val="20"/>
                <w:color w:val="auto"/>
              </w:rPr>
            </w:pPr>
            <w:r>
              <w:rPr>
                <w:rFonts w:ascii="Arial" w:cs="Arial" w:eastAsia="Arial" w:hAnsi="Arial"/>
                <w:sz w:val="12"/>
                <w:szCs w:val="12"/>
                <w:color w:val="auto"/>
              </w:rPr>
              <w:t>6,701,027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6,701,027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4,010,254</w:t>
            </w:r>
          </w:p>
        </w:tc>
        <w:tc>
          <w:tcPr>
            <w:tcW w:w="100" w:type="dxa"/>
            <w:vAlign w:val="bottom"/>
          </w:tcPr>
          <w:p>
            <w:pPr>
              <w:spacing w:after="0"/>
              <w:rPr>
                <w:sz w:val="13"/>
                <w:szCs w:val="13"/>
                <w:color w:val="auto"/>
              </w:rPr>
            </w:pPr>
          </w:p>
        </w:tc>
      </w:tr>
      <w:tr>
        <w:trPr>
          <w:trHeight w:val="141"/>
        </w:trPr>
        <w:tc>
          <w:tcPr>
            <w:tcW w:w="212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220" w:type="dxa"/>
            <w:vAlign w:val="bottom"/>
            <w:tcBorders>
              <w:bottom w:val="single" w:sz="8" w:color="CCECFF"/>
            </w:tcBorders>
            <w:gridSpan w:val="2"/>
          </w:tcPr>
          <w:p>
            <w:pPr>
              <w:ind w:left="520"/>
              <w:spacing w:after="0"/>
              <w:rPr>
                <w:sz w:val="20"/>
                <w:szCs w:val="20"/>
                <w:color w:val="auto"/>
              </w:rPr>
            </w:pPr>
            <w:r>
              <w:rPr>
                <w:rFonts w:ascii="Arial" w:cs="Arial" w:eastAsia="Arial" w:hAnsi="Arial"/>
                <w:sz w:val="12"/>
                <w:szCs w:val="12"/>
                <w:color w:val="auto"/>
                <w:w w:val="95"/>
              </w:rPr>
              <w:t>(PIK 16.15%)</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Equity—2.7%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gridSpan w:val="2"/>
          </w:tcPr>
          <w:p>
            <w:pPr>
              <w:spacing w:after="0"/>
              <w:rPr>
                <w:sz w:val="20"/>
                <w:szCs w:val="20"/>
                <w:color w:val="auto"/>
              </w:rPr>
            </w:pPr>
            <w:r>
              <w:rPr>
                <w:rFonts w:ascii="Arial" w:cs="Arial" w:eastAsia="Arial" w:hAnsi="Arial"/>
                <w:sz w:val="12"/>
                <w:szCs w:val="12"/>
                <w:color w:val="auto"/>
              </w:rPr>
              <w:t>MidOcean JF Holdings Corp.</w:t>
            </w:r>
          </w:p>
        </w:tc>
        <w:tc>
          <w:tcPr>
            <w:tcW w:w="120" w:type="dxa"/>
            <w:vAlign w:val="bottom"/>
          </w:tcPr>
          <w:p>
            <w:pPr>
              <w:spacing w:after="0"/>
              <w:rPr>
                <w:sz w:val="12"/>
                <w:szCs w:val="12"/>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Pr>
          <w:p>
            <w:pPr>
              <w:jc w:val="center"/>
              <w:ind w:left="302"/>
              <w:spacing w:after="0"/>
              <w:rPr>
                <w:sz w:val="20"/>
                <w:szCs w:val="20"/>
                <w:color w:val="auto"/>
              </w:rPr>
            </w:pPr>
            <w:r>
              <w:rPr>
                <w:rFonts w:ascii="Arial" w:cs="Arial" w:eastAsia="Arial" w:hAnsi="Arial"/>
                <w:sz w:val="12"/>
                <w:szCs w:val="12"/>
                <w:color w:val="auto"/>
                <w:w w:val="96"/>
              </w:rPr>
              <w:t>Distribution</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17,545,048</w:t>
            </w:r>
          </w:p>
        </w:tc>
        <w:tc>
          <w:tcPr>
            <w:tcW w:w="100" w:type="dxa"/>
            <w:vAlign w:val="bottom"/>
          </w:tcPr>
          <w:p>
            <w:pPr>
              <w:spacing w:after="0"/>
              <w:rPr>
                <w:sz w:val="12"/>
                <w:szCs w:val="12"/>
                <w:color w:val="auto"/>
              </w:rPr>
            </w:pPr>
          </w:p>
        </w:tc>
      </w:tr>
      <w:tr>
        <w:trPr>
          <w:trHeight w:val="148"/>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 w:type="dxa"/>
            <w:vAlign w:val="bottom"/>
            <w:shd w:val="clear" w:color="auto" w:fill="CCECFF"/>
          </w:tcPr>
          <w:p>
            <w:pPr>
              <w:spacing w:after="0"/>
              <w:rPr>
                <w:sz w:val="12"/>
                <w:szCs w:val="12"/>
                <w:color w:val="auto"/>
              </w:rPr>
            </w:pPr>
          </w:p>
        </w:tc>
        <w:tc>
          <w:tcPr>
            <w:tcW w:w="6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shd w:val="clear" w:color="auto" w:fill="CCECFF"/>
          </w:tcPr>
          <w:p>
            <w:pPr>
              <w:jc w:val="center"/>
              <w:ind w:left="302"/>
              <w:spacing w:after="0"/>
              <w:rPr>
                <w:sz w:val="20"/>
                <w:szCs w:val="20"/>
                <w:color w:val="auto"/>
              </w:rPr>
            </w:pPr>
            <w:r>
              <w:rPr>
                <w:rFonts w:ascii="Arial" w:cs="Arial" w:eastAsia="Arial" w:hAnsi="Arial"/>
                <w:sz w:val="12"/>
                <w:szCs w:val="12"/>
                <w:color w:val="auto"/>
                <w:w w:val="91"/>
              </w:rPr>
              <w:t>Media</w:t>
            </w: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257,717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9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0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25,918,325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17,545,048</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Equity—0.2%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gridSpan w:val="2"/>
          </w:tcPr>
          <w:p>
            <w:pPr>
              <w:spacing w:after="0"/>
              <w:rPr>
                <w:sz w:val="20"/>
                <w:szCs w:val="20"/>
                <w:color w:val="auto"/>
              </w:rPr>
            </w:pPr>
            <w:r>
              <w:rPr>
                <w:rFonts w:ascii="Arial" w:cs="Arial" w:eastAsia="Arial" w:hAnsi="Arial"/>
                <w:sz w:val="12"/>
                <w:szCs w:val="12"/>
                <w:color w:val="auto"/>
              </w:rPr>
              <w:t>MidOcean JF Holdings Corp.</w:t>
            </w:r>
          </w:p>
        </w:tc>
        <w:tc>
          <w:tcPr>
            <w:tcW w:w="120" w:type="dxa"/>
            <w:vAlign w:val="bottom"/>
          </w:tcPr>
          <w:p>
            <w:pPr>
              <w:spacing w:after="0"/>
              <w:rPr>
                <w:sz w:val="12"/>
                <w:szCs w:val="12"/>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Pr>
          <w:p>
            <w:pPr>
              <w:jc w:val="center"/>
              <w:ind w:left="302"/>
              <w:spacing w:after="0"/>
              <w:rPr>
                <w:sz w:val="20"/>
                <w:szCs w:val="20"/>
                <w:color w:val="auto"/>
              </w:rPr>
            </w:pPr>
            <w:r>
              <w:rPr>
                <w:rFonts w:ascii="Arial" w:cs="Arial" w:eastAsia="Arial" w:hAnsi="Arial"/>
                <w:sz w:val="12"/>
                <w:szCs w:val="12"/>
                <w:color w:val="auto"/>
                <w:w w:val="96"/>
              </w:rPr>
              <w:t>Distribution</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1,485,841</w:t>
            </w:r>
          </w:p>
        </w:tc>
        <w:tc>
          <w:tcPr>
            <w:tcW w:w="100" w:type="dxa"/>
            <w:vAlign w:val="bottom"/>
          </w:tcPr>
          <w:p>
            <w:pPr>
              <w:spacing w:after="0"/>
              <w:rPr>
                <w:sz w:val="12"/>
                <w:szCs w:val="12"/>
                <w:color w:val="auto"/>
              </w:rPr>
            </w:pPr>
          </w:p>
        </w:tc>
      </w:tr>
      <w:tr>
        <w:trPr>
          <w:trHeight w:val="148"/>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20" w:type="dxa"/>
            <w:vAlign w:val="bottom"/>
            <w:shd w:val="clear" w:color="auto" w:fill="CCECFF"/>
          </w:tcPr>
          <w:p>
            <w:pPr>
              <w:spacing w:after="0"/>
              <w:rPr>
                <w:sz w:val="12"/>
                <w:szCs w:val="12"/>
                <w:color w:val="auto"/>
              </w:rPr>
            </w:pPr>
          </w:p>
        </w:tc>
        <w:tc>
          <w:tcPr>
            <w:tcW w:w="6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shd w:val="clear" w:color="auto" w:fill="CCECFF"/>
          </w:tcPr>
          <w:p>
            <w:pPr>
              <w:jc w:val="center"/>
              <w:ind w:left="302"/>
              <w:spacing w:after="0"/>
              <w:rPr>
                <w:sz w:val="20"/>
                <w:szCs w:val="20"/>
                <w:color w:val="auto"/>
              </w:rPr>
            </w:pPr>
            <w:r>
              <w:rPr>
                <w:rFonts w:ascii="Arial" w:cs="Arial" w:eastAsia="Arial" w:hAnsi="Arial"/>
                <w:sz w:val="12"/>
                <w:szCs w:val="12"/>
                <w:color w:val="auto"/>
                <w:w w:val="90"/>
              </w:rPr>
              <w:t>Energy and Utilities</w:t>
            </w: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20,824,388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20" w:type="dxa"/>
            <w:vAlign w:val="bottom"/>
            <w:gridSpan w:val="2"/>
          </w:tcPr>
          <w:p>
            <w:pPr>
              <w:spacing w:after="0"/>
              <w:rPr>
                <w:sz w:val="20"/>
                <w:szCs w:val="20"/>
                <w:color w:val="auto"/>
              </w:rPr>
            </w:pPr>
            <w:r>
              <w:rPr>
                <w:rFonts w:ascii="Arial" w:cs="Arial" w:eastAsia="Arial" w:hAnsi="Arial"/>
                <w:sz w:val="12"/>
                <w:szCs w:val="12"/>
                <w:color w:val="auto"/>
              </w:rPr>
              <w:t>Superior Digital Displays Holdings, Inc.</w:t>
            </w:r>
          </w:p>
        </w:tc>
        <w:tc>
          <w:tcPr>
            <w:tcW w:w="120" w:type="dxa"/>
            <w:vAlign w:val="bottom"/>
          </w:tcPr>
          <w:p>
            <w:pPr>
              <w:spacing w:after="0"/>
              <w:rPr>
                <w:sz w:val="12"/>
                <w:szCs w:val="12"/>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Pr>
          <w:p>
            <w:pPr>
              <w:jc w:val="center"/>
              <w:ind w:left="302"/>
              <w:spacing w:after="0"/>
              <w:rPr>
                <w:sz w:val="20"/>
                <w:szCs w:val="20"/>
                <w:color w:val="auto"/>
              </w:rPr>
            </w:pPr>
            <w:r>
              <w:rPr>
                <w:rFonts w:ascii="Arial" w:cs="Arial" w:eastAsia="Arial" w:hAnsi="Arial"/>
                <w:sz w:val="12"/>
                <w:szCs w:val="12"/>
                <w:color w:val="auto"/>
                <w:w w:val="91"/>
              </w:rPr>
              <w:t>Media</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92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Total Common Equity</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460" w:type="dxa"/>
            <w:vAlign w:val="bottom"/>
            <w:tcBorders>
              <w:top w:val="single" w:sz="8" w:color="CCECFF"/>
            </w:tcBorders>
            <w:shd w:val="clear" w:color="auto" w:fill="CCECFF"/>
          </w:tcPr>
          <w:p>
            <w:pPr>
              <w:spacing w:after="0"/>
              <w:rPr>
                <w:sz w:val="12"/>
                <w:szCs w:val="12"/>
                <w:color w:val="auto"/>
              </w:rPr>
            </w:pPr>
          </w:p>
        </w:tc>
        <w:tc>
          <w:tcPr>
            <w:tcW w:w="106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47,797,219</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1,485,841</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700" w:type="dxa"/>
            <w:vAlign w:val="bottom"/>
            <w:tcBorders>
              <w:bottom w:val="single" w:sz="8" w:color="CCECFF"/>
            </w:tcBorders>
            <w:gridSpan w:val="5"/>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460" w:type="dxa"/>
            <w:vAlign w:val="bottom"/>
            <w:tcBorders>
              <w:bottom w:val="single" w:sz="8" w:color="CCECFF"/>
            </w:tcBorders>
          </w:tcPr>
          <w:p>
            <w:pPr>
              <w:spacing w:after="0"/>
              <w:rPr>
                <w:sz w:val="12"/>
                <w:szCs w:val="12"/>
                <w:color w:val="auto"/>
              </w:rPr>
            </w:pPr>
          </w:p>
        </w:tc>
        <w:tc>
          <w:tcPr>
            <w:tcW w:w="10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195,523,633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124,376,311</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Investments—184.9%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1,249,247,525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1,194,479,647</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Equivalents—10.3%</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BlackRock Federal FD Instl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1,399,462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1,399,462</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BNY Mellon Cash Reserve and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0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65,161,017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65,165,745</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66,560,479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66,565,207</w:t>
            </w:r>
          </w:p>
        </w:tc>
        <w:tc>
          <w:tcPr>
            <w:tcW w:w="100" w:type="dxa"/>
            <w:vAlign w:val="bottom"/>
            <w:shd w:val="clear" w:color="auto" w:fill="CCECFF"/>
          </w:tcPr>
          <w:p>
            <w:pPr>
              <w:spacing w:after="0"/>
              <w:rPr>
                <w:sz w:val="12"/>
                <w:szCs w:val="12"/>
                <w:color w:val="auto"/>
              </w:rPr>
            </w:pPr>
          </w:p>
        </w:tc>
      </w:tr>
      <w:tr>
        <w:trPr>
          <w:trHeight w:val="182"/>
        </w:trPr>
        <w:tc>
          <w:tcPr>
            <w:tcW w:w="29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 and Cash Equivalents—195.2%</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2460" w:type="dxa"/>
            <w:vAlign w:val="bottom"/>
            <w:tcBorders>
              <w:bottom w:val="single" w:sz="8" w:color="CCECFF"/>
            </w:tcBorders>
          </w:tcPr>
          <w:p>
            <w:pPr>
              <w:spacing w:after="0"/>
              <w:rPr>
                <w:sz w:val="15"/>
                <w:szCs w:val="15"/>
                <w:color w:val="auto"/>
              </w:rPr>
            </w:pPr>
          </w:p>
        </w:tc>
        <w:tc>
          <w:tcPr>
            <w:tcW w:w="1060" w:type="dxa"/>
            <w:vAlign w:val="bottom"/>
            <w:tcBorders>
              <w:bottom w:val="single" w:sz="8" w:color="CCECFF"/>
            </w:tcBorders>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8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80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1,315,808,004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1,261,044,854</w:t>
            </w:r>
          </w:p>
        </w:tc>
        <w:tc>
          <w:tcPr>
            <w:tcW w:w="100" w:type="dxa"/>
            <w:vAlign w:val="bottom"/>
            <w:tcBorders>
              <w:bottom w:val="single" w:sz="8" w:color="CCECFF"/>
            </w:tcBorders>
          </w:tcPr>
          <w:p>
            <w:pPr>
              <w:spacing w:after="0"/>
              <w:rPr>
                <w:sz w:val="15"/>
                <w:szCs w:val="15"/>
                <w:color w:val="auto"/>
              </w:rPr>
            </w:pPr>
          </w:p>
        </w:tc>
      </w:tr>
      <w:tr>
        <w:trPr>
          <w:trHeight w:val="129"/>
        </w:trPr>
        <w:tc>
          <w:tcPr>
            <w:tcW w:w="2920" w:type="dxa"/>
            <w:vAlign w:val="bottom"/>
            <w:gridSpan w:val="2"/>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Assets—(95.2%)</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8"/>
              </w:rPr>
              <w:t>(614,857,187)</w:t>
            </w:r>
          </w:p>
        </w:tc>
      </w:tr>
      <w:tr>
        <w:trPr>
          <w:trHeight w:val="148"/>
        </w:trPr>
        <w:tc>
          <w:tcPr>
            <w:tcW w:w="2920" w:type="dxa"/>
            <w:vAlign w:val="bottom"/>
            <w:gridSpan w:val="2"/>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646,187,667</w:t>
            </w:r>
          </w:p>
        </w:tc>
        <w:tc>
          <w:tcPr>
            <w:tcW w:w="100" w:type="dxa"/>
            <w:vAlign w:val="bottom"/>
          </w:tcPr>
          <w:p>
            <w:pPr>
              <w:spacing w:after="0"/>
              <w:rPr>
                <w:sz w:val="12"/>
                <w:szCs w:val="12"/>
                <w:color w:val="auto"/>
              </w:rPr>
            </w:pPr>
          </w:p>
        </w:tc>
      </w:tr>
      <w:tr>
        <w:trPr>
          <w:trHeight w:val="20"/>
        </w:trPr>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21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83"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80" w:right="36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80" w:right="20" w:hanging="372"/>
        <w:spacing w:after="0" w:line="278"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2017, qualifying assets represent 86% of the Company’s total assets and non-qualifying assets represent 14% of the Company’s total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22"/>
              <w:spacing w:after="0"/>
              <w:rPr>
                <w:sz w:val="20"/>
                <w:szCs w:val="20"/>
                <w:color w:val="auto"/>
              </w:rPr>
            </w:pPr>
            <w:r>
              <w:rPr>
                <w:rFonts w:ascii="Arial" w:cs="Arial" w:eastAsia="Arial" w:hAnsi="Arial"/>
                <w:sz w:val="12"/>
                <w:szCs w:val="12"/>
                <w:b w:val="1"/>
                <w:bCs w:val="1"/>
                <w:color w:val="auto"/>
                <w:w w:val="85"/>
              </w:rPr>
              <w:t>Basis Point</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8"/>
              </w:rPr>
              <w:t>Spread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tcPr>
          <w:p>
            <w:pPr>
              <w:spacing w:after="0"/>
              <w:rPr>
                <w:sz w:val="11"/>
                <w:szCs w:val="11"/>
                <w:color w:val="auto"/>
              </w:rPr>
            </w:pPr>
          </w:p>
        </w:tc>
        <w:tc>
          <w:tcPr>
            <w:tcW w:w="96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auto"/>
              </w:rPr>
              <w:t>Current</w:t>
            </w:r>
          </w:p>
        </w:tc>
        <w:tc>
          <w:tcPr>
            <w:tcW w:w="160" w:type="dxa"/>
            <w:vAlign w:val="bottom"/>
          </w:tcPr>
          <w:p>
            <w:pPr>
              <w:spacing w:after="0"/>
              <w:rPr>
                <w:sz w:val="11"/>
                <w:szCs w:val="11"/>
                <w:color w:val="auto"/>
              </w:rPr>
            </w:pPr>
          </w:p>
        </w:tc>
        <w:tc>
          <w:tcPr>
            <w:tcW w:w="72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7"/>
              </w:rPr>
              <w:t>Above</w:t>
            </w:r>
          </w:p>
        </w:tc>
        <w:tc>
          <w:tcPr>
            <w:tcW w:w="2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6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tcPr>
          <w:p>
            <w:pPr>
              <w:jc w:val="right"/>
              <w:ind w:right="242"/>
              <w:spacing w:after="0"/>
              <w:rPr>
                <w:sz w:val="20"/>
                <w:szCs w:val="20"/>
                <w:color w:val="auto"/>
              </w:rPr>
            </w:pPr>
            <w:r>
              <w:rPr>
                <w:rFonts w:ascii="Arial" w:cs="Arial" w:eastAsia="Arial" w:hAnsi="Arial"/>
                <w:sz w:val="12"/>
                <w:szCs w:val="12"/>
                <w:b w:val="1"/>
                <w:bCs w:val="1"/>
                <w:color w:val="auto"/>
              </w:rPr>
              <w:t>Coupon</w:t>
            </w:r>
          </w:p>
        </w:tc>
        <w:tc>
          <w:tcPr>
            <w:tcW w:w="160" w:type="dxa"/>
            <w:vAlign w:val="bottom"/>
          </w:tcPr>
          <w:p>
            <w:pPr>
              <w:spacing w:after="0"/>
              <w:rPr>
                <w:sz w:val="12"/>
                <w:szCs w:val="12"/>
                <w:color w:val="auto"/>
              </w:rPr>
            </w:pPr>
          </w:p>
        </w:tc>
        <w:tc>
          <w:tcPr>
            <w:tcW w:w="720" w:type="dxa"/>
            <w:vAlign w:val="bottom"/>
          </w:tcPr>
          <w:p>
            <w:pPr>
              <w:jc w:val="center"/>
              <w:ind w:right="2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9"/>
        </w:trPr>
        <w:tc>
          <w:tcPr>
            <w:tcW w:w="6540" w:type="dxa"/>
            <w:vAlign w:val="bottom"/>
            <w:tcBorders>
              <w:top w:val="single" w:sz="8" w:color="auto"/>
            </w:tcBorders>
            <w:gridSpan w:val="3"/>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Companies—126.4% </w:t>
            </w:r>
            <w:r>
              <w:rPr>
                <w:rFonts w:ascii="Arial" w:cs="Arial" w:eastAsia="Arial" w:hAnsi="Arial"/>
                <w:sz w:val="9"/>
                <w:szCs w:val="9"/>
                <w:b w:val="1"/>
                <w:bCs w:val="1"/>
                <w:color w:val="auto"/>
              </w:rPr>
              <w:t>(1), (2)</w:t>
            </w:r>
          </w:p>
        </w:tc>
        <w:tc>
          <w:tcPr>
            <w:tcW w:w="96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87"/>
        </w:trPr>
        <w:tc>
          <w:tcPr>
            <w:tcW w:w="3000" w:type="dxa"/>
            <w:vAlign w:val="bottom"/>
            <w:shd w:val="clear" w:color="auto" w:fill="CCECFF"/>
          </w:tcPr>
          <w:p>
            <w:pPr>
              <w:spacing w:after="0"/>
              <w:rPr>
                <w:sz w:val="7"/>
                <w:szCs w:val="7"/>
                <w:color w:val="auto"/>
              </w:rPr>
            </w:pPr>
          </w:p>
        </w:tc>
        <w:tc>
          <w:tcPr>
            <w:tcW w:w="920" w:type="dxa"/>
            <w:vAlign w:val="bottom"/>
            <w:shd w:val="clear" w:color="auto" w:fill="CCECFF"/>
          </w:tcPr>
          <w:p>
            <w:pPr>
              <w:spacing w:after="0"/>
              <w:rPr>
                <w:sz w:val="7"/>
                <w:szCs w:val="7"/>
                <w:color w:val="auto"/>
              </w:rPr>
            </w:pPr>
          </w:p>
        </w:tc>
        <w:tc>
          <w:tcPr>
            <w:tcW w:w="2620" w:type="dxa"/>
            <w:vAlign w:val="bottom"/>
            <w:shd w:val="clear" w:color="auto" w:fill="CCECFF"/>
          </w:tcPr>
          <w:p>
            <w:pPr>
              <w:spacing w:after="0"/>
              <w:rPr>
                <w:sz w:val="7"/>
                <w:szCs w:val="7"/>
                <w:color w:val="auto"/>
              </w:rPr>
            </w:pPr>
          </w:p>
        </w:tc>
        <w:tc>
          <w:tcPr>
            <w:tcW w:w="96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Debt—38.7%</w:t>
            </w: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AP Gaming I,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12/21/2020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9.25%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L+825</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23,333,361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23,071,460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22,210,559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92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7.00%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L+575</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8,989,610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9,085,577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Consumer Products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13.50%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L+1,225</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9,058,699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9,160,048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tcPr>
          <w:p>
            <w:pPr>
              <w:ind w:left="120"/>
              <w:spacing w:after="0"/>
              <w:rPr>
                <w:sz w:val="20"/>
                <w:szCs w:val="20"/>
                <w:color w:val="auto"/>
              </w:rPr>
            </w:pPr>
            <w:r>
              <w:rPr>
                <w:rFonts w:ascii="Arial" w:cs="Arial" w:eastAsia="Arial" w:hAnsi="Arial"/>
                <w:sz w:val="12"/>
                <w:szCs w:val="12"/>
                <w:color w:val="auto"/>
              </w:rPr>
              <w:t>10/21/2020</w:t>
            </w:r>
          </w:p>
        </w:tc>
        <w:tc>
          <w:tcPr>
            <w:tcW w:w="262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9.00%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L+800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4,372,074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4,323,938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4,284,632</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06/30/2020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Building Materials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9.00%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L+800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24,985,195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24,786,989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24,985,195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2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14,273,869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14,244,486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01/15/2021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Retail</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10.00%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38,391,045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37,888,445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38,391,045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2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620" w:type="dxa"/>
            <w:vAlign w:val="bottom"/>
          </w:tcPr>
          <w:p>
            <w:pPr>
              <w:jc w:val="center"/>
              <w:spacing w:after="0"/>
              <w:rPr>
                <w:sz w:val="20"/>
                <w:szCs w:val="20"/>
                <w:color w:val="auto"/>
              </w:rPr>
            </w:pPr>
            <w:r>
              <w:rPr>
                <w:rFonts w:ascii="Arial" w:cs="Arial" w:eastAsia="Arial" w:hAnsi="Arial"/>
                <w:sz w:val="12"/>
                <w:szCs w:val="12"/>
                <w:color w:val="auto"/>
                <w:w w:val="90"/>
              </w:rPr>
              <w:t>Mining, Steel, Iron and Non-Precious Metals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11.50%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14,156,176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13,359,375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06/18/2019</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Electronics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8.50%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L+700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15,948,113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15,875,684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15,970,121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920" w:type="dxa"/>
            <w:vAlign w:val="bottom"/>
          </w:tcPr>
          <w:p>
            <w:pPr>
              <w:ind w:left="120"/>
              <w:spacing w:after="0"/>
              <w:rPr>
                <w:sz w:val="20"/>
                <w:szCs w:val="20"/>
                <w:color w:val="auto"/>
              </w:rPr>
            </w:pPr>
            <w:r>
              <w:rPr>
                <w:rFonts w:ascii="Arial" w:cs="Arial" w:eastAsia="Arial" w:hAnsi="Arial"/>
                <w:sz w:val="12"/>
                <w:szCs w:val="12"/>
                <w:color w:val="auto"/>
              </w:rPr>
              <w:t>04/21/2017</w:t>
            </w:r>
          </w:p>
        </w:tc>
        <w:tc>
          <w:tcPr>
            <w:tcW w:w="2620" w:type="dxa"/>
            <w:vAlign w:val="bottom"/>
          </w:tcPr>
          <w:p>
            <w:pPr>
              <w:jc w:val="center"/>
              <w:spacing w:after="0"/>
              <w:rPr>
                <w:sz w:val="20"/>
                <w:szCs w:val="20"/>
                <w:color w:val="auto"/>
              </w:rPr>
            </w:pPr>
            <w:r>
              <w:rPr>
                <w:rFonts w:ascii="Arial" w:cs="Arial" w:eastAsia="Arial" w:hAnsi="Arial"/>
                <w:sz w:val="12"/>
                <w:szCs w:val="12"/>
                <w:color w:val="auto"/>
                <w:w w:val="86"/>
              </w:rPr>
              <w:t>Aerospace and Defense</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9.00%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L+750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18,306,549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18,075,370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18,215,016</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11.27%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L+1,075</w:t>
            </w:r>
          </w:p>
        </w:tc>
        <w:tc>
          <w:tcPr>
            <w:tcW w:w="280" w:type="dxa"/>
            <w:vAlign w:val="bottom"/>
            <w:shd w:val="clear" w:color="auto" w:fill="CCECFF"/>
          </w:tcPr>
          <w:p>
            <w:pPr>
              <w:jc w:val="right"/>
              <w:ind w:right="68"/>
              <w:spacing w:after="0"/>
              <w:rPr>
                <w:sz w:val="20"/>
                <w:szCs w:val="20"/>
                <w:color w:val="auto"/>
              </w:rPr>
            </w:pPr>
            <w:r>
              <w:rPr>
                <w:rFonts w:ascii="Arial" w:cs="Arial" w:eastAsia="Arial" w:hAnsi="Arial"/>
                <w:sz w:val="10"/>
                <w:szCs w:val="10"/>
                <w:color w:val="auto"/>
              </w:rPr>
              <w:t>(7)</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28,859,421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28,349,720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28,859,421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2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Buildings and Real Estate</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10.88%</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L+1,050</w:t>
            </w:r>
          </w:p>
        </w:tc>
        <w:tc>
          <w:tcPr>
            <w:tcW w:w="280" w:type="dxa"/>
            <w:vAlign w:val="bottom"/>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22,512,751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35,990,065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28,703,752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10.00%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U.S. Well Services,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05/02/2019</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14.02%</w:t>
            </w:r>
          </w:p>
        </w:tc>
        <w:tc>
          <w:tcPr>
            <w:tcW w:w="1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L+1,350</w:t>
            </w:r>
          </w:p>
        </w:tc>
        <w:tc>
          <w:tcPr>
            <w:tcW w:w="280" w:type="dxa"/>
            <w:vAlign w:val="bottom"/>
          </w:tcPr>
          <w:p>
            <w:pPr>
              <w:jc w:val="right"/>
              <w:ind w:right="68"/>
              <w:spacing w:after="0"/>
              <w:rPr>
                <w:sz w:val="20"/>
                <w:szCs w:val="20"/>
                <w:color w:val="auto"/>
              </w:rPr>
            </w:pPr>
            <w:r>
              <w:rPr>
                <w:rFonts w:ascii="Arial" w:cs="Arial" w:eastAsia="Arial" w:hAnsi="Arial"/>
                <w:sz w:val="10"/>
                <w:szCs w:val="10"/>
                <w:color w:val="auto"/>
              </w:rPr>
              <w:t>(7)</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14,988,321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14,796,715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12,912,527</w:t>
            </w:r>
          </w:p>
        </w:tc>
        <w:tc>
          <w:tcPr>
            <w:tcW w:w="100" w:type="dxa"/>
            <w:vAlign w:val="bottom"/>
          </w:tcPr>
          <w:p>
            <w:pPr>
              <w:spacing w:after="0"/>
              <w:rPr>
                <w:sz w:val="13"/>
                <w:szCs w:val="13"/>
                <w:color w:val="auto"/>
              </w:rPr>
            </w:pPr>
          </w:p>
        </w:tc>
      </w:tr>
      <w:tr>
        <w:trPr>
          <w:trHeight w:val="141"/>
        </w:trPr>
        <w:tc>
          <w:tcPr>
            <w:tcW w:w="3000" w:type="dxa"/>
            <w:vAlign w:val="bottom"/>
            <w:tcBorders>
              <w:bottom w:val="single" w:sz="8" w:color="CCECFF"/>
            </w:tcBorders>
          </w:tcPr>
          <w:p>
            <w:pPr>
              <w:spacing w:after="0"/>
              <w:rPr>
                <w:sz w:val="12"/>
                <w:szCs w:val="12"/>
                <w:color w:val="auto"/>
              </w:rPr>
            </w:pPr>
          </w:p>
        </w:tc>
        <w:tc>
          <w:tcPr>
            <w:tcW w:w="92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(PIK 14.02%)</w:t>
            </w:r>
          </w:p>
        </w:tc>
        <w:tc>
          <w:tcPr>
            <w:tcW w:w="16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258,288,303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249,033,317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Debt—61.0%</w:t>
            </w: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09/01/2017</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Diversified Natural Resources, Precious</w:t>
            </w:r>
          </w:p>
        </w:tc>
        <w:tc>
          <w:tcPr>
            <w:tcW w:w="960" w:type="dxa"/>
            <w:vAlign w:val="bottom"/>
            <w:shd w:val="clear" w:color="auto" w:fill="CCECFF"/>
          </w:tcPr>
          <w:p>
            <w:pPr>
              <w:jc w:val="right"/>
              <w:ind w:right="10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25,400,000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25,400,000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17,780,000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Metals and Minerals</w:t>
            </w:r>
          </w:p>
        </w:tc>
        <w:tc>
          <w:tcPr>
            <w:tcW w:w="9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20" w:type="dxa"/>
            <w:vAlign w:val="bottom"/>
          </w:tcPr>
          <w:p>
            <w:pPr>
              <w:ind w:left="120"/>
              <w:spacing w:after="0"/>
              <w:rPr>
                <w:sz w:val="20"/>
                <w:szCs w:val="20"/>
                <w:color w:val="auto"/>
              </w:rPr>
            </w:pPr>
            <w:r>
              <w:rPr>
                <w:rFonts w:ascii="Arial" w:cs="Arial" w:eastAsia="Arial" w:hAnsi="Arial"/>
                <w:sz w:val="12"/>
                <w:szCs w:val="12"/>
                <w:color w:val="auto"/>
              </w:rPr>
              <w:t>03/04/2022</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13.75%</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28,253,554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Bennu Oil &amp; Gas,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11/01/2018</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Oil and Gas</w:t>
            </w:r>
          </w:p>
        </w:tc>
        <w:tc>
          <w:tcPr>
            <w:tcW w:w="960" w:type="dxa"/>
            <w:vAlign w:val="bottom"/>
            <w:shd w:val="clear" w:color="auto" w:fill="CCECFF"/>
          </w:tcPr>
          <w:p>
            <w:pPr>
              <w:jc w:val="right"/>
              <w:ind w:right="10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26,979,281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25,422,260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8,633,370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Howard Berger Co. LLC</w:t>
            </w:r>
          </w:p>
        </w:tc>
        <w:tc>
          <w:tcPr>
            <w:tcW w:w="920" w:type="dxa"/>
            <w:vAlign w:val="bottom"/>
          </w:tcPr>
          <w:p>
            <w:pPr>
              <w:ind w:left="120"/>
              <w:spacing w:after="0"/>
              <w:rPr>
                <w:sz w:val="20"/>
                <w:szCs w:val="20"/>
                <w:color w:val="auto"/>
              </w:rPr>
            </w:pPr>
            <w:r>
              <w:rPr>
                <w:rFonts w:ascii="Arial" w:cs="Arial" w:eastAsia="Arial" w:hAnsi="Arial"/>
                <w:sz w:val="12"/>
                <w:szCs w:val="12"/>
                <w:color w:val="auto"/>
              </w:rPr>
              <w:t>09/30/2020</w:t>
            </w:r>
          </w:p>
        </w:tc>
        <w:tc>
          <w:tcPr>
            <w:tcW w:w="262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11.00%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L+1,000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41,250,000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39,419,316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37,125,000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03/01/2017</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Cargo Transport</w:t>
            </w:r>
          </w:p>
        </w:tc>
        <w:tc>
          <w:tcPr>
            <w:tcW w:w="960" w:type="dxa"/>
            <w:vAlign w:val="bottom"/>
            <w:shd w:val="clear" w:color="auto" w:fill="CCECFF"/>
          </w:tcPr>
          <w:p>
            <w:pPr>
              <w:jc w:val="right"/>
              <w:ind w:right="10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4,887,760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3,739,797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2,932,656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Jacobs Entertainment,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10/29/2019</w:t>
            </w:r>
          </w:p>
        </w:tc>
        <w:tc>
          <w:tcPr>
            <w:tcW w:w="2620" w:type="dxa"/>
            <w:vAlign w:val="bottom"/>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13.00%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L+1,175</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51,775,000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51,362,786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51,775,000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Printing and Publishing</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11.50%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L+1,050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25,926,258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26,425,000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07/07/2021</w:t>
            </w:r>
          </w:p>
        </w:tc>
        <w:tc>
          <w:tcPr>
            <w:tcW w:w="262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12.25%</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L+1,100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41,250,000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40,929,816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41,250,000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12/17/2021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13.00%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L+1,200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76,229,058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Penton Media, Inc.</w:t>
            </w:r>
          </w:p>
        </w:tc>
        <w:tc>
          <w:tcPr>
            <w:tcW w:w="920" w:type="dxa"/>
            <w:vAlign w:val="bottom"/>
          </w:tcPr>
          <w:p>
            <w:pPr>
              <w:ind w:left="120"/>
              <w:spacing w:after="0"/>
              <w:rPr>
                <w:sz w:val="20"/>
                <w:szCs w:val="20"/>
                <w:color w:val="auto"/>
              </w:rPr>
            </w:pPr>
            <w:r>
              <w:rPr>
                <w:rFonts w:ascii="Arial" w:cs="Arial" w:eastAsia="Arial" w:hAnsi="Arial"/>
                <w:sz w:val="12"/>
                <w:szCs w:val="12"/>
                <w:color w:val="auto"/>
              </w:rPr>
              <w:t>10/02/2020</w:t>
            </w:r>
          </w:p>
        </w:tc>
        <w:tc>
          <w:tcPr>
            <w:tcW w:w="262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9.00%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L+775</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18,270,159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18,101,798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18,201,646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10.25%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L+900</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56,750,000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56,202,295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56,087,727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Prime Security Services Borrower,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9.75%</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L+875</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14,798,077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14,613,655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15,029,371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VT Buyer Acquisition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01/30/2023</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Business Services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10.75%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L+975</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12,862,500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12,441,130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12,862,500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416,812,665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392,831,328</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Notes—15.9%</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02/15/2019</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13.00%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L+1,200</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8,930,000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8,844,669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8,831,201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Environmental Services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12.00%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32,055,101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32,675,553</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Credit Infonet,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10/26/2018</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13.00%</w:t>
            </w:r>
          </w:p>
        </w:tc>
        <w:tc>
          <w:tcPr>
            <w:tcW w:w="1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11,035,083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10,937,329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10,538,501</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(PIK 1.75%)</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14.50%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L+1,000</w:t>
            </w:r>
          </w:p>
        </w:tc>
        <w:tc>
          <w:tcPr>
            <w:tcW w:w="2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8,375,600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12,306,414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10,855,976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(PIK 6.00%)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Randall-Reilly, LLC</w:t>
            </w:r>
          </w:p>
        </w:tc>
        <w:tc>
          <w:tcPr>
            <w:tcW w:w="920" w:type="dxa"/>
            <w:vAlign w:val="bottom"/>
          </w:tcPr>
          <w:p>
            <w:pPr>
              <w:ind w:left="120"/>
              <w:spacing w:after="0"/>
              <w:rPr>
                <w:sz w:val="20"/>
                <w:szCs w:val="20"/>
                <w:color w:val="auto"/>
              </w:rPr>
            </w:pPr>
            <w:r>
              <w:rPr>
                <w:rFonts w:ascii="Arial" w:cs="Arial" w:eastAsia="Arial" w:hAnsi="Arial"/>
                <w:sz w:val="12"/>
                <w:szCs w:val="12"/>
                <w:color w:val="auto"/>
              </w:rPr>
              <w:t>04/15/2020</w:t>
            </w:r>
          </w:p>
        </w:tc>
        <w:tc>
          <w:tcPr>
            <w:tcW w:w="26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12.00%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26,617,239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26,309,750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05/13/2021</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11.00%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13,090,281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2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103,851,033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102,510,981</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Interests—0.8% </w:t>
            </w:r>
            <w:r>
              <w:rPr>
                <w:rFonts w:ascii="Arial" w:cs="Arial" w:eastAsia="Arial" w:hAnsi="Arial"/>
                <w:sz w:val="9"/>
                <w:szCs w:val="9"/>
                <w:b w:val="1"/>
                <w:bCs w:val="1"/>
                <w:color w:val="auto"/>
              </w:rPr>
              <w:t>(6)</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AH Holdings,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2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6.00%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128,457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Financial Services</w:t>
            </w:r>
          </w:p>
        </w:tc>
        <w:tc>
          <w:tcPr>
            <w:tcW w:w="960" w:type="dxa"/>
            <w:vAlign w:val="bottom"/>
            <w:shd w:val="clear" w:color="auto" w:fill="CCECFF"/>
          </w:tcPr>
          <w:p>
            <w:pPr>
              <w:jc w:val="right"/>
              <w:ind w:right="10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1,081,633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8.00%</w:t>
            </w: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2,396,892</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Other Media</w:t>
            </w:r>
          </w:p>
        </w:tc>
        <w:tc>
          <w:tcPr>
            <w:tcW w:w="96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8.00%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Roto Holdings, Inc.</w:t>
            </w:r>
          </w:p>
        </w:tc>
        <w:tc>
          <w:tcPr>
            <w:tcW w:w="92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62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8"/>
              </w:rPr>
              <w:t>Manufacturing / Basic Industries</w:t>
            </w:r>
          </w:p>
        </w:tc>
        <w:tc>
          <w:tcPr>
            <w:tcW w:w="960" w:type="dxa"/>
            <w:vAlign w:val="bottom"/>
            <w:tcBorders>
              <w:bottom w:val="single" w:sz="8" w:color="CCECFF"/>
            </w:tcBorders>
          </w:tcPr>
          <w:p>
            <w:pPr>
              <w:jc w:val="right"/>
              <w:ind w:right="10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1,404,944</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2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5,044,402</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jc w:val="center"/>
              <w:ind w:right="142"/>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480" w:type="dxa"/>
            <w:vAlign w:val="bottom"/>
          </w:tcPr>
          <w:p>
            <w:pPr>
              <w:spacing w:after="0"/>
              <w:rPr>
                <w:sz w:val="11"/>
                <w:szCs w:val="11"/>
                <w:color w:val="auto"/>
              </w:rPr>
            </w:pPr>
          </w:p>
        </w:tc>
        <w:tc>
          <w:tcPr>
            <w:tcW w:w="1140" w:type="dxa"/>
            <w:vAlign w:val="bottom"/>
          </w:tcPr>
          <w:p>
            <w:pPr>
              <w:jc w:val="right"/>
              <w:ind w:right="402"/>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480" w:type="dxa"/>
            <w:vAlign w:val="bottom"/>
          </w:tcPr>
          <w:p>
            <w:pPr>
              <w:jc w:val="center"/>
              <w:ind w:right="62"/>
              <w:spacing w:after="0"/>
              <w:rPr>
                <w:sz w:val="20"/>
                <w:szCs w:val="20"/>
                <w:color w:val="auto"/>
              </w:rPr>
            </w:pPr>
            <w:r>
              <w:rPr>
                <w:rFonts w:ascii="Arial" w:cs="Arial" w:eastAsia="Arial" w:hAnsi="Arial"/>
                <w:sz w:val="12"/>
                <w:szCs w:val="12"/>
                <w:b w:val="1"/>
                <w:bCs w:val="1"/>
                <w:color w:val="auto"/>
                <w:w w:val="92"/>
              </w:rPr>
              <w:t>Industry</w:t>
            </w:r>
          </w:p>
        </w:tc>
        <w:tc>
          <w:tcPr>
            <w:tcW w:w="1140" w:type="dxa"/>
            <w:vAlign w:val="bottom"/>
          </w:tcPr>
          <w:p>
            <w:pPr>
              <w:jc w:val="right"/>
              <w:ind w:right="402"/>
              <w:spacing w:after="0"/>
              <w:rPr>
                <w:sz w:val="20"/>
                <w:szCs w:val="20"/>
                <w:color w:val="auto"/>
              </w:rPr>
            </w:pPr>
            <w:r>
              <w:rPr>
                <w:rFonts w:ascii="Arial" w:cs="Arial" w:eastAsia="Arial" w:hAnsi="Arial"/>
                <w:sz w:val="12"/>
                <w:szCs w:val="12"/>
                <w:b w:val="1"/>
                <w:bCs w:val="1"/>
                <w:color w:val="auto"/>
              </w:rPr>
              <w:t>Coupon</w:t>
            </w:r>
          </w:p>
        </w:tc>
        <w:tc>
          <w:tcPr>
            <w:tcW w:w="840" w:type="dxa"/>
            <w:vAlign w:val="bottom"/>
          </w:tcPr>
          <w:p>
            <w:pPr>
              <w:jc w:val="center"/>
              <w:ind w:right="16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2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9"/>
        </w:trPr>
        <w:tc>
          <w:tcPr>
            <w:tcW w:w="30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Common Equity/Partnership Interests/Warrants—10.0% </w:t>
            </w:r>
            <w:r>
              <w:rPr>
                <w:rFonts w:ascii="Arial" w:cs="Arial" w:eastAsia="Arial" w:hAnsi="Arial"/>
                <w:sz w:val="9"/>
                <w:szCs w:val="9"/>
                <w:b w:val="1"/>
                <w:bCs w:val="1"/>
                <w:color w:val="auto"/>
                <w:w w:val="92"/>
              </w:rPr>
              <w:t>(6)</w:t>
            </w:r>
          </w:p>
        </w:tc>
        <w:tc>
          <w:tcPr>
            <w:tcW w:w="980" w:type="dxa"/>
            <w:vAlign w:val="bottom"/>
            <w:tcBorders>
              <w:top w:val="single" w:sz="8" w:color="auto"/>
            </w:tcBorders>
            <w:shd w:val="clear" w:color="auto" w:fill="CCECFF"/>
          </w:tcPr>
          <w:p>
            <w:pPr>
              <w:spacing w:after="0"/>
              <w:rPr>
                <w:sz w:val="12"/>
                <w:szCs w:val="12"/>
                <w:color w:val="auto"/>
              </w:rPr>
            </w:pPr>
          </w:p>
        </w:tc>
        <w:tc>
          <w:tcPr>
            <w:tcW w:w="2480" w:type="dxa"/>
            <w:vAlign w:val="bottom"/>
            <w:tcBorders>
              <w:top w:val="single" w:sz="8" w:color="auto"/>
            </w:tcBorders>
            <w:shd w:val="clear" w:color="auto" w:fill="CCECFF"/>
          </w:tcPr>
          <w:p>
            <w:pPr>
              <w:spacing w:after="0"/>
              <w:rPr>
                <w:sz w:val="12"/>
                <w:szCs w:val="12"/>
                <w:color w:val="auto"/>
              </w:rPr>
            </w:pPr>
          </w:p>
        </w:tc>
        <w:tc>
          <w:tcPr>
            <w:tcW w:w="114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87"/>
        </w:trPr>
        <w:tc>
          <w:tcPr>
            <w:tcW w:w="3080" w:type="dxa"/>
            <w:vAlign w:val="bottom"/>
            <w:shd w:val="clear" w:color="auto" w:fill="CCECFF"/>
          </w:tcPr>
          <w:p>
            <w:pPr>
              <w:spacing w:after="0"/>
              <w:rPr>
                <w:sz w:val="7"/>
                <w:szCs w:val="7"/>
                <w:color w:val="auto"/>
              </w:rPr>
            </w:pPr>
          </w:p>
        </w:tc>
        <w:tc>
          <w:tcPr>
            <w:tcW w:w="980" w:type="dxa"/>
            <w:vAlign w:val="bottom"/>
            <w:shd w:val="clear" w:color="auto" w:fill="CCECFF"/>
          </w:tcPr>
          <w:p>
            <w:pPr>
              <w:spacing w:after="0"/>
              <w:rPr>
                <w:sz w:val="7"/>
                <w:szCs w:val="7"/>
                <w:color w:val="auto"/>
              </w:rPr>
            </w:pPr>
          </w:p>
        </w:tc>
        <w:tc>
          <w:tcPr>
            <w:tcW w:w="2480" w:type="dxa"/>
            <w:vAlign w:val="bottom"/>
            <w:shd w:val="clear" w:color="auto" w:fill="CCECFF"/>
          </w:tcPr>
          <w:p>
            <w:pPr>
              <w:spacing w:after="0"/>
              <w:rPr>
                <w:sz w:val="7"/>
                <w:szCs w:val="7"/>
                <w:color w:val="auto"/>
              </w:rPr>
            </w:pPr>
          </w:p>
        </w:tc>
        <w:tc>
          <w:tcPr>
            <w:tcW w:w="1140" w:type="dxa"/>
            <w:vAlign w:val="bottom"/>
            <w:shd w:val="clear" w:color="auto" w:fill="CCECFF"/>
          </w:tcPr>
          <w:p>
            <w:pPr>
              <w:spacing w:after="0"/>
              <w:rPr>
                <w:sz w:val="7"/>
                <w:szCs w:val="7"/>
                <w:color w:val="auto"/>
              </w:rPr>
            </w:pPr>
          </w:p>
        </w:tc>
        <w:tc>
          <w:tcPr>
            <w:tcW w:w="84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6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753</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8"/>
              </w:rPr>
              <w:t>Financial Services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86"/>
              </w:rPr>
              <w:t>Education</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1,192,535</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7"/>
              </w:rPr>
              <w:t>Broadcasting and Entertainment</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6"/>
              </w:rPr>
              <w:t>Cargo Transport</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137,923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2,111,588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80" w:type="dxa"/>
            <w:vAlign w:val="bottom"/>
          </w:tcPr>
          <w:p>
            <w:pPr>
              <w:ind w:left="80"/>
              <w:spacing w:after="0"/>
              <w:rPr>
                <w:sz w:val="20"/>
                <w:szCs w:val="20"/>
                <w:color w:val="auto"/>
              </w:rPr>
            </w:pPr>
            <w:r>
              <w:rPr>
                <w:rFonts w:ascii="Arial" w:cs="Arial" w:eastAsia="Arial" w:hAnsi="Arial"/>
                <w:sz w:val="12"/>
                <w:szCs w:val="12"/>
                <w:color w:val="auto"/>
              </w:rPr>
              <w:t>(Intermediate Transportation 100, LLC)</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5,194,738</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93"/>
              </w:rPr>
              <w:t>Distribution</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3,637,907</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91"/>
              </w:rPr>
              <w:t>Electronics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2,671,422</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e.l.f. Beauty,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938,399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2,513,193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25,141,220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92"/>
              </w:rPr>
              <w:t>Building Materials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354,555</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HW Holdco, LLC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87"/>
              </w:rPr>
              <w:t>Other Media</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3,512,420</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Kadmon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1,849,783</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93"/>
              </w:rPr>
              <w:t>Distribution</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526,382</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86"/>
              </w:rPr>
              <w:t>Personal, Food and Miscellaneous Services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5,959,292</w:t>
            </w:r>
          </w:p>
        </w:tc>
        <w:tc>
          <w:tcPr>
            <w:tcW w:w="100" w:type="dxa"/>
            <w:vAlign w:val="bottom"/>
          </w:tcPr>
          <w:p>
            <w:pPr>
              <w:spacing w:after="0"/>
              <w:rPr>
                <w:sz w:val="12"/>
                <w:szCs w:val="12"/>
                <w:color w:val="auto"/>
              </w:rPr>
            </w:pPr>
          </w:p>
        </w:tc>
      </w:tr>
      <w:tr>
        <w:trPr>
          <w:trHeight w:val="141"/>
        </w:trPr>
        <w:tc>
          <w:tcPr>
            <w:tcW w:w="308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Patriot National,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7"/>
              </w:rPr>
              <w:t>Insurance</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908,974</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91"/>
              </w:rPr>
              <w:t>Electronics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901,263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1,223,409</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91"/>
              </w:rPr>
              <w:t>Electronics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142,300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2,800,010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Roto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90"/>
              </w:rPr>
              <w:t>Manufacturing / Basic Industries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1,022,594</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Vestcom Parent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9"/>
              </w:rPr>
              <w:t>Printing and Publishing</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211,797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793,873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8,051,139</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140" w:type="dxa"/>
            <w:vAlign w:val="bottom"/>
            <w:tcBorders>
              <w:bottom w:val="single" w:sz="8" w:color="CCECFF"/>
            </w:tcBorders>
          </w:tcPr>
          <w:p>
            <w:pPr>
              <w:spacing w:after="0"/>
              <w:rPr>
                <w:sz w:val="12"/>
                <w:szCs w:val="12"/>
                <w:color w:val="auto"/>
              </w:rPr>
            </w:pPr>
          </w:p>
        </w:tc>
        <w:tc>
          <w:tcPr>
            <w:tcW w:w="84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21,503,373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64,047,463</w:t>
            </w:r>
          </w:p>
        </w:tc>
        <w:tc>
          <w:tcPr>
            <w:tcW w:w="100" w:type="dxa"/>
            <w:vAlign w:val="bottom"/>
            <w:tcBorders>
              <w:bottom w:val="single" w:sz="8" w:color="CCECFF"/>
            </w:tcBorders>
          </w:tcPr>
          <w:p>
            <w:pPr>
              <w:spacing w:after="0"/>
              <w:rPr>
                <w:sz w:val="12"/>
                <w:szCs w:val="12"/>
                <w:color w:val="auto"/>
              </w:rPr>
            </w:pPr>
          </w:p>
        </w:tc>
      </w:tr>
      <w:tr>
        <w:trPr>
          <w:trHeight w:val="142"/>
        </w:trPr>
        <w:tc>
          <w:tcPr>
            <w:tcW w:w="4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805,189,545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813,467,491</w:t>
            </w:r>
          </w:p>
        </w:tc>
        <w:tc>
          <w:tcPr>
            <w:tcW w:w="100" w:type="dxa"/>
            <w:vAlign w:val="bottom"/>
            <w:shd w:val="clear" w:color="auto" w:fill="CCECFF"/>
          </w:tcPr>
          <w:p>
            <w:pPr>
              <w:spacing w:after="0"/>
              <w:rPr>
                <w:sz w:val="12"/>
                <w:szCs w:val="12"/>
                <w:color w:val="auto"/>
              </w:rPr>
            </w:pPr>
          </w:p>
        </w:tc>
      </w:tr>
      <w:tr>
        <w:trPr>
          <w:trHeight w:val="149"/>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Investments in Non-Controlled, Affiliated Portfolio Companies—33.5% </w:t>
            </w:r>
            <w:r>
              <w:rPr>
                <w:rFonts w:ascii="Arial" w:cs="Arial" w:eastAsia="Arial" w:hAnsi="Arial"/>
                <w:sz w:val="9"/>
                <w:szCs w:val="9"/>
                <w:b w:val="1"/>
                <w:bCs w:val="1"/>
                <w:color w:val="auto"/>
                <w:w w:val="94"/>
              </w:rPr>
              <w:t>(1), (2)</w:t>
            </w: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8"/>
        </w:trPr>
        <w:tc>
          <w:tcPr>
            <w:tcW w:w="3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Debt—8.3%</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Corfin Industries LLC</w:t>
            </w:r>
          </w:p>
        </w:tc>
        <w:tc>
          <w:tcPr>
            <w:tcW w:w="9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tcPr>
          <w:p>
            <w:pPr>
              <w:jc w:val="right"/>
              <w:ind w:right="162"/>
              <w:spacing w:after="0"/>
              <w:rPr>
                <w:sz w:val="20"/>
                <w:szCs w:val="20"/>
                <w:color w:val="auto"/>
              </w:rPr>
            </w:pPr>
            <w:r>
              <w:rPr>
                <w:rFonts w:ascii="Arial" w:cs="Arial" w:eastAsia="Arial" w:hAnsi="Arial"/>
                <w:sz w:val="12"/>
                <w:szCs w:val="12"/>
                <w:color w:val="auto"/>
              </w:rPr>
              <w:t>10.75%</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L+975</w:t>
            </w:r>
          </w:p>
        </w:tc>
        <w:tc>
          <w:tcPr>
            <w:tcW w:w="720" w:type="dxa"/>
            <w:vAlign w:val="bottom"/>
          </w:tcPr>
          <w:p>
            <w:pPr>
              <w:jc w:val="right"/>
              <w:spacing w:after="0"/>
              <w:rPr>
                <w:sz w:val="20"/>
                <w:szCs w:val="20"/>
                <w:color w:val="auto"/>
              </w:rPr>
            </w:pPr>
            <w:r>
              <w:rPr>
                <w:rFonts w:ascii="Arial" w:cs="Arial" w:eastAsia="Arial" w:hAnsi="Arial"/>
                <w:sz w:val="12"/>
                <w:szCs w:val="12"/>
                <w:color w:val="auto"/>
              </w:rPr>
              <w:t>23,522,250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23,114,058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23,522,250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1,942,623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80" w:type="dxa"/>
            <w:vAlign w:val="bottom"/>
          </w:tcPr>
          <w:p>
            <w:pPr>
              <w:spacing w:after="0"/>
              <w:rPr>
                <w:sz w:val="20"/>
                <w:szCs w:val="20"/>
                <w:color w:val="auto"/>
              </w:rPr>
            </w:pPr>
            <w:r>
              <w:rPr>
                <w:rFonts w:ascii="Arial" w:cs="Arial" w:eastAsia="Arial" w:hAnsi="Arial"/>
                <w:sz w:val="12"/>
                <w:szCs w:val="12"/>
                <w:color w:val="auto"/>
              </w:rPr>
              <w:t>PAS Technologies, Inc.</w:t>
            </w:r>
          </w:p>
        </w:tc>
        <w:tc>
          <w:tcPr>
            <w:tcW w:w="980" w:type="dxa"/>
            <w:vAlign w:val="bottom"/>
          </w:tcPr>
          <w:p>
            <w:pPr>
              <w:ind w:left="60"/>
              <w:spacing w:after="0"/>
              <w:rPr>
                <w:sz w:val="20"/>
                <w:szCs w:val="20"/>
                <w:color w:val="auto"/>
              </w:rPr>
            </w:pPr>
            <w:r>
              <w:rPr>
                <w:rFonts w:ascii="Arial" w:cs="Arial" w:eastAsia="Arial" w:hAnsi="Arial"/>
                <w:sz w:val="12"/>
                <w:szCs w:val="12"/>
                <w:color w:val="auto"/>
              </w:rPr>
              <w:t>03/21/2017</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tcPr>
          <w:p>
            <w:pPr>
              <w:jc w:val="right"/>
              <w:ind w:right="162"/>
              <w:spacing w:after="0"/>
              <w:rPr>
                <w:sz w:val="20"/>
                <w:szCs w:val="20"/>
                <w:color w:val="auto"/>
              </w:rPr>
            </w:pPr>
            <w:r>
              <w:rPr>
                <w:rFonts w:ascii="Arial" w:cs="Arial" w:eastAsia="Arial" w:hAnsi="Arial"/>
                <w:sz w:val="12"/>
                <w:szCs w:val="12"/>
                <w:color w:val="auto"/>
              </w:rPr>
              <w:t>6.01%</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L+500</w:t>
            </w:r>
          </w:p>
        </w:tc>
        <w:tc>
          <w:tcPr>
            <w:tcW w:w="720" w:type="dxa"/>
            <w:vAlign w:val="bottom"/>
          </w:tcPr>
          <w:p>
            <w:pPr>
              <w:jc w:val="right"/>
              <w:spacing w:after="0"/>
              <w:rPr>
                <w:sz w:val="20"/>
                <w:szCs w:val="20"/>
                <w:color w:val="auto"/>
              </w:rPr>
            </w:pPr>
            <w:r>
              <w:rPr>
                <w:rFonts w:ascii="Arial" w:cs="Arial" w:eastAsia="Arial" w:hAnsi="Arial"/>
                <w:sz w:val="12"/>
                <w:szCs w:val="12"/>
                <w:color w:val="auto"/>
              </w:rPr>
              <w:t>4,434,295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3,357,949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3,946,523</w:t>
            </w:r>
          </w:p>
        </w:tc>
        <w:tc>
          <w:tcPr>
            <w:tcW w:w="100" w:type="dxa"/>
            <w:vAlign w:val="bottom"/>
          </w:tcPr>
          <w:p>
            <w:pPr>
              <w:spacing w:after="0"/>
              <w:rPr>
                <w:sz w:val="13"/>
                <w:szCs w:val="13"/>
                <w:color w:val="auto"/>
              </w:rPr>
            </w:pPr>
          </w:p>
        </w:tc>
      </w:tr>
      <w:tr>
        <w:trPr>
          <w:trHeight w:val="142"/>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jc w:val="right"/>
              <w:ind w:right="122"/>
              <w:spacing w:after="0"/>
              <w:rPr>
                <w:sz w:val="20"/>
                <w:szCs w:val="20"/>
                <w:color w:val="auto"/>
              </w:rPr>
            </w:pPr>
            <w:r>
              <w:rPr>
                <w:rFonts w:ascii="Arial" w:cs="Arial" w:eastAsia="Arial" w:hAnsi="Arial"/>
                <w:sz w:val="12"/>
                <w:szCs w:val="12"/>
                <w:color w:val="auto"/>
              </w:rPr>
              <w:t>(PIK 1.00%)</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5"/>
              </w:rPr>
              <w:t>Business Services</w:t>
            </w:r>
          </w:p>
        </w:tc>
        <w:tc>
          <w:tcPr>
            <w:tcW w:w="114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12.00%</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L+1,050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22,764,911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22,613,930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22,764,911</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TRAK Acquisition Corp. (Revolver)</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11/22/2016</w:t>
            </w:r>
          </w:p>
        </w:tc>
        <w:tc>
          <w:tcPr>
            <w:tcW w:w="248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5"/>
              </w:rPr>
              <w:t>Business Services</w:t>
            </w:r>
          </w:p>
        </w:tc>
        <w:tc>
          <w:tcPr>
            <w:tcW w:w="1140" w:type="dxa"/>
            <w:vAlign w:val="bottom"/>
            <w:tcBorders>
              <w:bottom w:val="single" w:sz="8" w:color="CCECFF"/>
            </w:tcBorders>
          </w:tcPr>
          <w:p>
            <w:pPr>
              <w:jc w:val="right"/>
              <w:ind w:right="162"/>
              <w:spacing w:after="0"/>
              <w:rPr>
                <w:sz w:val="20"/>
                <w:szCs w:val="20"/>
                <w:color w:val="auto"/>
              </w:rPr>
            </w:pPr>
            <w:r>
              <w:rPr>
                <w:rFonts w:ascii="Arial" w:cs="Arial" w:eastAsia="Arial" w:hAnsi="Arial"/>
                <w:sz w:val="12"/>
                <w:szCs w:val="12"/>
                <w:color w:val="auto"/>
              </w:rPr>
              <w:t>12.00%</w:t>
            </w:r>
          </w:p>
        </w:tc>
        <w:tc>
          <w:tcPr>
            <w:tcW w:w="840" w:type="dxa"/>
            <w:vAlign w:val="bottom"/>
            <w:tcBorders>
              <w:bottom w:val="single" w:sz="8" w:color="CCECFF"/>
            </w:tcBorders>
          </w:tcPr>
          <w:p>
            <w:pPr>
              <w:jc w:val="right"/>
              <w:ind w:right="142"/>
              <w:spacing w:after="0"/>
              <w:rPr>
                <w:sz w:val="20"/>
                <w:szCs w:val="20"/>
                <w:color w:val="auto"/>
              </w:rPr>
            </w:pPr>
            <w:r>
              <w:rPr>
                <w:rFonts w:ascii="Arial" w:cs="Arial" w:eastAsia="Arial" w:hAnsi="Arial"/>
                <w:sz w:val="12"/>
                <w:szCs w:val="12"/>
                <w:color w:val="auto"/>
              </w:rPr>
              <w:t>L+1,050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Total First Lien Secured Debt</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52,085,937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53,233,684</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Second Lien Secured Debt—3.9%</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Inc.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10/31/2018</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8.50%</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L+700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16,960,967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15,825,060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EnviroSolutions Real Property Holdings, Inc.</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12/26/2017</w:t>
            </w:r>
          </w:p>
        </w:tc>
        <w:tc>
          <w:tcPr>
            <w:tcW w:w="248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1140" w:type="dxa"/>
            <w:vAlign w:val="bottom"/>
            <w:tcBorders>
              <w:bottom w:val="single" w:sz="8" w:color="CCECFF"/>
            </w:tcBorders>
          </w:tcPr>
          <w:p>
            <w:pPr>
              <w:jc w:val="right"/>
              <w:ind w:right="162"/>
              <w:spacing w:after="0"/>
              <w:rPr>
                <w:sz w:val="20"/>
                <w:szCs w:val="20"/>
                <w:color w:val="auto"/>
              </w:rPr>
            </w:pPr>
            <w:r>
              <w:rPr>
                <w:rFonts w:ascii="Arial" w:cs="Arial" w:eastAsia="Arial" w:hAnsi="Arial"/>
                <w:sz w:val="12"/>
                <w:szCs w:val="12"/>
                <w:color w:val="auto"/>
              </w:rPr>
              <w:t>9.00%</w:t>
            </w:r>
          </w:p>
        </w:tc>
        <w:tc>
          <w:tcPr>
            <w:tcW w:w="840" w:type="dxa"/>
            <w:vAlign w:val="bottom"/>
            <w:tcBorders>
              <w:bottom w:val="single" w:sz="8" w:color="CCECFF"/>
            </w:tcBorders>
          </w:tcPr>
          <w:p>
            <w:pPr>
              <w:jc w:val="right"/>
              <w:ind w:right="142"/>
              <w:spacing w:after="0"/>
              <w:rPr>
                <w:sz w:val="20"/>
                <w:szCs w:val="20"/>
                <w:color w:val="auto"/>
              </w:rPr>
            </w:pPr>
            <w:r>
              <w:rPr>
                <w:rFonts w:ascii="Arial" w:cs="Arial" w:eastAsia="Arial" w:hAnsi="Arial"/>
                <w:sz w:val="12"/>
                <w:szCs w:val="12"/>
                <w:color w:val="auto"/>
              </w:rPr>
              <w:t>L+800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9,409,740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9,307,548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9,409,740</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26,268,515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25,234,800</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Notes—11.7%</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(9), (12)</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07/30/2018</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7.50%</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9,858,025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8,946,674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8,995,448</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jc w:val="right"/>
              <w:ind w:right="122"/>
              <w:spacing w:after="0"/>
              <w:rPr>
                <w:sz w:val="20"/>
                <w:szCs w:val="20"/>
                <w:color w:val="auto"/>
              </w:rPr>
            </w:pPr>
            <w:r>
              <w:rPr>
                <w:rFonts w:ascii="Arial" w:cs="Arial" w:eastAsia="Arial" w:hAnsi="Arial"/>
                <w:sz w:val="12"/>
                <w:szCs w:val="12"/>
                <w:color w:val="auto"/>
              </w:rPr>
              <w:t>(PIK 4.00%)</w:t>
            </w: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DirectBuy Holdings, Inc.</w:t>
            </w:r>
          </w:p>
        </w:tc>
        <w:tc>
          <w:tcPr>
            <w:tcW w:w="980" w:type="dxa"/>
            <w:vAlign w:val="bottom"/>
          </w:tcPr>
          <w:p>
            <w:pPr>
              <w:ind w:left="60"/>
              <w:spacing w:after="0"/>
              <w:rPr>
                <w:sz w:val="20"/>
                <w:szCs w:val="20"/>
                <w:color w:val="auto"/>
              </w:rPr>
            </w:pPr>
            <w:r>
              <w:rPr>
                <w:rFonts w:ascii="Arial" w:cs="Arial" w:eastAsia="Arial" w:hAnsi="Arial"/>
                <w:sz w:val="12"/>
                <w:szCs w:val="12"/>
                <w:color w:val="auto"/>
              </w:rPr>
              <w:t>11/05/2019</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14,735,238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12,340,534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2,799,695</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ETX Energy, LLC (f/k/a New Gulf Resources, LLC),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1140" w:type="dxa"/>
            <w:vAlign w:val="bottom"/>
            <w:shd w:val="clear" w:color="auto" w:fill="CCECFF"/>
          </w:tcPr>
          <w:p>
            <w:pPr>
              <w:jc w:val="right"/>
              <w:ind w:right="162"/>
              <w:spacing w:after="0"/>
              <w:rPr>
                <w:sz w:val="20"/>
                <w:szCs w:val="20"/>
                <w:color w:val="auto"/>
              </w:rPr>
            </w:pPr>
            <w:r>
              <w:rPr>
                <w:rFonts w:ascii="Arial" w:cs="Arial" w:eastAsia="Arial" w:hAnsi="Arial"/>
                <w:sz w:val="12"/>
                <w:szCs w:val="12"/>
                <w:color w:val="auto"/>
              </w:rPr>
              <w:t>12.50%</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25,297,664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36,473,119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35,416,730</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Convertible Note (5)</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jc w:val="right"/>
              <w:ind w:right="122"/>
              <w:spacing w:after="0"/>
              <w:rPr>
                <w:sz w:val="20"/>
                <w:szCs w:val="20"/>
                <w:color w:val="auto"/>
              </w:rPr>
            </w:pPr>
            <w:r>
              <w:rPr>
                <w:rFonts w:ascii="Arial" w:cs="Arial" w:eastAsia="Arial" w:hAnsi="Arial"/>
                <w:sz w:val="12"/>
                <w:szCs w:val="12"/>
                <w:color w:val="auto"/>
              </w:rPr>
              <w:t>(PIK 12.50%)</w:t>
            </w: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Service Champ, Inc.</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10/02/2017</w:t>
            </w:r>
          </w:p>
        </w:tc>
        <w:tc>
          <w:tcPr>
            <w:tcW w:w="248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9"/>
              </w:rPr>
              <w:t>Auto Sector</w:t>
            </w:r>
          </w:p>
        </w:tc>
        <w:tc>
          <w:tcPr>
            <w:tcW w:w="1140" w:type="dxa"/>
            <w:vAlign w:val="bottom"/>
            <w:tcBorders>
              <w:bottom w:val="single" w:sz="8" w:color="CCECFF"/>
            </w:tcBorders>
          </w:tcPr>
          <w:p>
            <w:pPr>
              <w:jc w:val="right"/>
              <w:ind w:right="162"/>
              <w:spacing w:after="0"/>
              <w:rPr>
                <w:sz w:val="20"/>
                <w:szCs w:val="20"/>
                <w:color w:val="auto"/>
              </w:rPr>
            </w:pPr>
            <w:r>
              <w:rPr>
                <w:rFonts w:ascii="Arial" w:cs="Arial" w:eastAsia="Arial" w:hAnsi="Arial"/>
                <w:sz w:val="12"/>
                <w:szCs w:val="12"/>
                <w:color w:val="auto"/>
              </w:rPr>
              <w:t>12.50%</w:t>
            </w:r>
          </w:p>
        </w:tc>
        <w:tc>
          <w:tcPr>
            <w:tcW w:w="840" w:type="dxa"/>
            <w:vAlign w:val="bottom"/>
            <w:tcBorders>
              <w:bottom w:val="single" w:sz="8" w:color="CCECFF"/>
            </w:tcBorders>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28,000,000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27,841,741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27,908,663</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85,602,068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75,120,536</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Equity—0.7%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20,059,340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4,287,107</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b w:val="1"/>
                <w:bCs w:val="1"/>
                <w:color w:val="auto"/>
                <w:w w:val="94"/>
              </w:rPr>
              <w:t xml:space="preserve">Common Equity/Partnership Interests/Warrants—8.9% </w:t>
            </w:r>
            <w:r>
              <w:rPr>
                <w:rFonts w:ascii="Arial" w:cs="Arial" w:eastAsia="Arial" w:hAnsi="Arial"/>
                <w:sz w:val="9"/>
                <w:szCs w:val="9"/>
                <w:b w:val="1"/>
                <w:bCs w:val="1"/>
                <w:color w:val="auto"/>
                <w:w w:val="94"/>
              </w:rPr>
              <w:t>(6)</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7"/>
        </w:trPr>
        <w:tc>
          <w:tcPr>
            <w:tcW w:w="3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859,496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32,115,042</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37,181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173,844</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2,330,813</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DirectBuy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21,492,822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11/05/2022</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15,486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Environmental Services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13,112,260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ETX Energy, LLC (f/k/a New Gulf Resources,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8"/>
              </w:rPr>
              <w:t>Oil and Gas</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113,610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ETX Energy Management Company,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8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(f/k/a NGR Management Company LLC) </w:t>
            </w:r>
            <w:r>
              <w:rPr>
                <w:rFonts w:ascii="Arial" w:cs="Arial" w:eastAsia="Arial" w:hAnsi="Arial"/>
                <w:sz w:val="9"/>
                <w:szCs w:val="9"/>
                <w:color w:val="auto"/>
              </w:rPr>
              <w:t>(10)</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New Service Champ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480" w:type="dxa"/>
            <w:vAlign w:val="bottom"/>
          </w:tcPr>
          <w:p>
            <w:pPr>
              <w:jc w:val="center"/>
              <w:ind w:right="62"/>
              <w:spacing w:after="0"/>
              <w:rPr>
                <w:sz w:val="20"/>
                <w:szCs w:val="20"/>
                <w:color w:val="auto"/>
              </w:rPr>
            </w:pPr>
            <w:r>
              <w:rPr>
                <w:rFonts w:ascii="Arial" w:cs="Arial" w:eastAsia="Arial" w:hAnsi="Arial"/>
                <w:sz w:val="12"/>
                <w:szCs w:val="12"/>
                <w:color w:val="auto"/>
                <w:w w:val="89"/>
              </w:rPr>
              <w:t>Auto Sector</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2,721,600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6,989,362</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48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1140" w:type="dxa"/>
            <w:vAlign w:val="bottom"/>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202,620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tcBorders>
              <w:bottom w:val="single" w:sz="8" w:color="CCECFF"/>
            </w:tcBorders>
          </w:tcPr>
          <w:p>
            <w:pPr>
              <w:ind w:left="320"/>
              <w:spacing w:after="0"/>
              <w:rPr>
                <w:sz w:val="20"/>
                <w:szCs w:val="20"/>
                <w:color w:val="auto"/>
              </w:rPr>
            </w:pPr>
            <w:r>
              <w:rPr>
                <w:rFonts w:ascii="Arial" w:cs="Arial" w:eastAsia="Arial" w:hAnsi="Arial"/>
                <w:sz w:val="12"/>
                <w:szCs w:val="12"/>
                <w:color w:val="auto"/>
              </w:rPr>
              <w:t>—</w:t>
            </w:r>
          </w:p>
        </w:tc>
        <w:tc>
          <w:tcPr>
            <w:tcW w:w="248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5"/>
              </w:rPr>
              <w:t>Business Services</w:t>
            </w:r>
          </w:p>
        </w:tc>
        <w:tc>
          <w:tcPr>
            <w:tcW w:w="1140" w:type="dxa"/>
            <w:vAlign w:val="bottom"/>
            <w:tcBorders>
              <w:bottom w:val="single" w:sz="8" w:color="CCECFF"/>
            </w:tcBorders>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CFF"/>
            </w:tcBorders>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491,755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2,595,099</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78,461,046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57,316,420</w:t>
            </w:r>
          </w:p>
        </w:tc>
        <w:tc>
          <w:tcPr>
            <w:tcW w:w="100" w:type="dxa"/>
            <w:vAlign w:val="bottom"/>
            <w:shd w:val="clear" w:color="auto" w:fill="CCECFF"/>
          </w:tcPr>
          <w:p>
            <w:pPr>
              <w:spacing w:after="0"/>
              <w:rPr>
                <w:sz w:val="12"/>
                <w:szCs w:val="12"/>
                <w:color w:val="auto"/>
              </w:rPr>
            </w:pPr>
          </w:p>
        </w:tc>
      </w:tr>
      <w:tr>
        <w:trPr>
          <w:trHeight w:val="142"/>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262,476,906</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215,192,547</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jc w:val="center"/>
              <w:ind w:right="102"/>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340" w:type="dxa"/>
            <w:vAlign w:val="bottom"/>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340" w:type="dxa"/>
            <w:vAlign w:val="bottom"/>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tcPr>
          <w:p>
            <w:pPr>
              <w:jc w:val="center"/>
              <w:ind w:right="1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2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9"/>
        </w:trPr>
        <w:tc>
          <w:tcPr>
            <w:tcW w:w="4140" w:type="dxa"/>
            <w:vAlign w:val="bottom"/>
            <w:tcBorders>
              <w:top w:val="single" w:sz="8" w:color="auto"/>
            </w:tcBorders>
            <w:gridSpan w:val="3"/>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Companies—19.4%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34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120" w:type="dxa"/>
            <w:vAlign w:val="bottom"/>
            <w:shd w:val="clear" w:color="auto" w:fill="CCECFF"/>
          </w:tcPr>
          <w:p>
            <w:pPr>
              <w:spacing w:after="0"/>
              <w:rPr>
                <w:sz w:val="7"/>
                <w:szCs w:val="7"/>
                <w:color w:val="auto"/>
              </w:rPr>
            </w:pPr>
          </w:p>
        </w:tc>
        <w:tc>
          <w:tcPr>
            <w:tcW w:w="820" w:type="dxa"/>
            <w:vAlign w:val="bottom"/>
            <w:shd w:val="clear" w:color="auto" w:fill="CCECFF"/>
          </w:tcPr>
          <w:p>
            <w:pPr>
              <w:spacing w:after="0"/>
              <w:rPr>
                <w:sz w:val="7"/>
                <w:szCs w:val="7"/>
                <w:color w:val="auto"/>
              </w:rPr>
            </w:pPr>
          </w:p>
        </w:tc>
        <w:tc>
          <w:tcPr>
            <w:tcW w:w="1200" w:type="dxa"/>
            <w:vAlign w:val="bottom"/>
            <w:shd w:val="clear" w:color="auto" w:fill="CCECFF"/>
          </w:tcPr>
          <w:p>
            <w:pPr>
              <w:spacing w:after="0"/>
              <w:rPr>
                <w:sz w:val="7"/>
                <w:szCs w:val="7"/>
                <w:color w:val="auto"/>
              </w:rPr>
            </w:pPr>
          </w:p>
        </w:tc>
        <w:tc>
          <w:tcPr>
            <w:tcW w:w="1980" w:type="dxa"/>
            <w:vAlign w:val="bottom"/>
            <w:shd w:val="clear" w:color="auto" w:fill="CCECFF"/>
          </w:tcPr>
          <w:p>
            <w:pPr>
              <w:spacing w:after="0"/>
              <w:rPr>
                <w:sz w:val="7"/>
                <w:szCs w:val="7"/>
                <w:color w:val="auto"/>
              </w:rPr>
            </w:pPr>
          </w:p>
        </w:tc>
        <w:tc>
          <w:tcPr>
            <w:tcW w:w="1340" w:type="dxa"/>
            <w:vAlign w:val="bottom"/>
            <w:shd w:val="clear" w:color="auto" w:fill="CCECFF"/>
          </w:tcPr>
          <w:p>
            <w:pPr>
              <w:spacing w:after="0"/>
              <w:rPr>
                <w:sz w:val="7"/>
                <w:szCs w:val="7"/>
                <w:color w:val="auto"/>
              </w:rPr>
            </w:pPr>
          </w:p>
        </w:tc>
        <w:tc>
          <w:tcPr>
            <w:tcW w:w="90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First Lien Secured Debt—14.7%</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RAM Energy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07/18/2019</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34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10.00%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L+800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84,606,067</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83,653,689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68,319,399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ind w:left="560"/>
              <w:spacing w:after="0"/>
              <w:rPr>
                <w:sz w:val="20"/>
                <w:szCs w:val="20"/>
                <w:color w:val="auto"/>
              </w:rPr>
            </w:pPr>
            <w:r>
              <w:rPr>
                <w:rFonts w:ascii="Arial" w:cs="Arial" w:eastAsia="Arial" w:hAnsi="Arial"/>
                <w:sz w:val="12"/>
                <w:szCs w:val="12"/>
                <w:color w:val="auto"/>
              </w:rPr>
              <w:t>(PIK 10.00%)</w:t>
            </w: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gridSpan w:val="2"/>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340" w:type="dxa"/>
            <w:vAlign w:val="bottom"/>
          </w:tcPr>
          <w:p>
            <w:pPr>
              <w:jc w:val="right"/>
              <w:ind w:right="82"/>
              <w:spacing w:after="0"/>
              <w:rPr>
                <w:sz w:val="20"/>
                <w:szCs w:val="20"/>
                <w:color w:val="auto"/>
              </w:rPr>
            </w:pPr>
            <w:r>
              <w:rPr>
                <w:rFonts w:ascii="Arial" w:cs="Arial" w:eastAsia="Arial" w:hAnsi="Arial"/>
                <w:sz w:val="12"/>
                <w:szCs w:val="12"/>
                <w:color w:val="auto"/>
              </w:rPr>
              <w:t>14.00%</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L+1,300</w:t>
            </w:r>
          </w:p>
        </w:tc>
        <w:tc>
          <w:tcPr>
            <w:tcW w:w="720" w:type="dxa"/>
            <w:vAlign w:val="bottom"/>
          </w:tcPr>
          <w:p>
            <w:pPr>
              <w:jc w:val="right"/>
              <w:spacing w:after="0"/>
              <w:rPr>
                <w:sz w:val="20"/>
                <w:szCs w:val="20"/>
                <w:color w:val="auto"/>
              </w:rPr>
            </w:pPr>
            <w:r>
              <w:rPr>
                <w:rFonts w:ascii="Arial" w:cs="Arial" w:eastAsia="Arial" w:hAnsi="Arial"/>
                <w:sz w:val="12"/>
                <w:szCs w:val="12"/>
                <w:color w:val="auto"/>
              </w:rPr>
              <w:t>26,516,321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24,845,647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26,516,321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2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340" w:type="dxa"/>
            <w:vAlign w:val="bottom"/>
            <w:tcBorders>
              <w:bottom w:val="single" w:sz="8" w:color="CCECFF"/>
            </w:tcBorders>
          </w:tcPr>
          <w:p>
            <w:pPr>
              <w:ind w:left="560"/>
              <w:spacing w:after="0"/>
              <w:rPr>
                <w:sz w:val="20"/>
                <w:szCs w:val="20"/>
                <w:color w:val="auto"/>
              </w:rPr>
            </w:pPr>
            <w:r>
              <w:rPr>
                <w:rFonts w:ascii="Arial" w:cs="Arial" w:eastAsia="Arial" w:hAnsi="Arial"/>
                <w:sz w:val="12"/>
                <w:szCs w:val="12"/>
                <w:color w:val="auto"/>
              </w:rPr>
              <w:t>(PIK 14.00%)</w:t>
            </w:r>
          </w:p>
        </w:tc>
        <w:tc>
          <w:tcPr>
            <w:tcW w:w="90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108,499,336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94,835,720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Debt—1.2%</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07/01/2019</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340" w:type="dxa"/>
            <w:vAlign w:val="bottom"/>
            <w:shd w:val="clear" w:color="auto" w:fill="CCECFF"/>
          </w:tcPr>
          <w:p>
            <w:pPr>
              <w:jc w:val="right"/>
              <w:ind w:right="82"/>
              <w:spacing w:after="0"/>
              <w:rPr>
                <w:sz w:val="20"/>
                <w:szCs w:val="20"/>
                <w:color w:val="auto"/>
              </w:rPr>
            </w:pPr>
            <w:r>
              <w:rPr>
                <w:rFonts w:ascii="Arial" w:cs="Arial" w:eastAsia="Arial" w:hAnsi="Arial"/>
                <w:sz w:val="12"/>
                <w:szCs w:val="12"/>
                <w:color w:val="auto"/>
              </w:rPr>
              <w:t>16.00%</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L+1,500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8,675,815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8,675,815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7,346,315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ind w:left="560"/>
              <w:spacing w:after="0"/>
              <w:rPr>
                <w:sz w:val="20"/>
                <w:szCs w:val="20"/>
                <w:color w:val="auto"/>
              </w:rPr>
            </w:pPr>
            <w:r>
              <w:rPr>
                <w:rFonts w:ascii="Arial" w:cs="Arial" w:eastAsia="Arial" w:hAnsi="Arial"/>
                <w:sz w:val="12"/>
                <w:szCs w:val="12"/>
                <w:color w:val="auto"/>
              </w:rPr>
              <w:t>(PIK 16.00%)</w:t>
            </w: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Equity—3.1%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34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20,151,529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340" w:type="dxa"/>
            <w:vAlign w:val="bottom"/>
          </w:tcPr>
          <w:p>
            <w:pPr>
              <w:jc w:val="right"/>
              <w:ind w:right="82"/>
              <w:spacing w:after="0"/>
              <w:rPr>
                <w:sz w:val="20"/>
                <w:szCs w:val="20"/>
                <w:color w:val="auto"/>
              </w:rPr>
            </w:pPr>
            <w:r>
              <w:rPr>
                <w:rFonts w:ascii="Arial" w:cs="Arial" w:eastAsia="Arial" w:hAnsi="Arial"/>
                <w:sz w:val="12"/>
                <w:szCs w:val="12"/>
                <w:color w:val="auto"/>
              </w:rPr>
              <w:t>15.00%</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103,916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1980" w:type="dxa"/>
            <w:vAlign w:val="bottom"/>
            <w:tcBorders>
              <w:top w:val="single" w:sz="8" w:color="CCECFF"/>
            </w:tcBorders>
            <w:shd w:val="clear" w:color="auto" w:fill="CCECFF"/>
          </w:tcPr>
          <w:p>
            <w:pPr>
              <w:spacing w:after="0"/>
              <w:rPr>
                <w:sz w:val="12"/>
                <w:szCs w:val="12"/>
                <w:color w:val="auto"/>
              </w:rPr>
            </w:pPr>
          </w:p>
        </w:tc>
        <w:tc>
          <w:tcPr>
            <w:tcW w:w="134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21,318,325</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20,151,529</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Equity—0.4%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34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2,686,073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3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23,141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20,824,388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340" w:type="dxa"/>
            <w:vAlign w:val="bottom"/>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ind w:right="14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34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47,797,219</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2,686,073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186,290,695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125,019,637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Investments—179.3%</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34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1,253,957,146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1,153,679,675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Equivalents—11.8%</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rPr>
                <w:sz w:val="20"/>
                <w:szCs w:val="20"/>
                <w:color w:val="auto"/>
              </w:rPr>
            </w:pPr>
            <w:r>
              <w:rPr>
                <w:rFonts w:ascii="Arial" w:cs="Arial" w:eastAsia="Arial" w:hAnsi="Arial"/>
                <w:sz w:val="12"/>
                <w:szCs w:val="12"/>
                <w:color w:val="auto"/>
                <w:w w:val="91"/>
              </w:rPr>
              <w:t>BlackRock Liquidity Funds, Temp Cash, Institutional Shares</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64,897,736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64,897,736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10,719,397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10,710,377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34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75,617,133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75,608,113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Equivalents—191.1%</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1,329,574,279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1,229,287,788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Assets—(91.1%)</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34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(585,920,932)</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643,366,856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82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34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6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consolidated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80" w:right="20" w:hanging="372"/>
        <w:spacing w:after="0" w:line="278"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2016, qualifying assets represent 88% of the Company’s total assets and non-qualifying assets represent 12%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20" w:firstLine="456"/>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6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2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680" w:firstLine="452"/>
        <w:spacing w:after="0" w:line="290"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40" w:firstLine="45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firstLine="45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2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right="20" w:firstLine="452"/>
        <w:spacing w:after="0" w:line="244"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level of federal income taxes. Although we generally do not incur federal income taxes as a RIC for federal income tax purposes, we may elect to retain a portion of our calendar year income, which may result in the imposition of an excise tax. Additionally, certain of the Company’s consolidated subsidiaries are subject to U.S. federal and state income taxes. For the three and six months ended March 31, 2017, we recorded a provision for taxes of $0.4 million ($0.1 million of excise tax and $0.3 million of U.S. federal and state income taxes related to Taxable Subsidiaries) and $0.9 million ($0.3 million of excise tax and $0.6 million of U.S. federal and state income taxes related to Taxable Subsidiaries), respectively. For the three and six months ended March 31, 2016, we recorded a provision for taxes of $0.4 million ($0.1 million of excise tax and $0.3 million of U.S. federal and state income taxes related to Taxable Subsidiaries) and $1.7 million ($0.3 million of excise tax and $1.4 million of U.S. federal and state income taxes related to Taxable Subsidiaries), respectively.</w:t>
      </w:r>
    </w:p>
    <w:p>
      <w:pPr>
        <w:spacing w:after="0" w:line="117" w:lineRule="exact"/>
        <w:rPr>
          <w:sz w:val="20"/>
          <w:szCs w:val="20"/>
          <w:color w:val="auto"/>
        </w:rPr>
      </w:pPr>
    </w:p>
    <w:p>
      <w:pPr>
        <w:ind w:right="140" w:firstLine="452"/>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340" w:firstLine="45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34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4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ind w:right="8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440" w:firstLine="45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40" w:lineRule="exact"/>
        <w:rPr>
          <w:sz w:val="20"/>
          <w:szCs w:val="20"/>
          <w:color w:val="auto"/>
        </w:rPr>
      </w:pPr>
    </w:p>
    <w:p>
      <w:pPr>
        <w:ind w:right="20" w:firstLine="45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Fees.</w:t>
      </w:r>
    </w:p>
    <w:p>
      <w:pPr>
        <w:spacing w:after="0" w:line="116" w:lineRule="exact"/>
        <w:rPr>
          <w:sz w:val="20"/>
          <w:szCs w:val="20"/>
          <w:color w:val="auto"/>
        </w:rPr>
      </w:pPr>
    </w:p>
    <w:p>
      <w:pPr>
        <w:ind w:firstLine="45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irrevocably waive 16% of base management fees, correlated to our 16% energy exposure (oil &amp; gas and energy &amp; utilities industries) at cost as of December 31, 2015. For the three and six months ended March 31, 2017, the Investment Adviser earned base management fees of $5.3 million (after a waiver of $1.0 million) and $10.6 million (after a waiver of $2.0 million), respectively, from us. For the three and six months ended March 31, 2016, the Investment Adviser earned base management fees of $5.1 million (after a waiver of $1.0 million) and $10.6 million (after a waiver of $2.0 million), respectively, from us.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60" w:firstLine="432"/>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w:t>
      </w:r>
    </w:p>
    <w:p>
      <w:pPr>
        <w:spacing w:after="0" w:line="3" w:lineRule="exact"/>
        <w:rPr>
          <w:sz w:val="20"/>
          <w:szCs w:val="20"/>
          <w:color w:val="auto"/>
        </w:rPr>
      </w:pPr>
    </w:p>
    <w:p>
      <w:pPr>
        <w:ind w:right="140" w:firstLine="8"/>
        <w:spacing w:after="0" w:line="243" w:lineRule="auto"/>
        <w:tabs>
          <w:tab w:leader="none" w:pos="193"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Since December 31, 2015 and through December 31, 2017, the Investment Adviser has voluntarily agreed, in consultation with the board of directors, to irrevocably waive 16% of incentive fees, correlated to our 16% energy cost exposure (oil &amp; gas and energy &amp; utilities industries) at cost as of December 31, 2015. For the three and six months ended March 31, 2017, the Investment Adviser earned an incentive fee on net investment income as calculated under the Investment Management Agreement of $3.1 million (after a waiver of $0.6 million) and $5.9 million (after a waiver of $1.1 million), respectively, from us. For the three and six months ended March 31, 2016, the Investment Adviser earned an incentive fee on net investment income as calculated under the Investment Management Agreement of $4.0 million (after a waiver of $0.7 million) and $7.2 million (after a waiver of $1.4 million), respectively, from us.</w:t>
      </w:r>
    </w:p>
    <w:p>
      <w:pPr>
        <w:spacing w:after="0" w:line="11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2017 and 2016, the Investment Adviser did not earn an incentive fee on capital gains as calculated under the Investment Management Agreement (as described above).</w:t>
      </w:r>
    </w:p>
    <w:p>
      <w:pPr>
        <w:spacing w:after="0" w:line="107" w:lineRule="exact"/>
        <w:rPr>
          <w:sz w:val="20"/>
          <w:szCs w:val="20"/>
          <w:color w:val="auto"/>
        </w:rPr>
      </w:pPr>
    </w:p>
    <w:p>
      <w:pPr>
        <w:ind w:right="40" w:firstLine="432"/>
        <w:spacing w:after="0" w:line="27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each of the three and six months ended March 31, 2017 and 2016, the Investment Adviser did not accrue an incentive fee on capital gains as calculated under GAAP.</w:t>
      </w:r>
    </w:p>
    <w:p>
      <w:pPr>
        <w:spacing w:after="0" w:line="97" w:lineRule="exact"/>
        <w:rPr>
          <w:sz w:val="20"/>
          <w:szCs w:val="20"/>
          <w:color w:val="auto"/>
        </w:rPr>
      </w:pPr>
    </w:p>
    <w:p>
      <w:pPr>
        <w:ind w:right="20" w:firstLine="434"/>
        <w:spacing w:after="0" w:line="267"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our directors who are not interested persons of us, in February 2017.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and six months ended March 31, 2017, the Investment Adviser was reimbursed $1.2 million and $1.7 million, respectively, from us, including expenses the Investment Adviser incurred on behalf of the Administrator, for the services described above. For the three and six months ended March 31, 2016, the Investment Adviser was reimbursed $1.6 million and $2.4 million, respectively, from us, including expenses the Investment Adviser incurred on behalf of the Administrator, for the services described above.</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0" w:firstLine="434"/>
        <w:spacing w:after="0" w:line="277" w:lineRule="auto"/>
        <w:rPr>
          <w:sz w:val="20"/>
          <w:szCs w:val="20"/>
          <w:color w:val="auto"/>
        </w:rPr>
      </w:pPr>
      <w:r>
        <w:rPr>
          <w:rFonts w:ascii="Arial" w:cs="Arial" w:eastAsia="Arial" w:hAnsi="Arial"/>
          <w:sz w:val="12"/>
          <w:szCs w:val="12"/>
          <w:color w:val="auto"/>
        </w:rPr>
        <w:t>Purchases of investments, including PIK interest, for the three and six months ended March 31, 2017 totaled $68.8 million and $301.0 million, respectively. For the same periods in the prior year, purchases of investments, including PIK interest, totaled $88.1 million and $223.0 million, respectively. Sales and repayments of investments for the three and six months ended March 31, 2017 totaled $202.0 million and $266.2 million, respectively. For the same periods in the prior year, sales and repayments of investments totaled $92.9 million and $201.0 million, respectively. For the three and six months ended March 31, 2017, the Company purchased zero and $5.0 million, respectively, and sold $45.6 million and $45.6 million in total investments, respectively, to affiliated funds managed by our Investment Adviser in accordance with, and pursuant to procedures adopted under, Rule 17a-7 of the 1940 Act. Realized gains on those sales amounted to $1.1 million.</w:t>
      </w:r>
    </w:p>
    <w:p>
      <w:pPr>
        <w:spacing w:after="0" w:line="95"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4120" w:type="dxa"/>
            <w:vAlign w:val="bottom"/>
            <w:gridSpan w:val="3"/>
          </w:tcPr>
          <w:p>
            <w:pPr>
              <w:spacing w:after="0"/>
              <w:rPr>
                <w:sz w:val="20"/>
                <w:szCs w:val="20"/>
                <w:color w:val="auto"/>
              </w:rPr>
            </w:pPr>
            <w:r>
              <w:rPr>
                <w:rFonts w:ascii="Arial" w:cs="Arial" w:eastAsia="Arial" w:hAnsi="Arial"/>
                <w:sz w:val="14"/>
                <w:szCs w:val="14"/>
                <w:color w:val="auto"/>
                <w:w w:val="94"/>
              </w:rPr>
              <w:t>Investments and cash and cash equivalents consisted of the following:</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68"/>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74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516,590,976</w:t>
            </w:r>
          </w:p>
        </w:tc>
        <w:tc>
          <w:tcPr>
            <w:tcW w:w="400" w:type="dxa"/>
            <w:vAlign w:val="bottom"/>
            <w:tcBorders>
              <w:top w:val="single" w:sz="8" w:color="CCECFF"/>
            </w:tcBorders>
            <w:gridSpan w:val="2"/>
            <w:shd w:val="clear" w:color="auto" w:fill="CCEC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CECFF"/>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499,900,160</w:t>
            </w:r>
          </w:p>
        </w:tc>
        <w:tc>
          <w:tcPr>
            <w:tcW w:w="3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418,873,576</w:t>
            </w:r>
          </w:p>
        </w:tc>
        <w:tc>
          <w:tcPr>
            <w:tcW w:w="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397,102,721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9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386,395,495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387,466,030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451,756,995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425,412,443</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159,888,934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167,544,488</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189,453,101</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177,631,517</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186,372,120</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139,568,969</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193,873,474</w:t>
            </w:r>
          </w:p>
        </w:tc>
        <w:tc>
          <w:tcPr>
            <w:tcW w:w="1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153,532,994</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920" w:type="dxa"/>
            <w:vAlign w:val="bottom"/>
            <w:gridSpan w:val="2"/>
            <w:shd w:val="clear" w:color="auto" w:fill="CCECFF"/>
          </w:tcPr>
          <w:p>
            <w:pPr>
              <w:spacing w:after="0" w:line="142" w:lineRule="exact"/>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1,249,247,525</w:t>
            </w:r>
          </w:p>
        </w:tc>
        <w:tc>
          <w:tcPr>
            <w:tcW w:w="220" w:type="dxa"/>
            <w:vAlign w:val="bottom"/>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1,194,479,647</w:t>
            </w:r>
          </w:p>
        </w:tc>
        <w:tc>
          <w:tcPr>
            <w:tcW w:w="32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106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1,253,957,146</w:t>
            </w:r>
          </w:p>
        </w:tc>
        <w:tc>
          <w:tcPr>
            <w:tcW w:w="160" w:type="dxa"/>
            <w:vAlign w:val="bottom"/>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1,153,679,675</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920" w:type="dxa"/>
            <w:vAlign w:val="bottom"/>
            <w:tcBorders>
              <w:bottom w:val="single" w:sz="8" w:color="CCECFF"/>
            </w:tcBorders>
            <w:gridSpan w:val="2"/>
          </w:tcPr>
          <w:p>
            <w:pPr>
              <w:spacing w:after="0" w:line="142"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66,560,479</w:t>
            </w:r>
          </w:p>
        </w:tc>
        <w:tc>
          <w:tcPr>
            <w:tcW w:w="220" w:type="dxa"/>
            <w:vAlign w:val="bottom"/>
            <w:tcBorders>
              <w:bottom w:val="single" w:sz="8" w:color="CCEC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66,565,207</w:t>
            </w:r>
          </w:p>
        </w:tc>
        <w:tc>
          <w:tcPr>
            <w:tcW w:w="3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75,617,133</w:t>
            </w:r>
          </w:p>
        </w:tc>
        <w:tc>
          <w:tcPr>
            <w:tcW w:w="1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75,608,113</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920" w:type="dxa"/>
            <w:vAlign w:val="bottom"/>
            <w:tcBorders>
              <w:bottom w:val="single" w:sz="8" w:color="CCECFF"/>
            </w:tcBorders>
            <w:gridSpan w:val="2"/>
            <w:shd w:val="clear" w:color="auto" w:fill="CCECFF"/>
          </w:tcPr>
          <w:p>
            <w:pPr>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14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1,315,808,004</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1,261,044,854</w:t>
            </w:r>
          </w:p>
        </w:tc>
        <w:tc>
          <w:tcPr>
            <w:tcW w:w="3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1,329,574,279</w:t>
            </w:r>
          </w:p>
        </w:tc>
        <w:tc>
          <w:tcPr>
            <w:tcW w:w="1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1,229,287,788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74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180" w:type="dxa"/>
            <w:vAlign w:val="bottom"/>
            <w:tcBorders>
              <w:bottom w:val="single" w:sz="8" w:color="CCECFF"/>
            </w:tcBorders>
          </w:tcPr>
          <w:p>
            <w:pPr>
              <w:spacing w:after="0"/>
              <w:rPr>
                <w:sz w:val="14"/>
                <w:szCs w:val="14"/>
                <w:color w:val="auto"/>
              </w:rPr>
            </w:pPr>
          </w:p>
        </w:tc>
        <w:tc>
          <w:tcPr>
            <w:tcW w:w="19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Borders>
              <w:bottom w:val="single" w:sz="8" w:color="CCECFF"/>
            </w:tcBorders>
          </w:tcPr>
          <w:p>
            <w:pPr>
              <w:spacing w:after="0"/>
              <w:rPr>
                <w:sz w:val="14"/>
                <w:szCs w:val="14"/>
                <w:color w:val="auto"/>
              </w:rPr>
            </w:pPr>
          </w:p>
        </w:tc>
        <w:tc>
          <w:tcPr>
            <w:tcW w:w="1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Borders>
              <w:bottom w:val="single" w:sz="8" w:color="CCECFF"/>
            </w:tcBorders>
          </w:tcPr>
          <w:p>
            <w:pPr>
              <w:spacing w:after="0"/>
              <w:rPr>
                <w:sz w:val="14"/>
                <w:szCs w:val="14"/>
                <w:color w:val="auto"/>
              </w:rPr>
            </w:pPr>
          </w:p>
        </w:tc>
      </w:tr>
      <w:tr>
        <w:trPr>
          <w:trHeight w:val="142"/>
        </w:trPr>
        <w:tc>
          <w:tcPr>
            <w:tcW w:w="538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180" w:type="dxa"/>
            <w:vAlign w:val="bottom"/>
            <w:shd w:val="clear" w:color="auto" w:fill="CCECFF"/>
          </w:tcPr>
          <w:p>
            <w:pPr>
              <w:spacing w:after="0"/>
              <w:rPr>
                <w:sz w:val="12"/>
                <w:szCs w:val="12"/>
                <w:color w:val="auto"/>
              </w:rPr>
            </w:pPr>
          </w:p>
        </w:tc>
        <w:tc>
          <w:tcPr>
            <w:tcW w:w="2260" w:type="dxa"/>
            <w:vAlign w:val="bottom"/>
            <w:gridSpan w:val="2"/>
            <w:shd w:val="clear" w:color="auto" w:fill="CCECFF"/>
          </w:tcPr>
          <w:p>
            <w:pPr>
              <w:jc w:val="right"/>
              <w:ind w:right="220"/>
              <w:spacing w:after="0" w:line="142" w:lineRule="exact"/>
              <w:rPr>
                <w:sz w:val="20"/>
                <w:szCs w:val="20"/>
                <w:color w:val="auto"/>
              </w:rPr>
            </w:pPr>
            <w:r>
              <w:rPr>
                <w:rFonts w:ascii="Arial" w:cs="Arial" w:eastAsia="Arial" w:hAnsi="Arial"/>
                <w:sz w:val="14"/>
                <w:szCs w:val="14"/>
                <w:color w:val="auto"/>
              </w:rPr>
              <w:t>9%</w:t>
            </w:r>
          </w:p>
        </w:tc>
        <w:tc>
          <w:tcPr>
            <w:tcW w:w="2160" w:type="dxa"/>
            <w:vAlign w:val="bottom"/>
            <w:gridSpan w:val="2"/>
            <w:shd w:val="clear" w:color="auto" w:fill="CCECFF"/>
          </w:tcPr>
          <w:p>
            <w:pPr>
              <w:jc w:val="right"/>
              <w:ind w:right="140"/>
              <w:spacing w:after="0" w:line="142" w:lineRule="exact"/>
              <w:rPr>
                <w:sz w:val="20"/>
                <w:szCs w:val="20"/>
                <w:color w:val="auto"/>
              </w:rPr>
            </w:pPr>
            <w:r>
              <w:rPr>
                <w:rFonts w:ascii="Arial" w:cs="Arial" w:eastAsia="Arial" w:hAnsi="Arial"/>
                <w:sz w:val="14"/>
                <w:szCs w:val="14"/>
                <w:color w:val="auto"/>
              </w:rPr>
              <w:t>13%</w:t>
            </w: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92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192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Products</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19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Distribution</w:t>
            </w:r>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1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Media</w:t>
            </w:r>
          </w:p>
        </w:tc>
        <w:tc>
          <w:tcPr>
            <w:tcW w:w="1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 Media</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Retail</w:t>
            </w:r>
          </w:p>
        </w:tc>
        <w:tc>
          <w:tcPr>
            <w:tcW w:w="1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Building Materials</w:t>
            </w:r>
          </w:p>
        </w:tc>
        <w:tc>
          <w:tcPr>
            <w:tcW w:w="192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CFF"/>
          </w:tcPr>
          <w:p>
            <w:pPr>
              <w:spacing w:after="0"/>
              <w:rPr>
                <w:sz w:val="14"/>
                <w:szCs w:val="14"/>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Auto Sector</w:t>
            </w:r>
          </w:p>
        </w:tc>
        <w:tc>
          <w:tcPr>
            <w:tcW w:w="22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w:t>
            </w: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CFF"/>
          </w:tcPr>
          <w:p>
            <w:pPr>
              <w:spacing w:after="0"/>
              <w:rPr>
                <w:sz w:val="14"/>
                <w:szCs w:val="14"/>
                <w:color w:val="auto"/>
              </w:rPr>
            </w:pPr>
          </w:p>
        </w:tc>
      </w:tr>
      <w:tr>
        <w:trPr>
          <w:trHeight w:val="142"/>
        </w:trPr>
        <w:tc>
          <w:tcPr>
            <w:tcW w:w="556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22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100%</w:t>
            </w:r>
          </w:p>
        </w:tc>
        <w:tc>
          <w:tcPr>
            <w:tcW w:w="21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100%</w:t>
            </w:r>
          </w:p>
        </w:tc>
      </w:tr>
      <w:tr>
        <w:trPr>
          <w:trHeight w:val="20"/>
        </w:trPr>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54"/>
        <w:spacing w:after="0" w:line="277" w:lineRule="auto"/>
        <w:rPr>
          <w:sz w:val="20"/>
          <w:szCs w:val="20"/>
          <w:color w:val="auto"/>
        </w:rPr>
      </w:pPr>
      <w:r>
        <w:rPr>
          <w:rFonts w:ascii="Arial" w:cs="Arial" w:eastAsia="Arial" w:hAnsi="Arial"/>
          <w:sz w:val="12"/>
          <w:szCs w:val="12"/>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4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26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60" w:firstLine="425"/>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2017 and 2016, our ability to observe valuation inputs resulted no reclassifications and one reclassification of an asset from Level 2 to 1, respectively.</w:t>
      </w:r>
    </w:p>
    <w:p>
      <w:pPr>
        <w:spacing w:after="0" w:line="117" w:lineRule="exact"/>
        <w:rPr>
          <w:sz w:val="20"/>
          <w:szCs w:val="20"/>
          <w:color w:val="auto"/>
        </w:rPr>
      </w:pPr>
    </w:p>
    <w:p>
      <w:pPr>
        <w:ind w:right="40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40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jc w:val="both"/>
        <w:ind w:right="80"/>
        <w:spacing w:after="0" w:line="226" w:lineRule="auto"/>
        <w:rPr>
          <w:sz w:val="20"/>
          <w:szCs w:val="20"/>
          <w:color w:val="auto"/>
        </w:rPr>
      </w:pPr>
      <w:r>
        <w:rPr>
          <w:rFonts w:ascii="Arial" w:cs="Arial" w:eastAsia="Arial" w:hAnsi="Arial"/>
          <w:sz w:val="14"/>
          <w:szCs w:val="14"/>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1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Unobservable Input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51,824,153</w:t>
            </w:r>
          </w:p>
        </w:tc>
        <w:tc>
          <w:tcPr>
            <w:tcW w:w="2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1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Second lien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97,706,553</w:t>
            </w:r>
          </w:p>
        </w:tc>
        <w:tc>
          <w:tcPr>
            <w:tcW w:w="2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90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Broker/Dealer bids or quotes</w:t>
            </w:r>
          </w:p>
        </w:tc>
        <w:tc>
          <w:tcPr>
            <w:tcW w:w="16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12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9,753,530</w:t>
            </w:r>
          </w:p>
        </w:tc>
        <w:tc>
          <w:tcPr>
            <w:tcW w:w="20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90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3"/>
              </w:rPr>
              <w:t>Broker/Dealer bids or quotes</w:t>
            </w:r>
          </w:p>
        </w:tc>
        <w:tc>
          <w:tcPr>
            <w:tcW w:w="16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First lien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448,076,007</w:t>
            </w:r>
          </w:p>
        </w:tc>
        <w:tc>
          <w:tcPr>
            <w:tcW w:w="2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Market Yield</w:t>
            </w:r>
          </w:p>
        </w:tc>
        <w:tc>
          <w:tcPr>
            <w:tcW w:w="1640" w:type="dxa"/>
            <w:vAlign w:val="bottom"/>
          </w:tcPr>
          <w:p>
            <w:pPr>
              <w:jc w:val="center"/>
              <w:spacing w:after="0"/>
              <w:rPr>
                <w:sz w:val="20"/>
                <w:szCs w:val="20"/>
                <w:color w:val="auto"/>
              </w:rPr>
            </w:pPr>
            <w:r>
              <w:rPr>
                <w:rFonts w:ascii="Arial" w:cs="Arial" w:eastAsia="Arial" w:hAnsi="Arial"/>
                <w:sz w:val="14"/>
                <w:szCs w:val="14"/>
                <w:color w:val="auto"/>
                <w:w w:val="91"/>
              </w:rPr>
              <w:t>8.3% – 17.5% (12.9%)</w:t>
            </w:r>
          </w:p>
        </w:tc>
        <w:tc>
          <w:tcPr>
            <w:tcW w:w="0" w:type="dxa"/>
            <w:vAlign w:val="bottom"/>
          </w:tcPr>
          <w:p>
            <w:pPr>
              <w:spacing w:after="0"/>
              <w:rPr>
                <w:sz w:val="1"/>
                <w:szCs w:val="1"/>
                <w:color w:val="auto"/>
              </w:rPr>
            </w:pPr>
          </w:p>
        </w:tc>
      </w:tr>
      <w:tr>
        <w:trPr>
          <w:trHeight w:val="162"/>
        </w:trPr>
        <w:tc>
          <w:tcPr>
            <w:tcW w:w="31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289,759,477</w:t>
            </w:r>
          </w:p>
        </w:tc>
        <w:tc>
          <w:tcPr>
            <w:tcW w:w="20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900" w:type="dxa"/>
            <w:vAlign w:val="bottom"/>
            <w:gridSpan w:val="2"/>
            <w:shd w:val="clear" w:color="auto" w:fill="CCECFF"/>
          </w:tcPr>
          <w:p>
            <w:pPr>
              <w:jc w:val="center"/>
              <w:ind w:right="100"/>
              <w:spacing w:after="0"/>
              <w:rPr>
                <w:sz w:val="20"/>
                <w:szCs w:val="20"/>
                <w:color w:val="auto"/>
              </w:rPr>
            </w:pPr>
            <w:r>
              <w:rPr>
                <w:rFonts w:ascii="Arial" w:cs="Arial" w:eastAsia="Arial" w:hAnsi="Arial"/>
                <w:sz w:val="14"/>
                <w:szCs w:val="14"/>
                <w:color w:val="auto"/>
                <w:w w:val="97"/>
              </w:rPr>
              <w:t>Market Yield</w:t>
            </w:r>
          </w:p>
        </w:tc>
        <w:tc>
          <w:tcPr>
            <w:tcW w:w="16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0"/>
              </w:rPr>
              <w:t>10.5% – 18.0% (13.4%)</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157,790,958</w:t>
            </w:r>
          </w:p>
        </w:tc>
        <w:tc>
          <w:tcPr>
            <w:tcW w:w="2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Market Yield</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11.7% – 19.9% (14.0%)</w:t>
            </w:r>
          </w:p>
        </w:tc>
        <w:tc>
          <w:tcPr>
            <w:tcW w:w="0" w:type="dxa"/>
            <w:vAlign w:val="bottom"/>
          </w:tcPr>
          <w:p>
            <w:pPr>
              <w:spacing w:after="0"/>
              <w:rPr>
                <w:sz w:val="1"/>
                <w:szCs w:val="1"/>
                <w:color w:val="auto"/>
              </w:rPr>
            </w:pPr>
          </w:p>
        </w:tc>
      </w:tr>
      <w:tr>
        <w:trPr>
          <w:trHeight w:val="162"/>
        </w:trPr>
        <w:tc>
          <w:tcPr>
            <w:tcW w:w="31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125,277,920</w:t>
            </w:r>
          </w:p>
        </w:tc>
        <w:tc>
          <w:tcPr>
            <w:tcW w:w="20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center"/>
              <w:ind w:right="200"/>
              <w:spacing w:after="0"/>
              <w:rPr>
                <w:sz w:val="20"/>
                <w:szCs w:val="20"/>
                <w:color w:val="auto"/>
              </w:rPr>
            </w:pPr>
            <w:r>
              <w:rPr>
                <w:rFonts w:ascii="Arial" w:cs="Arial" w:eastAsia="Arial" w:hAnsi="Arial"/>
                <w:sz w:val="14"/>
                <w:szCs w:val="14"/>
                <w:color w:val="auto"/>
                <w:w w:val="94"/>
              </w:rPr>
              <w:t>Enterprise Market Value</w:t>
            </w:r>
          </w:p>
        </w:tc>
        <w:tc>
          <w:tcPr>
            <w:tcW w:w="1900" w:type="dxa"/>
            <w:vAlign w:val="bottom"/>
            <w:gridSpan w:val="2"/>
            <w:shd w:val="clear" w:color="auto" w:fill="CCECFF"/>
          </w:tcPr>
          <w:p>
            <w:pPr>
              <w:jc w:val="center"/>
              <w:ind w:right="100"/>
              <w:spacing w:after="0"/>
              <w:rPr>
                <w:sz w:val="20"/>
                <w:szCs w:val="20"/>
                <w:color w:val="auto"/>
              </w:rPr>
            </w:pPr>
            <w:r>
              <w:rPr>
                <w:rFonts w:ascii="Arial" w:cs="Arial" w:eastAsia="Arial" w:hAnsi="Arial"/>
                <w:sz w:val="14"/>
                <w:szCs w:val="14"/>
                <w:color w:val="auto"/>
              </w:rPr>
              <w:t>EBITDA multiple</w:t>
            </w:r>
          </w:p>
        </w:tc>
        <w:tc>
          <w:tcPr>
            <w:tcW w:w="16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1"/>
              </w:rPr>
              <w:t>5.2x – 15.5x (8.7x)</w:t>
            </w:r>
          </w:p>
        </w:tc>
        <w:tc>
          <w:tcPr>
            <w:tcW w:w="0" w:type="dxa"/>
            <w:vAlign w:val="bottom"/>
          </w:tcPr>
          <w:p>
            <w:pPr>
              <w:spacing w:after="0"/>
              <w:rPr>
                <w:sz w:val="1"/>
                <w:szCs w:val="1"/>
                <w:color w:val="auto"/>
              </w:rPr>
            </w:pPr>
          </w:p>
        </w:tc>
      </w:tr>
      <w:tr>
        <w:trPr>
          <w:trHeight w:val="182"/>
        </w:trPr>
        <w:tc>
          <w:tcPr>
            <w:tcW w:w="3120" w:type="dxa"/>
            <w:vAlign w:val="bottom"/>
            <w:tcBorders>
              <w:bottom w:val="single" w:sz="8" w:color="CCECFF"/>
            </w:tcBorders>
          </w:tcPr>
          <w:p>
            <w:pPr>
              <w:ind w:left="400"/>
              <w:spacing w:after="0" w:line="142" w:lineRule="exact"/>
              <w:rPr>
                <w:sz w:val="20"/>
                <w:szCs w:val="20"/>
                <w:color w:val="auto"/>
              </w:rPr>
            </w:pPr>
            <w:r>
              <w:rPr>
                <w:rFonts w:ascii="Arial" w:cs="Arial" w:eastAsia="Arial" w:hAnsi="Arial"/>
                <w:sz w:val="14"/>
                <w:szCs w:val="14"/>
                <w:color w:val="auto"/>
              </w:rPr>
              <w:t>Total Level 3 investments</w:t>
            </w:r>
          </w:p>
        </w:tc>
        <w:tc>
          <w:tcPr>
            <w:tcW w:w="80" w:type="dxa"/>
            <w:vAlign w:val="bottom"/>
            <w:tcBorders>
              <w:bottom w:val="single" w:sz="8" w:color="CCECFF"/>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1,180,188,598</w:t>
            </w:r>
          </w:p>
        </w:tc>
        <w:tc>
          <w:tcPr>
            <w:tcW w:w="200" w:type="dxa"/>
            <w:vAlign w:val="bottom"/>
            <w:tcBorders>
              <w:bottom w:val="single" w:sz="8" w:color="CCECFF"/>
            </w:tcBorders>
          </w:tcPr>
          <w:p>
            <w:pPr>
              <w:spacing w:after="0"/>
              <w:rPr>
                <w:sz w:val="15"/>
                <w:szCs w:val="15"/>
                <w:color w:val="auto"/>
              </w:rPr>
            </w:pPr>
          </w:p>
        </w:tc>
        <w:tc>
          <w:tcPr>
            <w:tcW w:w="152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182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6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20" w:type="dxa"/>
            <w:vAlign w:val="bottom"/>
            <w:tcBorders>
              <w:bottom w:val="single" w:sz="8" w:color="CCECFF"/>
            </w:tcBorders>
            <w:shd w:val="clear" w:color="auto" w:fill="CCECFF"/>
          </w:tcPr>
          <w:p>
            <w:pPr>
              <w:spacing w:after="0" w:line="129" w:lineRule="exact"/>
              <w:rPr>
                <w:sz w:val="20"/>
                <w:szCs w:val="20"/>
                <w:color w:val="auto"/>
              </w:rPr>
            </w:pPr>
            <w:r>
              <w:rPr>
                <w:rFonts w:ascii="Arial" w:cs="Arial" w:eastAsia="Arial" w:hAnsi="Arial"/>
                <w:sz w:val="14"/>
                <w:szCs w:val="14"/>
                <w:color w:val="auto"/>
              </w:rPr>
              <w:t>Long-Term Credit Facility</w:t>
            </w:r>
          </w:p>
        </w:tc>
        <w:tc>
          <w:tcPr>
            <w:tcW w:w="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88,491,651</w:t>
            </w:r>
          </w:p>
        </w:tc>
        <w:tc>
          <w:tcPr>
            <w:tcW w:w="200" w:type="dxa"/>
            <w:vAlign w:val="bottom"/>
            <w:tcBorders>
              <w:bottom w:val="single" w:sz="8" w:color="CCECFF"/>
            </w:tcBorders>
            <w:shd w:val="clear" w:color="auto" w:fill="CCECFF"/>
          </w:tcPr>
          <w:p>
            <w:pPr>
              <w:spacing w:after="0"/>
              <w:rPr>
                <w:sz w:val="11"/>
                <w:szCs w:val="11"/>
                <w:color w:val="auto"/>
              </w:rPr>
            </w:pPr>
          </w:p>
        </w:tc>
        <w:tc>
          <w:tcPr>
            <w:tcW w:w="1700" w:type="dxa"/>
            <w:vAlign w:val="bottom"/>
            <w:tcBorders>
              <w:bottom w:val="single" w:sz="8" w:color="CCECFF"/>
            </w:tcBorders>
            <w:gridSpan w:val="2"/>
            <w:shd w:val="clear" w:color="auto" w:fill="CCECFF"/>
          </w:tcPr>
          <w:p>
            <w:pPr>
              <w:jc w:val="center"/>
              <w:ind w:right="200"/>
              <w:spacing w:after="0" w:line="129" w:lineRule="exact"/>
              <w:rPr>
                <w:sz w:val="20"/>
                <w:szCs w:val="20"/>
                <w:color w:val="auto"/>
              </w:rPr>
            </w:pPr>
            <w:r>
              <w:rPr>
                <w:rFonts w:ascii="Arial" w:cs="Arial" w:eastAsia="Arial" w:hAnsi="Arial"/>
                <w:sz w:val="14"/>
                <w:szCs w:val="14"/>
                <w:color w:val="auto"/>
                <w:w w:val="92"/>
              </w:rPr>
              <w:t>Market Comparable</w:t>
            </w:r>
          </w:p>
        </w:tc>
        <w:tc>
          <w:tcPr>
            <w:tcW w:w="1900" w:type="dxa"/>
            <w:vAlign w:val="bottom"/>
            <w:tcBorders>
              <w:bottom w:val="single" w:sz="8" w:color="CCECFF"/>
            </w:tcBorders>
            <w:gridSpan w:val="2"/>
            <w:shd w:val="clear" w:color="auto" w:fill="CCECFF"/>
          </w:tcPr>
          <w:p>
            <w:pPr>
              <w:jc w:val="center"/>
              <w:ind w:right="100"/>
              <w:spacing w:after="0" w:line="129" w:lineRule="exact"/>
              <w:rPr>
                <w:sz w:val="20"/>
                <w:szCs w:val="20"/>
                <w:color w:val="auto"/>
              </w:rPr>
            </w:pPr>
            <w:r>
              <w:rPr>
                <w:rFonts w:ascii="Arial" w:cs="Arial" w:eastAsia="Arial" w:hAnsi="Arial"/>
                <w:sz w:val="14"/>
                <w:szCs w:val="14"/>
                <w:color w:val="auto"/>
                <w:w w:val="97"/>
              </w:rPr>
              <w:t>Market Yield</w:t>
            </w:r>
          </w:p>
        </w:tc>
        <w:tc>
          <w:tcPr>
            <w:tcW w:w="1640" w:type="dxa"/>
            <w:vAlign w:val="bottom"/>
            <w:tcBorders>
              <w:bottom w:val="single" w:sz="8" w:color="CCECFF"/>
            </w:tcBorders>
            <w:shd w:val="clear" w:color="auto" w:fill="CCECFF"/>
          </w:tcPr>
          <w:p>
            <w:pPr>
              <w:jc w:val="center"/>
              <w:spacing w:after="0" w:line="129" w:lineRule="exact"/>
              <w:rPr>
                <w:sz w:val="20"/>
                <w:szCs w:val="20"/>
                <w:color w:val="auto"/>
              </w:rPr>
            </w:pPr>
            <w:r>
              <w:rPr>
                <w:rFonts w:ascii="Arial" w:cs="Arial" w:eastAsia="Arial" w:hAnsi="Arial"/>
                <w:sz w:val="14"/>
                <w:szCs w:val="14"/>
                <w:color w:val="auto"/>
                <w:w w:val="87"/>
              </w:rPr>
              <w:t>4.5%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Valuation Technique</w:t>
            </w: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Unobservable Input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4"/>
              </w:rPr>
              <w:t>September 30, 2016</w:t>
            </w:r>
          </w:p>
        </w:tc>
        <w:tc>
          <w:tcPr>
            <w:tcW w:w="1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12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8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3"/>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35,569,934</w:t>
            </w:r>
          </w:p>
        </w:tc>
        <w:tc>
          <w:tcPr>
            <w:tcW w:w="160" w:type="dxa"/>
            <w:vAlign w:val="bottom"/>
            <w:tcBorders>
              <w:top w:val="single" w:sz="8" w:color="CCECFF"/>
            </w:tcBorders>
            <w:shd w:val="clear" w:color="auto" w:fill="CCECFF"/>
          </w:tcPr>
          <w:p>
            <w:pPr>
              <w:spacing w:after="0"/>
              <w:rPr>
                <w:sz w:val="12"/>
                <w:szCs w:val="12"/>
                <w:color w:val="auto"/>
              </w:rPr>
            </w:pPr>
          </w:p>
        </w:tc>
        <w:tc>
          <w:tcPr>
            <w:tcW w:w="1520" w:type="dxa"/>
            <w:vAlign w:val="bottom"/>
            <w:tcBorders>
              <w:top w:val="single" w:sz="8" w:color="auto"/>
            </w:tcBorders>
            <w:shd w:val="clear" w:color="auto" w:fill="CCEC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40" w:type="dxa"/>
            <w:vAlign w:val="bottom"/>
            <w:tcBorders>
              <w:top w:val="single" w:sz="8" w:color="CCECFF"/>
            </w:tcBorders>
            <w:shd w:val="clear" w:color="auto" w:fill="CCECFF"/>
          </w:tcPr>
          <w:p>
            <w:pPr>
              <w:spacing w:after="0"/>
              <w:rPr>
                <w:sz w:val="12"/>
                <w:szCs w:val="12"/>
                <w:color w:val="auto"/>
              </w:rPr>
            </w:pPr>
          </w:p>
        </w:tc>
        <w:tc>
          <w:tcPr>
            <w:tcW w:w="1800" w:type="dxa"/>
            <w:vAlign w:val="bottom"/>
            <w:tcBorders>
              <w:top w:val="single" w:sz="8" w:color="auto"/>
            </w:tcBorders>
            <w:shd w:val="clear" w:color="auto" w:fill="CCEC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80" w:type="dxa"/>
            <w:vAlign w:val="bottom"/>
            <w:tcBorders>
              <w:top w:val="single" w:sz="8" w:color="CCECFF"/>
            </w:tcBorders>
            <w:shd w:val="clear" w:color="auto" w:fill="CCECFF"/>
          </w:tcPr>
          <w:p>
            <w:pPr>
              <w:spacing w:after="0"/>
              <w:rPr>
                <w:sz w:val="12"/>
                <w:szCs w:val="12"/>
                <w:color w:val="auto"/>
              </w:rPr>
            </w:pPr>
          </w:p>
        </w:tc>
        <w:tc>
          <w:tcPr>
            <w:tcW w:w="1640" w:type="dxa"/>
            <w:vAlign w:val="bottom"/>
            <w:tcBorders>
              <w:top w:val="single" w:sz="8" w:color="auto"/>
            </w:tcBorders>
            <w:shd w:val="clear" w:color="auto" w:fill="CCECFF"/>
          </w:tcPr>
          <w:p>
            <w:pPr>
              <w:jc w:val="center"/>
              <w:spacing w:after="0" w:line="142" w:lineRule="exact"/>
              <w:rPr>
                <w:sz w:val="20"/>
                <w:szCs w:val="20"/>
                <w:color w:val="auto"/>
              </w:rPr>
            </w:pPr>
            <w:r>
              <w:rPr>
                <w:rFonts w:ascii="Arial" w:cs="Arial" w:eastAsia="Arial" w:hAnsi="Arial"/>
                <w:sz w:val="14"/>
                <w:szCs w:val="14"/>
                <w:color w:val="auto"/>
              </w:rPr>
              <w:t>N/A</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Second lien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122,923,804</w:t>
            </w:r>
          </w:p>
        </w:tc>
        <w:tc>
          <w:tcPr>
            <w:tcW w:w="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Broker/Dealer bids or quotes</w:t>
            </w:r>
          </w:p>
        </w:tc>
        <w:tc>
          <w:tcPr>
            <w:tcW w:w="1640" w:type="dxa"/>
            <w:vAlign w:val="bottom"/>
          </w:tcPr>
          <w:p>
            <w:pPr>
              <w:jc w:val="center"/>
              <w:spacing w:after="0"/>
              <w:rPr>
                <w:sz w:val="20"/>
                <w:szCs w:val="20"/>
                <w:color w:val="auto"/>
              </w:rPr>
            </w:pPr>
            <w:r>
              <w:rPr>
                <w:rFonts w:ascii="Arial" w:cs="Arial" w:eastAsia="Arial" w:hAnsi="Arial"/>
                <w:sz w:val="14"/>
                <w:szCs w:val="14"/>
                <w:color w:val="auto"/>
              </w:rPr>
              <w:t>N/A</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12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8,995,448</w:t>
            </w:r>
          </w:p>
        </w:tc>
        <w:tc>
          <w:tcPr>
            <w:tcW w:w="16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center"/>
              <w:ind w:right="240"/>
              <w:spacing w:after="0"/>
              <w:rPr>
                <w:sz w:val="20"/>
                <w:szCs w:val="20"/>
                <w:color w:val="auto"/>
              </w:rPr>
            </w:pPr>
            <w:r>
              <w:rPr>
                <w:rFonts w:ascii="Arial" w:cs="Arial" w:eastAsia="Arial" w:hAnsi="Arial"/>
                <w:sz w:val="14"/>
                <w:szCs w:val="14"/>
                <w:color w:val="auto"/>
                <w:w w:val="94"/>
              </w:rPr>
              <w:t>Market Comparable</w:t>
            </w:r>
          </w:p>
        </w:tc>
        <w:tc>
          <w:tcPr>
            <w:tcW w:w="188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4"/>
              </w:rPr>
              <w:t>Broker/Dealer bids or quotes</w:t>
            </w:r>
          </w:p>
        </w:tc>
        <w:tc>
          <w:tcPr>
            <w:tcW w:w="16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First lien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361,532,787</w:t>
            </w:r>
          </w:p>
        </w:tc>
        <w:tc>
          <w:tcPr>
            <w:tcW w:w="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8.8% – 21.7% (13.1%)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1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302,488,639</w:t>
            </w:r>
          </w:p>
        </w:tc>
        <w:tc>
          <w:tcPr>
            <w:tcW w:w="16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center"/>
              <w:ind w:right="240"/>
              <w:spacing w:after="0"/>
              <w:rPr>
                <w:sz w:val="20"/>
                <w:szCs w:val="20"/>
                <w:color w:val="auto"/>
              </w:rPr>
            </w:pPr>
            <w:r>
              <w:rPr>
                <w:rFonts w:ascii="Arial" w:cs="Arial" w:eastAsia="Arial" w:hAnsi="Arial"/>
                <w:sz w:val="14"/>
                <w:szCs w:val="14"/>
                <w:color w:val="auto"/>
                <w:w w:val="94"/>
              </w:rPr>
              <w:t>Market Comparable</w:t>
            </w:r>
          </w:p>
        </w:tc>
        <w:tc>
          <w:tcPr>
            <w:tcW w:w="188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6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9.5% – 17.3% (13.6%)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168,636,069</w:t>
            </w:r>
          </w:p>
        </w:tc>
        <w:tc>
          <w:tcPr>
            <w:tcW w:w="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11.0% – 15.7% (13.2%)</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1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8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125,633,017</w:t>
            </w:r>
          </w:p>
        </w:tc>
        <w:tc>
          <w:tcPr>
            <w:tcW w:w="16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center"/>
              <w:ind w:right="240"/>
              <w:spacing w:after="0"/>
              <w:rPr>
                <w:sz w:val="20"/>
                <w:szCs w:val="20"/>
                <w:color w:val="auto"/>
              </w:rPr>
            </w:pPr>
            <w:r>
              <w:rPr>
                <w:rFonts w:ascii="Arial" w:cs="Arial" w:eastAsia="Arial" w:hAnsi="Arial"/>
                <w:sz w:val="14"/>
                <w:szCs w:val="14"/>
                <w:color w:val="auto"/>
                <w:w w:val="93"/>
              </w:rPr>
              <w:t>Enterprise Market Value</w:t>
            </w:r>
          </w:p>
        </w:tc>
        <w:tc>
          <w:tcPr>
            <w:tcW w:w="188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rPr>
              <w:t>EBITDA multiple</w:t>
            </w:r>
          </w:p>
        </w:tc>
        <w:tc>
          <w:tcPr>
            <w:tcW w:w="16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5.0x – 15.5x (8.2x)</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3120" w:type="dxa"/>
            <w:vAlign w:val="bottom"/>
            <w:tcBorders>
              <w:bottom w:val="single" w:sz="8" w:color="CCECFF"/>
            </w:tcBorders>
          </w:tcPr>
          <w:p>
            <w:pPr>
              <w:ind w:left="400"/>
              <w:spacing w:after="0" w:line="142" w:lineRule="exact"/>
              <w:rPr>
                <w:sz w:val="20"/>
                <w:szCs w:val="20"/>
                <w:color w:val="auto"/>
              </w:rPr>
            </w:pPr>
            <w:r>
              <w:rPr>
                <w:rFonts w:ascii="Arial" w:cs="Arial" w:eastAsia="Arial" w:hAnsi="Arial"/>
                <w:sz w:val="14"/>
                <w:szCs w:val="14"/>
                <w:color w:val="auto"/>
              </w:rPr>
              <w:t>Total Level 3 investments</w:t>
            </w:r>
          </w:p>
        </w:tc>
        <w:tc>
          <w:tcPr>
            <w:tcW w:w="80" w:type="dxa"/>
            <w:vAlign w:val="bottom"/>
            <w:tcBorders>
              <w:bottom w:val="single" w:sz="8" w:color="CCECFF"/>
            </w:tcBorders>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1,125,779,698</w:t>
            </w:r>
          </w:p>
        </w:tc>
        <w:tc>
          <w:tcPr>
            <w:tcW w:w="160" w:type="dxa"/>
            <w:vAlign w:val="bottom"/>
            <w:tcBorders>
              <w:bottom w:val="single" w:sz="8" w:color="CCECFF"/>
            </w:tcBorders>
          </w:tcPr>
          <w:p>
            <w:pPr>
              <w:spacing w:after="0"/>
              <w:rPr>
                <w:sz w:val="15"/>
                <w:szCs w:val="15"/>
                <w:color w:val="auto"/>
              </w:rPr>
            </w:pPr>
          </w:p>
        </w:tc>
        <w:tc>
          <w:tcPr>
            <w:tcW w:w="152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180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640" w:type="dxa"/>
            <w:vAlign w:val="bottom"/>
            <w:tcBorders>
              <w:bottom w:val="single" w:sz="8" w:color="CCECFF"/>
            </w:tcBorders>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3120" w:type="dxa"/>
            <w:vAlign w:val="bottom"/>
            <w:tcBorders>
              <w:bottom w:val="single" w:sz="8" w:color="CCECFF"/>
            </w:tcBorders>
            <w:shd w:val="clear" w:color="auto" w:fill="CCECFF"/>
          </w:tcPr>
          <w:p>
            <w:pPr>
              <w:spacing w:after="0" w:line="129" w:lineRule="exact"/>
              <w:rPr>
                <w:sz w:val="20"/>
                <w:szCs w:val="20"/>
                <w:color w:val="auto"/>
              </w:rPr>
            </w:pPr>
            <w:r>
              <w:rPr>
                <w:rFonts w:ascii="Arial" w:cs="Arial" w:eastAsia="Arial" w:hAnsi="Arial"/>
                <w:sz w:val="14"/>
                <w:szCs w:val="14"/>
                <w:color w:val="auto"/>
              </w:rPr>
              <w:t>Long-Term Credit Facility</w:t>
            </w:r>
          </w:p>
        </w:tc>
        <w:tc>
          <w:tcPr>
            <w:tcW w:w="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jc w:val="right"/>
              <w:ind w:right="43"/>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39,551,187</w:t>
            </w:r>
          </w:p>
        </w:tc>
        <w:tc>
          <w:tcPr>
            <w:tcW w:w="160" w:type="dxa"/>
            <w:vAlign w:val="bottom"/>
            <w:tcBorders>
              <w:bottom w:val="single" w:sz="8" w:color="CCECFF"/>
            </w:tcBorders>
            <w:shd w:val="clear" w:color="auto" w:fill="CCECFF"/>
          </w:tcPr>
          <w:p>
            <w:pPr>
              <w:spacing w:after="0"/>
              <w:rPr>
                <w:sz w:val="11"/>
                <w:szCs w:val="11"/>
                <w:color w:val="auto"/>
              </w:rPr>
            </w:pPr>
          </w:p>
        </w:tc>
        <w:tc>
          <w:tcPr>
            <w:tcW w:w="1760" w:type="dxa"/>
            <w:vAlign w:val="bottom"/>
            <w:tcBorders>
              <w:bottom w:val="single" w:sz="8" w:color="CCECFF"/>
            </w:tcBorders>
            <w:gridSpan w:val="2"/>
            <w:shd w:val="clear" w:color="auto" w:fill="CCECFF"/>
          </w:tcPr>
          <w:p>
            <w:pPr>
              <w:jc w:val="center"/>
              <w:ind w:right="240"/>
              <w:spacing w:after="0" w:line="129" w:lineRule="exact"/>
              <w:rPr>
                <w:sz w:val="20"/>
                <w:szCs w:val="20"/>
                <w:color w:val="auto"/>
              </w:rPr>
            </w:pPr>
            <w:r>
              <w:rPr>
                <w:rFonts w:ascii="Arial" w:cs="Arial" w:eastAsia="Arial" w:hAnsi="Arial"/>
                <w:sz w:val="14"/>
                <w:szCs w:val="14"/>
                <w:color w:val="auto"/>
                <w:w w:val="94"/>
              </w:rPr>
              <w:t>Market Comparable</w:t>
            </w:r>
          </w:p>
        </w:tc>
        <w:tc>
          <w:tcPr>
            <w:tcW w:w="1880" w:type="dxa"/>
            <w:vAlign w:val="bottom"/>
            <w:tcBorders>
              <w:bottom w:val="single" w:sz="8" w:color="CCECFF"/>
            </w:tcBorders>
            <w:gridSpan w:val="2"/>
            <w:shd w:val="clear" w:color="auto" w:fill="CCECFF"/>
          </w:tcPr>
          <w:p>
            <w:pPr>
              <w:jc w:val="center"/>
              <w:ind w:right="80"/>
              <w:spacing w:after="0" w:line="129" w:lineRule="exact"/>
              <w:rPr>
                <w:sz w:val="20"/>
                <w:szCs w:val="20"/>
                <w:color w:val="auto"/>
              </w:rPr>
            </w:pPr>
            <w:r>
              <w:rPr>
                <w:rFonts w:ascii="Arial" w:cs="Arial" w:eastAsia="Arial" w:hAnsi="Arial"/>
                <w:sz w:val="14"/>
                <w:szCs w:val="14"/>
                <w:color w:val="auto"/>
                <w:w w:val="97"/>
              </w:rPr>
              <w:t>Market Yield</w:t>
            </w:r>
          </w:p>
        </w:tc>
        <w:tc>
          <w:tcPr>
            <w:tcW w:w="1640" w:type="dxa"/>
            <w:vAlign w:val="bottom"/>
            <w:tcBorders>
              <w:bottom w:val="single" w:sz="8" w:color="CCECFF"/>
            </w:tcBorders>
            <w:shd w:val="clear" w:color="auto" w:fill="CCECFF"/>
          </w:tcPr>
          <w:p>
            <w:pPr>
              <w:jc w:val="center"/>
              <w:spacing w:after="0" w:line="129" w:lineRule="exact"/>
              <w:rPr>
                <w:sz w:val="20"/>
                <w:szCs w:val="20"/>
                <w:color w:val="auto"/>
              </w:rPr>
            </w:pPr>
            <w:r>
              <w:rPr>
                <w:rFonts w:ascii="Arial" w:cs="Arial" w:eastAsia="Arial" w:hAnsi="Arial"/>
                <w:sz w:val="14"/>
                <w:szCs w:val="14"/>
                <w:color w:val="auto"/>
                <w:w w:val="93"/>
              </w:rPr>
              <w:t>3.8%</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gridSpan w:val="2"/>
            <w:vMerge w:val="restart"/>
          </w:tcPr>
          <w:p>
            <w:pPr>
              <w:jc w:val="right"/>
              <w:ind w:right="1088"/>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4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w w:val="95"/>
              </w:rPr>
              <w:t>Fair Value at March 31, 2017</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Debt investments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1,054,910,678</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1,054,910,678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Equity investments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139,568,969</w:t>
            </w: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1,196,787</w:t>
            </w: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13,094,262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125,277,920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4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1,194,479,647</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1,196,787</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13,094,262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1,180,188,598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66,565,207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66,565,207</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860" w:type="dxa"/>
            <w:vAlign w:val="bottom"/>
            <w:tcBorders>
              <w:top w:val="single" w:sz="8" w:color="CCEEFF"/>
              <w:bottom w:val="single" w:sz="8" w:color="CCEEFF"/>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1,261,044,854</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67,761,994</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13,094,262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1,180,188,598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88,491,651</w:t>
            </w:r>
          </w:p>
        </w:tc>
        <w:tc>
          <w:tcPr>
            <w:tcW w:w="28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88,491,651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255,137,500</w:t>
            </w:r>
          </w:p>
        </w:tc>
        <w:tc>
          <w:tcPr>
            <w:tcW w:w="2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255,137,500</w:t>
            </w:r>
          </w:p>
        </w:tc>
        <w:tc>
          <w:tcPr>
            <w:tcW w:w="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Arial" w:cs="Arial" w:eastAsia="Arial" w:hAnsi="Arial"/>
                <w:sz w:val="14"/>
                <w:szCs w:val="14"/>
                <w:color w:val="auto"/>
              </w:rPr>
              <w:t>2025 Notes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72,247,500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72,247,500</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860" w:type="dxa"/>
            <w:vAlign w:val="bottom"/>
            <w:tcBorders>
              <w:top w:val="single" w:sz="8" w:color="CCECFF"/>
              <w:bottom w:val="single" w:sz="8" w:color="CCECFF"/>
            </w:tcBorders>
            <w:shd w:val="clear" w:color="auto" w:fill="CCECFF"/>
          </w:tcPr>
          <w:p>
            <w:pPr>
              <w:ind w:left="400"/>
              <w:spacing w:after="0" w:line="142"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415,876,651</w:t>
            </w: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72,247,500</w:t>
            </w:r>
          </w:p>
        </w:tc>
        <w:tc>
          <w:tcPr>
            <w:tcW w:w="260" w:type="dxa"/>
            <w:vAlign w:val="bottom"/>
            <w:tcBorders>
              <w:top w:val="single" w:sz="8" w:color="CCECFF"/>
              <w:bottom w:val="single" w:sz="8" w:color="CCECFF"/>
            </w:tcBorders>
            <w:shd w:val="clear" w:color="auto" w:fill="CCECFF"/>
          </w:tcPr>
          <w:p>
            <w:pPr>
              <w:spacing w:after="0"/>
              <w:rPr>
                <w:sz w:val="12"/>
                <w:szCs w:val="12"/>
                <w:color w:val="auto"/>
              </w:rPr>
            </w:pPr>
          </w:p>
        </w:tc>
        <w:tc>
          <w:tcPr>
            <w:tcW w:w="4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w w:val="97"/>
              </w:rPr>
              <w:t>255,137,500</w:t>
            </w: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18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88,491,651</w:t>
            </w:r>
          </w:p>
        </w:tc>
        <w:tc>
          <w:tcPr>
            <w:tcW w:w="4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88"/>
              <w:spacing w:after="0"/>
              <w:rPr>
                <w:sz w:val="20"/>
                <w:szCs w:val="20"/>
                <w:color w:val="auto"/>
              </w:rPr>
            </w:pPr>
            <w:r>
              <w:rPr>
                <w:rFonts w:ascii="Arial" w:cs="Arial" w:eastAsia="Arial" w:hAnsi="Arial"/>
                <w:sz w:val="14"/>
                <w:szCs w:val="14"/>
                <w:b w:val="1"/>
                <w:bCs w:val="1"/>
                <w:color w:val="auto"/>
              </w:rPr>
              <w:t>Fair Value at September 30,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Debt investments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1,000,146,681</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1,000,146,681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Equity investments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153,532,994</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2,758,757</w:t>
            </w:r>
          </w:p>
        </w:tc>
        <w:tc>
          <w:tcPr>
            <w:tcW w:w="2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25,141,220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125,633,017</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4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1,153,679,675</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2,758,757</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25,141,220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1,125,779,698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75,608,113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75,608,113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860" w:type="dxa"/>
            <w:vAlign w:val="bottom"/>
            <w:tcBorders>
              <w:top w:val="single" w:sz="8" w:color="CCEEFF"/>
              <w:bottom w:val="single" w:sz="8" w:color="CCEEFF"/>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1,229,287,788</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78,366,870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25,141,220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1,125,779,698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39,551,187</w:t>
            </w:r>
          </w:p>
        </w:tc>
        <w:tc>
          <w:tcPr>
            <w:tcW w:w="260" w:type="dxa"/>
            <w:vAlign w:val="bottom"/>
            <w:vMerge w:val="continue"/>
          </w:tcPr>
          <w:p>
            <w:pPr>
              <w:spacing w:after="0"/>
              <w:rPr>
                <w:sz w:val="11"/>
                <w:szCs w:val="11"/>
                <w:color w:val="auto"/>
              </w:rPr>
            </w:pPr>
          </w:p>
        </w:tc>
        <w:tc>
          <w:tcPr>
            <w:tcW w:w="160" w:type="dxa"/>
            <w:vAlign w:val="bottom"/>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39,551,187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254,175,000</w:t>
            </w:r>
          </w:p>
        </w:tc>
        <w:tc>
          <w:tcPr>
            <w:tcW w:w="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Arial" w:cs="Arial" w:eastAsia="Arial" w:hAnsi="Arial"/>
                <w:sz w:val="14"/>
                <w:szCs w:val="14"/>
                <w:color w:val="auto"/>
              </w:rPr>
              <w:t>2025 Notes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72,618,000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72,618,000</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860" w:type="dxa"/>
            <w:vAlign w:val="bottom"/>
            <w:tcBorders>
              <w:top w:val="single" w:sz="8" w:color="CCECFF"/>
              <w:bottom w:val="single" w:sz="8" w:color="CCECFF"/>
            </w:tcBorders>
            <w:shd w:val="clear" w:color="auto" w:fill="CCECFF"/>
          </w:tcPr>
          <w:p>
            <w:pPr>
              <w:ind w:left="400"/>
              <w:spacing w:after="0" w:line="142"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366,344,187</w:t>
            </w:r>
          </w:p>
        </w:tc>
        <w:tc>
          <w:tcPr>
            <w:tcW w:w="260" w:type="dxa"/>
            <w:vAlign w:val="bottom"/>
            <w:tcBorders>
              <w:top w:val="single" w:sz="8" w:color="CCECFF"/>
              <w:bottom w:val="single" w:sz="8" w:color="CCECFF"/>
            </w:tcBorders>
            <w:shd w:val="clear" w:color="auto" w:fill="CCECFF"/>
          </w:tcPr>
          <w:p>
            <w:pPr>
              <w:spacing w:after="0"/>
              <w:rPr>
                <w:sz w:val="12"/>
                <w:szCs w:val="12"/>
                <w:color w:val="auto"/>
              </w:rPr>
            </w:pPr>
          </w:p>
        </w:tc>
        <w:tc>
          <w:tcPr>
            <w:tcW w:w="160" w:type="dxa"/>
            <w:vAlign w:val="bottom"/>
            <w:tcBorders>
              <w:top w:val="single" w:sz="8" w:color="auto"/>
              <w:bottom w:val="single" w:sz="8" w:color="auto"/>
            </w:tcBorders>
            <w:shd w:val="clear" w:color="auto" w:fill="CCEC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72,618,000</w:t>
            </w: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4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w w:val="97"/>
              </w:rPr>
              <w:t>254,175,000</w:t>
            </w: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18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39,551,187</w:t>
            </w:r>
          </w:p>
        </w:tc>
        <w:tc>
          <w:tcPr>
            <w:tcW w:w="4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March 31, 2017</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investments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125,633,017</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1,125,779,698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440"/>
              <w:spacing w:after="0"/>
              <w:rPr>
                <w:sz w:val="20"/>
                <w:szCs w:val="20"/>
                <w:color w:val="auto"/>
              </w:rPr>
            </w:pPr>
            <w:r>
              <w:rPr>
                <w:rFonts w:ascii="Arial" w:cs="Arial" w:eastAsia="Arial" w:hAnsi="Arial"/>
                <w:sz w:val="14"/>
                <w:szCs w:val="14"/>
                <w:color w:val="auto"/>
              </w:rPr>
              <w:t>Net realized 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(44,208,630)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(7,874,848)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(52,083,478)</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unrealized appreciation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51,972,266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5,894,209</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57,866,475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44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295,459,322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19,802,551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315,261,873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Sales, repayments and non-cash exchanges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(248,458,961)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(18,177,009)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(266,635,970)</w:t>
            </w:r>
          </w:p>
        </w:tc>
        <w:tc>
          <w:tcPr>
            <w:tcW w:w="0" w:type="dxa"/>
            <w:vAlign w:val="bottom"/>
          </w:tcPr>
          <w:p>
            <w:pPr>
              <w:spacing w:after="0"/>
              <w:rPr>
                <w:sz w:val="1"/>
                <w:szCs w:val="1"/>
                <w:color w:val="auto"/>
              </w:rPr>
            </w:pPr>
          </w:p>
        </w:tc>
      </w:tr>
      <w:tr>
        <w:trPr>
          <w:trHeight w:val="162"/>
        </w:trPr>
        <w:tc>
          <w:tcPr>
            <w:tcW w:w="5860" w:type="dxa"/>
            <w:vAlign w:val="bottom"/>
          </w:tcPr>
          <w:p>
            <w:pPr>
              <w:ind w:left="440"/>
              <w:spacing w:after="0"/>
              <w:rPr>
                <w:sz w:val="20"/>
                <w:szCs w:val="20"/>
                <w:color w:val="auto"/>
              </w:rPr>
            </w:pPr>
            <w:r>
              <w:rPr>
                <w:rFonts w:ascii="Arial" w:cs="Arial" w:eastAsia="Arial" w:hAnsi="Arial"/>
                <w:sz w:val="14"/>
                <w:szCs w:val="14"/>
                <w:color w:val="auto"/>
              </w:rPr>
              <w:t>Transfers in/out of Level 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1,054,910,678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125,277,920</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1,180,188,598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line="151" w:lineRule="exact"/>
              <w:rPr>
                <w:sz w:val="20"/>
                <w:szCs w:val="20"/>
                <w:color w:val="auto"/>
              </w:rPr>
            </w:pPr>
            <w:r>
              <w:rPr>
                <w:rFonts w:ascii="Arial" w:cs="Arial" w:eastAsia="Arial" w:hAnsi="Arial"/>
                <w:sz w:val="14"/>
                <w:szCs w:val="14"/>
                <w:color w:val="auto"/>
                <w:w w:val="97"/>
              </w:rPr>
              <w:t>Net change in unrealized appreciation (depreciation) reported within the net change in unrealized</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8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 on investments in our Consolidated Statements of Operations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60" w:type="dxa"/>
            <w:vAlign w:val="bottom"/>
          </w:tcPr>
          <w:p>
            <w:pPr>
              <w:ind w:left="20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18,366,054</w:t>
            </w:r>
          </w:p>
        </w:tc>
        <w:tc>
          <w:tcPr>
            <w:tcW w:w="160" w:type="dxa"/>
            <w:vAlign w:val="bottom"/>
          </w:tcPr>
          <w:p>
            <w:pPr>
              <w:spacing w:after="0"/>
              <w:rPr>
                <w:sz w:val="14"/>
                <w:szCs w:val="14"/>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(1,093,728)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17,272,326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9"/>
          </w:tcPr>
          <w:p>
            <w:pPr>
              <w:jc w:val="right"/>
              <w:ind w:right="748"/>
              <w:spacing w:after="0"/>
              <w:rPr>
                <w:sz w:val="20"/>
                <w:szCs w:val="20"/>
                <w:color w:val="auto"/>
              </w:rPr>
            </w:pPr>
            <w:r>
              <w:rPr>
                <w:rFonts w:ascii="Arial" w:cs="Arial" w:eastAsia="Arial" w:hAnsi="Arial"/>
                <w:sz w:val="14"/>
                <w:szCs w:val="14"/>
                <w:b w:val="1"/>
                <w:bCs w:val="1"/>
                <w:color w:val="auto"/>
              </w:rPr>
              <w:t>Six Months Ended March 31, 2016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investments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40" w:type="dxa"/>
            <w:vAlign w:val="bottom"/>
          </w:tcPr>
          <w:p>
            <w:pPr>
              <w:ind w:left="440"/>
              <w:spacing w:after="0"/>
              <w:rPr>
                <w:sz w:val="20"/>
                <w:szCs w:val="20"/>
                <w:color w:val="auto"/>
              </w:rPr>
            </w:pPr>
            <w:r>
              <w:rPr>
                <w:rFonts w:ascii="Arial" w:cs="Arial" w:eastAsia="Arial" w:hAnsi="Arial"/>
                <w:sz w:val="14"/>
                <w:szCs w:val="14"/>
                <w:color w:val="auto"/>
              </w:rPr>
              <w:t>Net realized (losses) 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(43,993,771)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7,447,593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(36,546,178)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unrealized depreciation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(45,611,871)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(9,442,156)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(55,054,027)</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40" w:type="dxa"/>
            <w:vAlign w:val="bottom"/>
          </w:tcPr>
          <w:p>
            <w:pPr>
              <w:ind w:left="44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194,118,985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31,738,327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225,857,312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Sales, repayments and non-cash exchanges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(186,769,904)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(14,193,093)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(200,962,997)</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40" w:type="dxa"/>
            <w:vAlign w:val="bottom"/>
          </w:tcPr>
          <w:p>
            <w:pPr>
              <w:ind w:left="440"/>
              <w:spacing w:after="0"/>
              <w:rPr>
                <w:sz w:val="20"/>
                <w:szCs w:val="20"/>
                <w:color w:val="auto"/>
              </w:rPr>
            </w:pPr>
            <w:r>
              <w:rPr>
                <w:rFonts w:ascii="Arial" w:cs="Arial" w:eastAsia="Arial" w:hAnsi="Arial"/>
                <w:sz w:val="14"/>
                <w:szCs w:val="14"/>
                <w:color w:val="auto"/>
              </w:rPr>
              <w:t>Transfers in/out of Level 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9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1,112,001,308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118,720,257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1,230,721,565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640"/>
              <w:spacing w:after="0" w:line="151" w:lineRule="exact"/>
              <w:rPr>
                <w:sz w:val="20"/>
                <w:szCs w:val="20"/>
                <w:color w:val="auto"/>
              </w:rPr>
            </w:pPr>
            <w:r>
              <w:rPr>
                <w:rFonts w:ascii="Arial" w:cs="Arial" w:eastAsia="Arial" w:hAnsi="Arial"/>
                <w:sz w:val="14"/>
                <w:szCs w:val="14"/>
                <w:color w:val="auto"/>
                <w:w w:val="98"/>
              </w:rPr>
              <w:t>Net change in unrealized (depreciation) appreciation reported within the net change in unrealized</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5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 on investments in our Consolidated Statements of Operations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(70,921,515)</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2,161,267</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(68,760,248)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808"/>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6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40" w:type="dxa"/>
            <w:vAlign w:val="bottom"/>
            <w:tcBorders>
              <w:bottom w:val="single" w:sz="8" w:color="9A9A9A"/>
            </w:tcBorders>
          </w:tcPr>
          <w:p>
            <w:pPr>
              <w:spacing w:after="0"/>
              <w:rPr>
                <w:sz w:val="8"/>
                <w:szCs w:val="8"/>
                <w:color w:val="auto"/>
              </w:rPr>
            </w:pPr>
          </w:p>
        </w:tc>
        <w:tc>
          <w:tcPr>
            <w:tcW w:w="5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14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$50,339,700 and $106,864,300, respectively)</w:t>
            </w: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39,551,187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54"/>
              <w:spacing w:after="0"/>
              <w:rPr>
                <w:sz w:val="20"/>
                <w:szCs w:val="20"/>
                <w:color w:val="auto"/>
              </w:rPr>
            </w:pPr>
            <w:r>
              <w:rPr>
                <w:rFonts w:ascii="Arial" w:cs="Arial" w:eastAsia="Arial" w:hAnsi="Arial"/>
                <w:sz w:val="5"/>
                <w:szCs w:val="5"/>
                <w:color w:val="auto"/>
                <w:w w:val="70"/>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440"/>
              <w:spacing w:after="0"/>
              <w:rPr>
                <w:sz w:val="20"/>
                <w:szCs w:val="20"/>
                <w:color w:val="auto"/>
              </w:rPr>
            </w:pPr>
            <w:r>
              <w:rPr>
                <w:rFonts w:ascii="Arial" w:cs="Arial" w:eastAsia="Arial" w:hAnsi="Arial"/>
                <w:sz w:val="14"/>
                <w:szCs w:val="14"/>
                <w:color w:val="auto"/>
              </w:rPr>
              <w:t>Net change in unrealized depreciation included in earnings</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(306,136)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(8,068,803)</w:t>
            </w:r>
          </w:p>
        </w:tc>
        <w:tc>
          <w:tcPr>
            <w:tcW w:w="0" w:type="dxa"/>
            <w:vAlign w:val="bottom"/>
          </w:tcPr>
          <w:p>
            <w:pPr>
              <w:spacing w:after="0"/>
              <w:rPr>
                <w:sz w:val="1"/>
                <w:szCs w:val="1"/>
                <w:color w:val="auto"/>
              </w:rPr>
            </w:pPr>
          </w:p>
        </w:tc>
      </w:tr>
      <w:tr>
        <w:trPr>
          <w:trHeight w:val="162"/>
        </w:trPr>
        <w:tc>
          <w:tcPr>
            <w:tcW w:w="55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219,760,000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191,164,923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44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(172,513,400)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(156,699,400)</w:t>
            </w:r>
          </w:p>
        </w:tc>
        <w:tc>
          <w:tcPr>
            <w:tcW w:w="0" w:type="dxa"/>
            <w:vAlign w:val="bottom"/>
          </w:tcPr>
          <w:p>
            <w:pPr>
              <w:spacing w:after="0"/>
              <w:rPr>
                <w:sz w:val="1"/>
                <w:szCs w:val="1"/>
                <w:color w:val="auto"/>
              </w:rPr>
            </w:pPr>
          </w:p>
        </w:tc>
      </w:tr>
      <w:tr>
        <w:trPr>
          <w:trHeight w:val="162"/>
        </w:trPr>
        <w:tc>
          <w:tcPr>
            <w:tcW w:w="55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Transfers in and/or out of Level 3</w:t>
            </w: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520" w:type="dxa"/>
            <w:vAlign w:val="bottom"/>
          </w:tcPr>
          <w:p>
            <w:pPr>
              <w:spacing w:after="0" w:line="142" w:lineRule="exact"/>
              <w:rPr>
                <w:sz w:val="20"/>
                <w:szCs w:val="20"/>
                <w:color w:val="auto"/>
              </w:rPr>
            </w:pPr>
            <w:r>
              <w:rPr>
                <w:rFonts w:ascii="Arial" w:cs="Arial" w:eastAsia="Arial" w:hAnsi="Arial"/>
                <w:sz w:val="14"/>
                <w:szCs w:val="14"/>
                <w:color w:val="auto"/>
              </w:rPr>
              <w:t>Ending Balance (cost – $97,586,300 and $141,329,823, respectively)</w:t>
            </w:r>
          </w:p>
        </w:tc>
        <w:tc>
          <w:tcPr>
            <w:tcW w:w="13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86,491,651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ind w:right="25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128,753,580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Temporary draws outstanding, at cost</w:t>
            </w: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520" w:type="dxa"/>
            <w:vAlign w:val="bottom"/>
          </w:tcPr>
          <w:p>
            <w:pPr>
              <w:spacing w:after="0" w:line="142" w:lineRule="exact"/>
              <w:rPr>
                <w:sz w:val="20"/>
                <w:szCs w:val="20"/>
                <w:color w:val="auto"/>
              </w:rPr>
            </w:pPr>
            <w:r>
              <w:rPr>
                <w:rFonts w:ascii="Arial" w:cs="Arial" w:eastAsia="Arial" w:hAnsi="Arial"/>
                <w:sz w:val="14"/>
                <w:szCs w:val="14"/>
                <w:color w:val="auto"/>
              </w:rPr>
              <w:t>Ending Balance (cost – $99,586,300 and $141,329,823, respectively)</w:t>
            </w:r>
          </w:p>
        </w:tc>
        <w:tc>
          <w:tcPr>
            <w:tcW w:w="13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88,491,651</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128,753,580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520" w:hanging="47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260" w:firstLine="443"/>
        <w:spacing w:after="0" w:line="253" w:lineRule="auto"/>
        <w:rPr>
          <w:sz w:val="20"/>
          <w:szCs w:val="20"/>
          <w:color w:val="auto"/>
        </w:rPr>
      </w:pPr>
      <w:r>
        <w:rPr>
          <w:rFonts w:ascii="Arial" w:cs="Arial" w:eastAsia="Arial" w:hAnsi="Arial"/>
          <w:sz w:val="14"/>
          <w:szCs w:val="14"/>
          <w:color w:val="auto"/>
        </w:rPr>
        <w:t>As of March 31,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Foreign Currency</w:t>
            </w:r>
          </w:p>
        </w:tc>
        <w:tc>
          <w:tcPr>
            <w:tcW w:w="13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b w:val="1"/>
                <w:bCs w:val="1"/>
                <w:color w:val="auto"/>
                <w:w w:val="97"/>
              </w:rPr>
              <w:t>Borrowing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Current Value</w:t>
            </w:r>
          </w:p>
        </w:tc>
        <w:tc>
          <w:tcPr>
            <w:tcW w:w="240" w:type="dxa"/>
            <w:vAlign w:val="bottom"/>
          </w:tcPr>
          <w:p>
            <w:pPr>
              <w:spacing w:after="0"/>
              <w:rPr>
                <w:sz w:val="14"/>
                <w:szCs w:val="14"/>
                <w:color w:val="auto"/>
              </w:rPr>
            </w:pPr>
          </w:p>
        </w:tc>
        <w:tc>
          <w:tcPr>
            <w:tcW w:w="1460" w:type="dxa"/>
            <w:vAlign w:val="bottom"/>
          </w:tcPr>
          <w:p>
            <w:pPr>
              <w:ind w:left="400"/>
              <w:spacing w:after="0"/>
              <w:rPr>
                <w:sz w:val="20"/>
                <w:szCs w:val="20"/>
                <w:color w:val="auto"/>
              </w:rPr>
            </w:pPr>
            <w:r>
              <w:rPr>
                <w:rFonts w:ascii="Arial" w:cs="Arial" w:eastAsia="Arial" w:hAnsi="Arial"/>
                <w:sz w:val="14"/>
                <w:szCs w:val="14"/>
                <w:b w:val="1"/>
                <w:bCs w:val="1"/>
                <w:color w:val="auto"/>
              </w:rPr>
              <w:t>Reset Date</w:t>
            </w: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Change in Fair Value</w:t>
            </w:r>
          </w:p>
        </w:tc>
      </w:tr>
      <w:tr>
        <w:trPr>
          <w:trHeight w:val="142"/>
        </w:trPr>
        <w:tc>
          <w:tcPr>
            <w:tcW w:w="182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British Pound</w:t>
            </w:r>
          </w:p>
        </w:tc>
        <w:tc>
          <w:tcPr>
            <w:tcW w:w="220" w:type="dxa"/>
            <w:vAlign w:val="bottom"/>
            <w:tcBorders>
              <w:top w:val="single" w:sz="8" w:color="CCECFF"/>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29,000,000</w:t>
            </w:r>
          </w:p>
        </w:tc>
        <w:tc>
          <w:tcPr>
            <w:tcW w:w="2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47,186,300</w:t>
            </w:r>
          </w:p>
        </w:tc>
        <w:tc>
          <w:tcPr>
            <w:tcW w:w="24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36,263,137</w:t>
            </w:r>
          </w:p>
        </w:tc>
        <w:tc>
          <w:tcPr>
            <w:tcW w:w="240" w:type="dxa"/>
            <w:vAlign w:val="bottom"/>
            <w:tcBorders>
              <w:top w:val="single" w:sz="8" w:color="CCECFF"/>
            </w:tcBorders>
            <w:shd w:val="clear" w:color="auto" w:fill="CCECFF"/>
          </w:tcPr>
          <w:p>
            <w:pPr>
              <w:spacing w:after="0"/>
              <w:rPr>
                <w:sz w:val="12"/>
                <w:szCs w:val="12"/>
                <w:color w:val="auto"/>
              </w:rPr>
            </w:pPr>
          </w:p>
        </w:tc>
        <w:tc>
          <w:tcPr>
            <w:tcW w:w="1460" w:type="dxa"/>
            <w:vAlign w:val="bottom"/>
            <w:tcBorders>
              <w:top w:val="single" w:sz="8" w:color="auto"/>
            </w:tcBorders>
            <w:shd w:val="clear" w:color="auto" w:fill="CCECFF"/>
          </w:tcPr>
          <w:p>
            <w:pPr>
              <w:ind w:left="300"/>
              <w:spacing w:after="0" w:line="142" w:lineRule="exact"/>
              <w:rPr>
                <w:sz w:val="20"/>
                <w:szCs w:val="20"/>
                <w:color w:val="auto"/>
              </w:rPr>
            </w:pPr>
            <w:r>
              <w:rPr>
                <w:rFonts w:ascii="Arial" w:cs="Arial" w:eastAsia="Arial" w:hAnsi="Arial"/>
                <w:sz w:val="14"/>
                <w:szCs w:val="14"/>
                <w:color w:val="auto"/>
              </w:rPr>
              <w:t>April 4, 2017</w:t>
            </w:r>
          </w:p>
        </w:tc>
        <w:tc>
          <w:tcPr>
            <w:tcW w:w="24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(10,923,163)</w:t>
            </w:r>
          </w:p>
        </w:tc>
        <w:tc>
          <w:tcPr>
            <w:tcW w:w="260" w:type="dxa"/>
            <w:vAlign w:val="bottom"/>
            <w:tcBorders>
              <w:top w:val="single" w:sz="8" w:color="CCECFF"/>
            </w:tcBorders>
            <w:shd w:val="clear" w:color="auto" w:fill="CCECFF"/>
          </w:tcPr>
          <w:p>
            <w:pPr>
              <w:spacing w:after="0"/>
              <w:rPr>
                <w:sz w:val="12"/>
                <w:szCs w:val="12"/>
                <w:color w:val="auto"/>
              </w:rPr>
            </w:pPr>
          </w:p>
        </w:tc>
      </w:tr>
      <w:tr>
        <w:trPr>
          <w:trHeight w:val="162"/>
        </w:trPr>
        <w:tc>
          <w:tcPr>
            <w:tcW w:w="20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Euro</w:t>
            </w:r>
          </w:p>
        </w:tc>
        <w:tc>
          <w:tcPr>
            <w:tcW w:w="560" w:type="dxa"/>
            <w:vAlign w:val="bottom"/>
            <w:tcBorders>
              <w:bottom w:val="single" w:sz="8" w:color="CCECFF"/>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35,000,000</w:t>
            </w:r>
          </w:p>
        </w:tc>
        <w:tc>
          <w:tcPr>
            <w:tcW w:w="26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36,400,000</w:t>
            </w:r>
          </w:p>
        </w:tc>
        <w:tc>
          <w:tcPr>
            <w:tcW w:w="2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37,434,355</w:t>
            </w:r>
          </w:p>
        </w:tc>
        <w:tc>
          <w:tcPr>
            <w:tcW w:w="240" w:type="dxa"/>
            <w:vAlign w:val="bottom"/>
            <w:tcBorders>
              <w:bottom w:val="single" w:sz="8" w:color="CCECFF"/>
            </w:tcBorders>
          </w:tcPr>
          <w:p>
            <w:pPr>
              <w:spacing w:after="0"/>
              <w:rPr>
                <w:sz w:val="14"/>
                <w:szCs w:val="14"/>
                <w:color w:val="auto"/>
              </w:rPr>
            </w:pPr>
          </w:p>
        </w:tc>
        <w:tc>
          <w:tcPr>
            <w:tcW w:w="1460" w:type="dxa"/>
            <w:vAlign w:val="bottom"/>
            <w:tcBorders>
              <w:bottom w:val="single" w:sz="8" w:color="CCECFF"/>
            </w:tcBorders>
          </w:tcPr>
          <w:p>
            <w:pPr>
              <w:ind w:left="300"/>
              <w:spacing w:after="0"/>
              <w:rPr>
                <w:sz w:val="20"/>
                <w:szCs w:val="20"/>
                <w:color w:val="auto"/>
              </w:rPr>
            </w:pPr>
            <w:r>
              <w:rPr>
                <w:rFonts w:ascii="Arial" w:cs="Arial" w:eastAsia="Arial" w:hAnsi="Arial"/>
                <w:sz w:val="14"/>
                <w:szCs w:val="14"/>
                <w:color w:val="auto"/>
              </w:rPr>
              <w:t>April 7, 2017</w:t>
            </w:r>
          </w:p>
        </w:tc>
        <w:tc>
          <w:tcPr>
            <w:tcW w:w="24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1,034,355</w:t>
            </w:r>
          </w:p>
        </w:tc>
        <w:tc>
          <w:tcPr>
            <w:tcW w:w="260" w:type="dxa"/>
            <w:vAlign w:val="bottom"/>
            <w:tcBorders>
              <w:bottom w:val="single" w:sz="8" w:color="CCECFF"/>
            </w:tcBorders>
          </w:tcPr>
          <w:p>
            <w:pPr>
              <w:spacing w:after="0"/>
              <w:rPr>
                <w:sz w:val="14"/>
                <w:szCs w:val="14"/>
                <w:color w:val="auto"/>
              </w:rPr>
            </w:pPr>
          </w:p>
        </w:tc>
      </w:tr>
      <w:tr>
        <w:trPr>
          <w:trHeight w:val="142"/>
        </w:trPr>
        <w:tc>
          <w:tcPr>
            <w:tcW w:w="1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83,586,300</w:t>
            </w:r>
          </w:p>
        </w:tc>
        <w:tc>
          <w:tcPr>
            <w:tcW w:w="2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73,697,492</w:t>
            </w:r>
          </w:p>
        </w:tc>
        <w:tc>
          <w:tcPr>
            <w:tcW w:w="240" w:type="dxa"/>
            <w:vAlign w:val="bottom"/>
            <w:tcBorders>
              <w:bottom w:val="single" w:sz="8" w:color="CCECFF"/>
            </w:tcBorders>
            <w:shd w:val="clear" w:color="auto" w:fill="CCECFF"/>
          </w:tcPr>
          <w:p>
            <w:pPr>
              <w:spacing w:after="0"/>
              <w:rPr>
                <w:sz w:val="12"/>
                <w:szCs w:val="12"/>
                <w:color w:val="auto"/>
              </w:rPr>
            </w:pPr>
          </w:p>
        </w:tc>
        <w:tc>
          <w:tcPr>
            <w:tcW w:w="14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(9,888,808)</w:t>
            </w:r>
          </w:p>
        </w:tc>
        <w:tc>
          <w:tcPr>
            <w:tcW w:w="260" w:type="dxa"/>
            <w:vAlign w:val="bottom"/>
            <w:tcBorders>
              <w:bottom w:val="single" w:sz="8" w:color="CCECFF"/>
            </w:tcBorders>
            <w:shd w:val="clear" w:color="auto" w:fill="CCECFF"/>
          </w:tcPr>
          <w:p>
            <w:pPr>
              <w:spacing w:after="0"/>
              <w:rPr>
                <w:sz w:val="12"/>
                <w:szCs w:val="12"/>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30" w:lineRule="exact"/>
        <w:rPr>
          <w:sz w:val="20"/>
          <w:szCs w:val="20"/>
          <w:color w:val="auto"/>
        </w:rPr>
      </w:pPr>
    </w:p>
    <w:p>
      <w:pPr>
        <w:ind w:right="840" w:firstLine="443"/>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Foreign Currency</w:t>
            </w:r>
          </w:p>
        </w:tc>
        <w:tc>
          <w:tcPr>
            <w:tcW w:w="13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b w:val="1"/>
                <w:bCs w:val="1"/>
                <w:color w:val="auto"/>
                <w:w w:val="97"/>
              </w:rPr>
              <w:t>Borrowing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Current Value</w:t>
            </w:r>
          </w:p>
        </w:tc>
        <w:tc>
          <w:tcPr>
            <w:tcW w:w="1460" w:type="dxa"/>
            <w:vAlign w:val="bottom"/>
          </w:tcPr>
          <w:p>
            <w:pPr>
              <w:ind w:left="400"/>
              <w:spacing w:after="0"/>
              <w:rPr>
                <w:sz w:val="20"/>
                <w:szCs w:val="20"/>
                <w:color w:val="auto"/>
              </w:rPr>
            </w:pPr>
            <w:r>
              <w:rPr>
                <w:rFonts w:ascii="Arial" w:cs="Arial" w:eastAsia="Arial" w:hAnsi="Arial"/>
                <w:sz w:val="14"/>
                <w:szCs w:val="14"/>
                <w:b w:val="1"/>
                <w:bCs w:val="1"/>
                <w:color w:val="auto"/>
              </w:rPr>
              <w:t>Reset Date</w:t>
            </w: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Change in Fair Value</w:t>
            </w:r>
          </w:p>
        </w:tc>
      </w:tr>
      <w:tr>
        <w:trPr>
          <w:trHeight w:val="142"/>
        </w:trPr>
        <w:tc>
          <w:tcPr>
            <w:tcW w:w="180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British Pound</w:t>
            </w:r>
          </w:p>
        </w:tc>
        <w:tc>
          <w:tcPr>
            <w:tcW w:w="240" w:type="dxa"/>
            <w:vAlign w:val="bottom"/>
            <w:tcBorders>
              <w:top w:val="single" w:sz="8" w:color="CCECFF"/>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31,000,000</w:t>
            </w:r>
          </w:p>
        </w:tc>
        <w:tc>
          <w:tcPr>
            <w:tcW w:w="2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50,339,700</w:t>
            </w:r>
          </w:p>
        </w:tc>
        <w:tc>
          <w:tcPr>
            <w:tcW w:w="24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40,180,433</w:t>
            </w:r>
          </w:p>
        </w:tc>
        <w:tc>
          <w:tcPr>
            <w:tcW w:w="240" w:type="dxa"/>
            <w:vAlign w:val="bottom"/>
            <w:tcBorders>
              <w:top w:val="single" w:sz="8" w:color="CCECFF"/>
            </w:tcBorders>
            <w:shd w:val="clear" w:color="auto" w:fill="CCECFF"/>
          </w:tcPr>
          <w:p>
            <w:pPr>
              <w:spacing w:after="0"/>
              <w:rPr>
                <w:sz w:val="12"/>
                <w:szCs w:val="12"/>
                <w:color w:val="auto"/>
              </w:rPr>
            </w:pPr>
          </w:p>
        </w:tc>
        <w:tc>
          <w:tcPr>
            <w:tcW w:w="1460" w:type="dxa"/>
            <w:vAlign w:val="bottom"/>
            <w:tcBorders>
              <w:top w:val="single" w:sz="8" w:color="auto"/>
            </w:tcBorders>
            <w:shd w:val="clear" w:color="auto" w:fill="CCECFF"/>
          </w:tcPr>
          <w:p>
            <w:pPr>
              <w:ind w:left="220"/>
              <w:spacing w:after="0" w:line="142" w:lineRule="exact"/>
              <w:rPr>
                <w:sz w:val="20"/>
                <w:szCs w:val="20"/>
                <w:color w:val="auto"/>
              </w:rPr>
            </w:pPr>
            <w:r>
              <w:rPr>
                <w:rFonts w:ascii="Arial" w:cs="Arial" w:eastAsia="Arial" w:hAnsi="Arial"/>
                <w:sz w:val="14"/>
                <w:szCs w:val="14"/>
                <w:color w:val="auto"/>
              </w:rPr>
              <w:t>October 3, 2016</w:t>
            </w:r>
          </w:p>
        </w:tc>
        <w:tc>
          <w:tcPr>
            <w:tcW w:w="240" w:type="dxa"/>
            <w:vAlign w:val="bottom"/>
            <w:tcBorders>
              <w:top w:val="single" w:sz="8" w:color="CCECFF"/>
            </w:tcBorders>
            <w:shd w:val="clear" w:color="auto" w:fill="CCECFF"/>
          </w:tcPr>
          <w:p>
            <w:pPr>
              <w:spacing w:after="0"/>
              <w:rPr>
                <w:sz w:val="12"/>
                <w:szCs w:val="12"/>
                <w:color w:val="auto"/>
              </w:rPr>
            </w:pPr>
          </w:p>
        </w:tc>
        <w:tc>
          <w:tcPr>
            <w:tcW w:w="32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(10,159,267)</w:t>
            </w:r>
          </w:p>
        </w:tc>
        <w:tc>
          <w:tcPr>
            <w:tcW w:w="260" w:type="dxa"/>
            <w:vAlign w:val="bottom"/>
            <w:tcBorders>
              <w:top w:val="single" w:sz="8" w:color="CCECFF"/>
            </w:tcBorders>
            <w:shd w:val="clear" w:color="auto" w:fill="CCECFF"/>
          </w:tcPr>
          <w:p>
            <w:pPr>
              <w:spacing w:after="0"/>
              <w:rPr>
                <w:sz w:val="12"/>
                <w:szCs w:val="12"/>
                <w:color w:val="auto"/>
              </w:rPr>
            </w:pPr>
          </w:p>
        </w:tc>
      </w:tr>
    </w:tbl>
    <w:p>
      <w:pPr>
        <w:spacing w:after="0" w:line="130" w:lineRule="exact"/>
        <w:rPr>
          <w:sz w:val="20"/>
          <w:szCs w:val="20"/>
          <w:color w:val="auto"/>
        </w:rPr>
      </w:pPr>
    </w:p>
    <w:p>
      <w:pPr>
        <w:ind w:firstLine="435"/>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six months ended March 31, 2017, our Credit Facility and our Notes had a net change in unrealized appreciation of $6.1 million and $0.3 million, respectively. For the three and six months ended March 31, 2016, our Credit Facility and our Notes had a net change in unrealized depreciation of $10.3 million and $18.0 million, respectively. As of March 31, 2017 and September 30, 2016, net unrealized depreciation on our Credit Facility and our Notes totaled $5.0 million and $5.2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2017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 of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Sale of /</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Realized Gains</w:t>
            </w:r>
          </w:p>
        </w:tc>
        <w:tc>
          <w:tcPr>
            <w:tcW w:w="0" w:type="dxa"/>
            <w:vAlign w:val="bottom"/>
          </w:tcPr>
          <w:p>
            <w:pPr>
              <w:spacing w:after="0"/>
              <w:rPr>
                <w:sz w:val="1"/>
                <w:szCs w:val="1"/>
                <w:color w:val="auto"/>
              </w:rPr>
            </w:pPr>
          </w:p>
        </w:tc>
      </w:tr>
      <w:tr>
        <w:trPr>
          <w:trHeight w:val="178"/>
        </w:trPr>
        <w:tc>
          <w:tcPr>
            <w:tcW w:w="262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1"/>
              </w:rPr>
              <w:t xml:space="preserve">September 30, 2016 </w:t>
            </w:r>
            <w:r>
              <w:rPr>
                <w:rFonts w:ascii="Arial" w:cs="Arial" w:eastAsia="Arial" w:hAnsi="Arial"/>
                <w:sz w:val="12"/>
                <w:szCs w:val="12"/>
                <w:b w:val="1"/>
                <w:bCs w:val="1"/>
                <w:color w:val="auto"/>
                <w:w w:val="91"/>
              </w:rPr>
              <w:t>(1)</w:t>
            </w:r>
          </w:p>
        </w:tc>
        <w:tc>
          <w:tcPr>
            <w:tcW w:w="80" w:type="dxa"/>
            <w:vAlign w:val="bottom"/>
          </w:tcPr>
          <w:p>
            <w:pPr>
              <w:spacing w:after="0"/>
              <w:rPr>
                <w:sz w:val="15"/>
                <w:szCs w:val="15"/>
                <w:color w:val="auto"/>
              </w:rPr>
            </w:pPr>
          </w:p>
        </w:tc>
        <w:tc>
          <w:tcPr>
            <w:tcW w:w="11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140" w:type="dxa"/>
            <w:vAlign w:val="bottom"/>
          </w:tcPr>
          <w:p>
            <w:pPr>
              <w:spacing w:after="0"/>
              <w:rPr>
                <w:sz w:val="15"/>
                <w:szCs w:val="15"/>
                <w:color w:val="auto"/>
              </w:rPr>
            </w:pPr>
          </w:p>
        </w:tc>
        <w:tc>
          <w:tcPr>
            <w:tcW w:w="144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 xml:space="preserve">from Affiliates </w:t>
            </w:r>
            <w:r>
              <w:rPr>
                <w:rFonts w:ascii="Arial" w:cs="Arial" w:eastAsia="Arial" w:hAnsi="Arial"/>
                <w:sz w:val="12"/>
                <w:szCs w:val="12"/>
                <w:b w:val="1"/>
                <w:bCs w:val="1"/>
                <w:color w:val="auto"/>
                <w:w w:val="95"/>
              </w:rPr>
              <w:t>(1)</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Accrued</w:t>
            </w:r>
          </w:p>
        </w:tc>
        <w:tc>
          <w:tcPr>
            <w:tcW w:w="120" w:type="dxa"/>
            <w:vAlign w:val="bottom"/>
          </w:tcPr>
          <w:p>
            <w:pPr>
              <w:spacing w:after="0"/>
              <w:rPr>
                <w:sz w:val="15"/>
                <w:szCs w:val="15"/>
                <w:color w:val="auto"/>
              </w:rPr>
            </w:pPr>
          </w:p>
        </w:tc>
        <w:tc>
          <w:tcPr>
            <w:tcW w:w="14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 xml:space="preserve">March 31, 2017 </w:t>
            </w:r>
            <w:r>
              <w:rPr>
                <w:rFonts w:ascii="Arial" w:cs="Arial" w:eastAsia="Arial" w:hAnsi="Arial"/>
                <w:sz w:val="12"/>
                <w:szCs w:val="12"/>
                <w:b w:val="1"/>
                <w:bCs w:val="1"/>
                <w:color w:val="auto"/>
                <w:w w:val="94"/>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36"/>
        </w:trPr>
        <w:tc>
          <w:tcPr>
            <w:tcW w:w="26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gridSpan w:val="2"/>
          </w:tcPr>
          <w:p>
            <w:pPr>
              <w:ind w:left="160"/>
              <w:spacing w:after="0"/>
              <w:rPr>
                <w:sz w:val="20"/>
                <w:szCs w:val="20"/>
                <w:color w:val="auto"/>
              </w:rPr>
            </w:pPr>
            <w:r>
              <w:rPr>
                <w:rFonts w:ascii="Arial" w:cs="Arial" w:eastAsia="Arial" w:hAnsi="Arial"/>
                <w:sz w:val="14"/>
                <w:szCs w:val="14"/>
                <w:color w:val="auto"/>
              </w:rPr>
              <w:t>(JF Acquisition, LLC)</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22,837,602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19,030,889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RAM Energy LLC</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68,319,399</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4,307,271</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4,530,534</w:t>
            </w:r>
          </w:p>
        </w:tc>
        <w:tc>
          <w:tcPr>
            <w:tcW w:w="1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72,908,937</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Superior Digital Displays Holdings,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33,862,636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7,105,123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(2,570,000)</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2,734,204</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32,436,487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b w:val="1"/>
                <w:bCs w:val="1"/>
                <w:color w:val="auto"/>
              </w:rPr>
              <w:t>Non-Controlled Affiliates</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57,109,394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197,160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1,618,941</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45,366,070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(3)</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532,961</w:t>
            </w:r>
          </w:p>
        </w:tc>
        <w:tc>
          <w:tcPr>
            <w:tcW w:w="1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18,130,545</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Cano Health, LLC </w:t>
            </w: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12,703,500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(64,125)</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356,805</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12,895,875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Corfin Industries LLC</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25,853,063</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(118,500)</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1,333,799</w:t>
            </w:r>
          </w:p>
        </w:tc>
        <w:tc>
          <w:tcPr>
            <w:tcW w:w="1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24,485,407</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DirectBuy Holdings,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2,799,695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(33,833,356)</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22,522,000</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461,566</w:t>
            </w:r>
          </w:p>
        </w:tc>
        <w:tc>
          <w:tcPr>
            <w:tcW w:w="1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22,656,872</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35,416,730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1,605,809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435,817</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49,219,911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PAS International Holdings, Inc.</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8,233,630</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25,420</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(31,698)</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795,460</w:t>
            </w:r>
          </w:p>
        </w:tc>
        <w:tc>
          <w:tcPr>
            <w:tcW w:w="1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22,057,636</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Service Champ,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34,898,025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(32,483,758)</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1,691,931</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1,842,374</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28,360,010</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18,000,000</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(18,687,500)</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1,461,287</w:t>
            </w:r>
          </w:p>
        </w:tc>
        <w:tc>
          <w:tcPr>
            <w:tcW w:w="1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29,789,623</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18,087,100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2620" w:type="dxa"/>
            <w:vAlign w:val="bottom"/>
            <w:tcBorders>
              <w:top w:val="single" w:sz="8" w:color="CCECFF"/>
            </w:tcBorders>
            <w:gridSpan w:val="2"/>
            <w:shd w:val="clear" w:color="auto" w:fill="CCECFF"/>
          </w:tcPr>
          <w:p>
            <w:pPr>
              <w:spacing w:after="0" w:line="119" w:lineRule="exact"/>
              <w:rPr>
                <w:sz w:val="20"/>
                <w:szCs w:val="20"/>
                <w:color w:val="auto"/>
              </w:rPr>
            </w:pPr>
            <w:r>
              <w:rPr>
                <w:rFonts w:ascii="Arial" w:cs="Arial" w:eastAsia="Arial" w:hAnsi="Arial"/>
                <w:sz w:val="13"/>
                <w:szCs w:val="13"/>
                <w:b w:val="1"/>
                <w:bCs w:val="1"/>
                <w:color w:val="auto"/>
              </w:rPr>
              <w:t>Total Controlled and Non-Controlled</w:t>
            </w:r>
          </w:p>
        </w:tc>
        <w:tc>
          <w:tcPr>
            <w:tcW w:w="8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auto"/>
            </w:tcBorders>
            <w:shd w:val="clear" w:color="auto" w:fill="CCECFF"/>
          </w:tcPr>
          <w:p>
            <w:pPr>
              <w:spacing w:after="0"/>
              <w:rPr>
                <w:sz w:val="10"/>
                <w:szCs w:val="10"/>
                <w:color w:val="auto"/>
              </w:rPr>
            </w:pPr>
          </w:p>
        </w:tc>
        <w:tc>
          <w:tcPr>
            <w:tcW w:w="1460" w:type="dxa"/>
            <w:vAlign w:val="bottom"/>
            <w:tcBorders>
              <w:top w:val="single" w:sz="8" w:color="auto"/>
            </w:tcBorders>
            <w:shd w:val="clear" w:color="auto" w:fill="CCECFF"/>
          </w:tcPr>
          <w:p>
            <w:pPr>
              <w:spacing w:after="0"/>
              <w:rPr>
                <w:sz w:val="10"/>
                <w:szCs w:val="10"/>
                <w:color w:val="auto"/>
              </w:rPr>
            </w:pPr>
          </w:p>
        </w:tc>
        <w:tc>
          <w:tcPr>
            <w:tcW w:w="8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auto"/>
            </w:tcBorders>
            <w:shd w:val="clear" w:color="auto" w:fill="CCECFF"/>
          </w:tcPr>
          <w:p>
            <w:pPr>
              <w:spacing w:after="0"/>
              <w:rPr>
                <w:sz w:val="10"/>
                <w:szCs w:val="10"/>
                <w:color w:val="auto"/>
              </w:rPr>
            </w:pPr>
          </w:p>
        </w:tc>
        <w:tc>
          <w:tcPr>
            <w:tcW w:w="960" w:type="dxa"/>
            <w:vAlign w:val="bottom"/>
            <w:tcBorders>
              <w:top w:val="single" w:sz="8" w:color="auto"/>
            </w:tcBorders>
            <w:shd w:val="clear" w:color="auto" w:fill="CCECFF"/>
          </w:tcPr>
          <w:p>
            <w:pPr>
              <w:spacing w:after="0"/>
              <w:rPr>
                <w:sz w:val="10"/>
                <w:szCs w:val="10"/>
                <w:color w:val="auto"/>
              </w:rPr>
            </w:pPr>
          </w:p>
        </w:tc>
        <w:tc>
          <w:tcPr>
            <w:tcW w:w="140" w:type="dxa"/>
            <w:vAlign w:val="bottom"/>
            <w:tcBorders>
              <w:top w:val="single" w:sz="8" w:color="CCECFF"/>
            </w:tcBorders>
            <w:shd w:val="clear" w:color="auto" w:fill="CCECFF"/>
          </w:tcPr>
          <w:p>
            <w:pPr>
              <w:spacing w:after="0"/>
              <w:rPr>
                <w:sz w:val="10"/>
                <w:szCs w:val="10"/>
                <w:color w:val="auto"/>
              </w:rPr>
            </w:pPr>
          </w:p>
        </w:tc>
        <w:tc>
          <w:tcPr>
            <w:tcW w:w="140" w:type="dxa"/>
            <w:vAlign w:val="bottom"/>
            <w:tcBorders>
              <w:top w:val="single" w:sz="8" w:color="CCECFF"/>
            </w:tcBorders>
            <w:shd w:val="clear" w:color="auto" w:fill="CCECFF"/>
          </w:tcPr>
          <w:p>
            <w:pPr>
              <w:spacing w:after="0"/>
              <w:rPr>
                <w:sz w:val="10"/>
                <w:szCs w:val="10"/>
                <w:color w:val="auto"/>
              </w:rPr>
            </w:pPr>
          </w:p>
        </w:tc>
        <w:tc>
          <w:tcPr>
            <w:tcW w:w="140" w:type="dxa"/>
            <w:vAlign w:val="bottom"/>
            <w:tcBorders>
              <w:top w:val="single" w:sz="8" w:color="auto"/>
            </w:tcBorders>
            <w:shd w:val="clear" w:color="auto" w:fill="CCECFF"/>
          </w:tcPr>
          <w:p>
            <w:pPr>
              <w:spacing w:after="0"/>
              <w:rPr>
                <w:sz w:val="10"/>
                <w:szCs w:val="10"/>
                <w:color w:val="auto"/>
              </w:rPr>
            </w:pPr>
          </w:p>
        </w:tc>
        <w:tc>
          <w:tcPr>
            <w:tcW w:w="1060" w:type="dxa"/>
            <w:vAlign w:val="bottom"/>
            <w:tcBorders>
              <w:top w:val="single" w:sz="8" w:color="auto"/>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860" w:type="dxa"/>
            <w:vAlign w:val="bottom"/>
            <w:tcBorders>
              <w:top w:val="single" w:sz="8" w:color="auto"/>
            </w:tcBorders>
            <w:shd w:val="clear" w:color="auto" w:fill="CCECFF"/>
          </w:tcPr>
          <w:p>
            <w:pPr>
              <w:spacing w:after="0"/>
              <w:rPr>
                <w:sz w:val="10"/>
                <w:szCs w:val="10"/>
                <w:color w:val="auto"/>
              </w:rPr>
            </w:pPr>
          </w:p>
        </w:tc>
        <w:tc>
          <w:tcPr>
            <w:tcW w:w="220" w:type="dxa"/>
            <w:vAlign w:val="bottom"/>
            <w:tcBorders>
              <w:top w:val="single" w:sz="8" w:color="CCECFF"/>
            </w:tcBorders>
            <w:shd w:val="clear" w:color="auto" w:fill="CCECFF"/>
          </w:tcPr>
          <w:p>
            <w:pPr>
              <w:spacing w:after="0"/>
              <w:rPr>
                <w:sz w:val="10"/>
                <w:szCs w:val="10"/>
                <w:color w:val="auto"/>
              </w:rPr>
            </w:pPr>
          </w:p>
        </w:tc>
        <w:tc>
          <w:tcPr>
            <w:tcW w:w="120" w:type="dxa"/>
            <w:vAlign w:val="bottom"/>
            <w:tcBorders>
              <w:top w:val="single" w:sz="8" w:color="auto"/>
            </w:tcBorders>
            <w:shd w:val="clear" w:color="auto" w:fill="CCECFF"/>
          </w:tcPr>
          <w:p>
            <w:pPr>
              <w:spacing w:after="0"/>
              <w:rPr>
                <w:sz w:val="10"/>
                <w:szCs w:val="10"/>
                <w:color w:val="auto"/>
              </w:rPr>
            </w:pPr>
          </w:p>
        </w:tc>
        <w:tc>
          <w:tcPr>
            <w:tcW w:w="1360" w:type="dxa"/>
            <w:vAlign w:val="bottom"/>
            <w:tcBorders>
              <w:top w:val="single" w:sz="8" w:color="auto"/>
            </w:tcBorders>
            <w:shd w:val="clear" w:color="auto" w:fill="CCECFF"/>
          </w:tcPr>
          <w:p>
            <w:pPr>
              <w:spacing w:after="0"/>
              <w:rPr>
                <w:sz w:val="10"/>
                <w:szCs w:val="10"/>
                <w:color w:val="auto"/>
              </w:rPr>
            </w:pPr>
          </w:p>
        </w:tc>
        <w:tc>
          <w:tcPr>
            <w:tcW w:w="8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auto"/>
            </w:tcBorders>
            <w:shd w:val="clear" w:color="auto" w:fill="CCECFF"/>
          </w:tcPr>
          <w:p>
            <w:pPr>
              <w:spacing w:after="0"/>
              <w:rPr>
                <w:sz w:val="10"/>
                <w:szCs w:val="10"/>
                <w:color w:val="auto"/>
              </w:rPr>
            </w:pPr>
          </w:p>
        </w:tc>
        <w:tc>
          <w:tcPr>
            <w:tcW w:w="980" w:type="dxa"/>
            <w:vAlign w:val="bottom"/>
            <w:tcBorders>
              <w:top w:val="single" w:sz="8" w:color="auto"/>
            </w:tcBorders>
            <w:shd w:val="clear" w:color="auto" w:fill="CCECFF"/>
          </w:tcPr>
          <w:p>
            <w:pPr>
              <w:spacing w:after="0"/>
              <w:rPr>
                <w:sz w:val="10"/>
                <w:szCs w:val="10"/>
                <w:color w:val="auto"/>
              </w:rPr>
            </w:pPr>
          </w:p>
        </w:tc>
        <w:tc>
          <w:tcPr>
            <w:tcW w:w="140" w:type="dxa"/>
            <w:vAlign w:val="bottom"/>
            <w:tcBorders>
              <w:top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ECFF"/>
          </w:tcPr>
          <w:p>
            <w:pPr>
              <w:ind w:left="160"/>
              <w:spacing w:after="0"/>
              <w:rPr>
                <w:sz w:val="20"/>
                <w:szCs w:val="20"/>
                <w:color w:val="auto"/>
              </w:rPr>
            </w:pPr>
            <w:r>
              <w:rPr>
                <w:rFonts w:ascii="Arial" w:cs="Arial" w:eastAsia="Arial" w:hAnsi="Arial"/>
                <w:sz w:val="14"/>
                <w:szCs w:val="14"/>
                <w:b w:val="1"/>
                <w:bCs w:val="1"/>
                <w:color w:val="auto"/>
              </w:rPr>
              <w:t>Affiliates</w:t>
            </w: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340,212,184</w:t>
            </w: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43,944,283</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(53,955,581)</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15,953,305</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367,065,352</w:t>
            </w: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(31,990,982)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5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Excludes delayed draw investments.</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2016.</w:t>
      </w: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2017.</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 March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169"/>
        </w:trPr>
        <w:tc>
          <w:tcPr>
            <w:tcW w:w="54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169"/>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Numerator for net increase (decrease) in net assets resulting from operations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11,459,670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3,949,637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35,508,796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(36,805,546)</w:t>
            </w:r>
          </w:p>
        </w:tc>
      </w:tr>
      <w:tr>
        <w:trPr>
          <w:trHeight w:val="189"/>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71,060,836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71,617,767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71,060,836</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72,182,224</w:t>
            </w:r>
          </w:p>
        </w:tc>
      </w:tr>
      <w:tr>
        <w:trPr>
          <w:trHeight w:val="189"/>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increase (decrease) in net assets resulting from operations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0.50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2017 and September 30, 2016, cash and cash equivalents consisted of $66.6 million and $75.6 million, respectively, at fair value.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9. FINANCIAL HIGHLIGHTS</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460" w:type="dxa"/>
            <w:vAlign w:val="bottom"/>
            <w:gridSpan w:val="2"/>
          </w:tcPr>
          <w:p>
            <w:pPr>
              <w:ind w:left="160"/>
              <w:spacing w:after="0"/>
              <w:rPr>
                <w:sz w:val="20"/>
                <w:szCs w:val="20"/>
                <w:color w:val="auto"/>
              </w:rPr>
            </w:pPr>
            <w:r>
              <w:rPr>
                <w:rFonts w:ascii="Arial" w:cs="Arial" w:eastAsia="Arial" w:hAnsi="Arial"/>
                <w:sz w:val="14"/>
                <w:szCs w:val="14"/>
                <w:color w:val="auto"/>
              </w:rPr>
              <w:t>Below are the financial highlights: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Per Share Data:</w:t>
            </w: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7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9.05</w:t>
            </w:r>
          </w:p>
        </w:tc>
        <w:tc>
          <w:tcPr>
            <w:tcW w:w="20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9.82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 xml:space="preserve">Net decrease in net assets resulting from operations </w:t>
            </w:r>
            <w:r>
              <w:rPr>
                <w:rFonts w:ascii="Arial" w:cs="Arial" w:eastAsia="Arial" w:hAnsi="Arial"/>
                <w:sz w:val="12"/>
                <w:szCs w:val="12"/>
                <w:color w:val="auto"/>
              </w:rPr>
              <w:t>(1)</w:t>
            </w:r>
          </w:p>
        </w:tc>
        <w:tc>
          <w:tcPr>
            <w:tcW w:w="14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0.50</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(0.51)</w:t>
            </w:r>
          </w:p>
        </w:tc>
        <w:tc>
          <w:tcPr>
            <w:tcW w:w="4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4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4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4820" w:type="dxa"/>
            <w:vAlign w:val="bottom"/>
            <w:tcBorders>
              <w:bottom w:val="single" w:sz="8" w:color="CCECFF"/>
            </w:tcBorders>
          </w:tcPr>
          <w:p>
            <w:pPr>
              <w:spacing w:after="0" w:line="142" w:lineRule="exact"/>
              <w:rPr>
                <w:sz w:val="20"/>
                <w:szCs w:val="20"/>
                <w:color w:val="auto"/>
              </w:rPr>
            </w:pPr>
            <w:r>
              <w:rPr>
                <w:rFonts w:ascii="Arial" w:cs="Arial" w:eastAsia="Arial" w:hAnsi="Arial"/>
                <w:sz w:val="14"/>
                <w:szCs w:val="14"/>
                <w:color w:val="auto"/>
              </w:rPr>
              <w:t>Net asset value, end of period</w:t>
            </w:r>
          </w:p>
        </w:tc>
        <w:tc>
          <w:tcPr>
            <w:tcW w:w="144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9.09</w:t>
            </w:r>
          </w:p>
        </w:tc>
        <w:tc>
          <w:tcPr>
            <w:tcW w:w="2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8.83</w:t>
            </w:r>
          </w:p>
        </w:tc>
        <w:tc>
          <w:tcPr>
            <w:tcW w:w="4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4820" w:type="dxa"/>
            <w:vAlign w:val="bottom"/>
            <w:tcBorders>
              <w:bottom w:val="single" w:sz="8" w:color="CCECFF"/>
            </w:tcBorders>
            <w:shd w:val="clear" w:color="auto" w:fill="CCECFF"/>
          </w:tcPr>
          <w:p>
            <w:pPr>
              <w:spacing w:after="0" w:line="129" w:lineRule="exact"/>
              <w:rPr>
                <w:sz w:val="20"/>
                <w:szCs w:val="20"/>
                <w:color w:val="auto"/>
              </w:rPr>
            </w:pPr>
            <w:r>
              <w:rPr>
                <w:rFonts w:ascii="Arial" w:cs="Arial" w:eastAsia="Arial" w:hAnsi="Arial"/>
                <w:sz w:val="14"/>
                <w:szCs w:val="14"/>
                <w:color w:val="auto"/>
              </w:rPr>
              <w:t>Per share market value, end of period</w:t>
            </w:r>
          </w:p>
        </w:tc>
        <w:tc>
          <w:tcPr>
            <w:tcW w:w="14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auto"/>
            </w:tcBorders>
            <w:shd w:val="clear" w:color="auto" w:fill="CCECFF"/>
          </w:tcPr>
          <w:p>
            <w:pPr>
              <w:jc w:val="right"/>
              <w:ind w:right="188"/>
              <w:spacing w:after="0" w:line="12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8.14</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6.06</w:t>
            </w:r>
          </w:p>
        </w:tc>
        <w:tc>
          <w:tcPr>
            <w:tcW w:w="4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640"/>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14.62%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gridSpan w:val="2"/>
          </w:tcPr>
          <w:p>
            <w:pPr>
              <w:jc w:val="right"/>
              <w:ind w:right="320"/>
              <w:spacing w:after="0" w:line="12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820" w:type="dxa"/>
            <w:vAlign w:val="bottom"/>
            <w:tcBorders>
              <w:bottom w:val="single" w:sz="8" w:color="CCECFF"/>
            </w:tcBorders>
            <w:shd w:val="clear" w:color="auto" w:fill="CCEC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4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Arial" w:cs="Arial" w:eastAsia="Arial" w:hAnsi="Arial"/>
                <w:sz w:val="14"/>
                <w:szCs w:val="14"/>
                <w:color w:val="auto"/>
              </w:rPr>
              <w:t>71,060,836</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Arial" w:cs="Arial" w:eastAsia="Arial" w:hAnsi="Arial"/>
                <w:sz w:val="14"/>
                <w:szCs w:val="14"/>
                <w:color w:val="auto"/>
              </w:rPr>
              <w:t>71,060,836</w:t>
            </w:r>
          </w:p>
        </w:tc>
        <w:tc>
          <w:tcPr>
            <w:tcW w:w="4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Ratios**/ Supplemental Data:</w:t>
            </w: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4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5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 xml:space="preserve">6.62% </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44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 w:type="dxa"/>
            <w:vAlign w:val="bottom"/>
          </w:tcPr>
          <w:p>
            <w:pPr>
              <w:spacing w:after="0"/>
              <w:rPr>
                <w:sz w:val="12"/>
                <w:szCs w:val="12"/>
                <w:color w:val="auto"/>
              </w:rPr>
            </w:pPr>
          </w:p>
        </w:tc>
        <w:tc>
          <w:tcPr>
            <w:tcW w:w="4820" w:type="dxa"/>
            <w:vAlign w:val="bottom"/>
            <w:vMerge w:val="continue"/>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80"/>
              <w:spacing w:after="0" w:line="142" w:lineRule="exact"/>
              <w:rPr>
                <w:sz w:val="20"/>
                <w:szCs w:val="20"/>
                <w:color w:val="auto"/>
              </w:rPr>
            </w:pPr>
            <w:r>
              <w:rPr>
                <w:rFonts w:ascii="Arial" w:cs="Arial" w:eastAsia="Arial" w:hAnsi="Arial"/>
                <w:sz w:val="14"/>
                <w:szCs w:val="14"/>
                <w:color w:val="auto"/>
              </w:rPr>
              <w:t>10.59%</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580" w:type="dxa"/>
            <w:vAlign w:val="bottom"/>
            <w:gridSpan w:val="2"/>
            <w:shd w:val="clear" w:color="auto" w:fill="CCECFF"/>
          </w:tcPr>
          <w:p>
            <w:pPr>
              <w:jc w:val="right"/>
              <w:ind w:right="140"/>
              <w:spacing w:after="0" w:line="142" w:lineRule="exact"/>
              <w:rPr>
                <w:sz w:val="20"/>
                <w:szCs w:val="20"/>
                <w:color w:val="auto"/>
              </w:rPr>
            </w:pPr>
            <w:r>
              <w:rPr>
                <w:rFonts w:ascii="Arial" w:cs="Arial" w:eastAsia="Arial" w:hAnsi="Arial"/>
                <w:sz w:val="14"/>
                <w:szCs w:val="14"/>
                <w:color w:val="auto"/>
              </w:rPr>
              <w:t xml:space="preserve">10.66% </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11.33% </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78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646,187,667</w:t>
            </w:r>
          </w:p>
        </w:tc>
        <w:tc>
          <w:tcPr>
            <w:tcW w:w="20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627,618,672</w:t>
            </w:r>
          </w:p>
        </w:tc>
        <w:tc>
          <w:tcPr>
            <w:tcW w:w="4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20" w:type="dxa"/>
            <w:vAlign w:val="bottom"/>
            <w:tcBorders>
              <w:bottom w:val="single" w:sz="8" w:color="CCECFF"/>
            </w:tcBorders>
          </w:tcPr>
          <w:p>
            <w:pPr>
              <w:spacing w:after="0" w:line="142"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440" w:type="dxa"/>
            <w:vAlign w:val="bottom"/>
            <w:tcBorders>
              <w:bottom w:val="single" w:sz="8" w:color="CCEC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635,354,299</w:t>
            </w:r>
          </w:p>
        </w:tc>
        <w:tc>
          <w:tcPr>
            <w:tcW w:w="2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619,033,076</w:t>
            </w:r>
          </w:p>
        </w:tc>
        <w:tc>
          <w:tcPr>
            <w:tcW w:w="44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2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440" w:type="dxa"/>
            <w:vAlign w:val="bottom"/>
            <w:shd w:val="clear" w:color="auto" w:fill="CCECFF"/>
          </w:tcPr>
          <w:p>
            <w:pPr>
              <w:spacing w:after="0"/>
              <w:rPr>
                <w:sz w:val="12"/>
                <w:szCs w:val="12"/>
                <w:color w:val="auto"/>
              </w:rPr>
            </w:pPr>
          </w:p>
        </w:tc>
        <w:tc>
          <w:tcPr>
            <w:tcW w:w="340" w:type="dxa"/>
            <w:vAlign w:val="bottom"/>
            <w:shd w:val="clear" w:color="auto" w:fill="CCEC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CFF"/>
          </w:tcPr>
          <w:p>
            <w:pPr>
              <w:jc w:val="right"/>
              <w:spacing w:after="0" w:line="142" w:lineRule="exact"/>
              <w:rPr>
                <w:sz w:val="20"/>
                <w:szCs w:val="20"/>
                <w:color w:val="auto"/>
              </w:rPr>
            </w:pPr>
            <w:r>
              <w:rPr>
                <w:rFonts w:ascii="Arial" w:cs="Arial" w:eastAsia="Arial" w:hAnsi="Arial"/>
                <w:sz w:val="14"/>
                <w:szCs w:val="14"/>
                <w:color w:val="auto"/>
              </w:rPr>
              <w:t>8.94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CFF"/>
          </w:tcPr>
          <w:p>
            <w:pPr>
              <w:jc w:val="right"/>
              <w:spacing w:after="0" w:line="142" w:lineRule="exact"/>
              <w:rPr>
                <w:sz w:val="20"/>
                <w:szCs w:val="20"/>
                <w:color w:val="auto"/>
              </w:rPr>
            </w:pPr>
            <w:r>
              <w:rPr>
                <w:rFonts w:ascii="Arial" w:cs="Arial" w:eastAsia="Arial" w:hAnsi="Arial"/>
                <w:sz w:val="14"/>
                <w:szCs w:val="14"/>
                <w:color w:val="auto"/>
              </w:rPr>
              <w:t>8.58</w:t>
            </w:r>
          </w:p>
        </w:tc>
        <w:tc>
          <w:tcPr>
            <w:tcW w:w="4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7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2,554</w:t>
            </w:r>
          </w:p>
        </w:tc>
        <w:tc>
          <w:tcPr>
            <w:tcW w:w="20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2,416</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4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44.13%</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580" w:type="dxa"/>
            <w:vAlign w:val="bottom"/>
            <w:gridSpan w:val="2"/>
            <w:shd w:val="clear" w:color="auto" w:fill="CCECFF"/>
          </w:tcPr>
          <w:p>
            <w:pPr>
              <w:jc w:val="right"/>
              <w:ind w:right="320"/>
              <w:spacing w:after="0"/>
              <w:rPr>
                <w:sz w:val="20"/>
                <w:szCs w:val="20"/>
                <w:color w:val="auto"/>
              </w:rPr>
            </w:pPr>
            <w:r>
              <w:rPr>
                <w:rFonts w:ascii="Arial" w:cs="Arial" w:eastAsia="Arial" w:hAnsi="Arial"/>
                <w:sz w:val="14"/>
                <w:szCs w:val="14"/>
                <w:color w:val="auto"/>
              </w:rPr>
              <w:t>32.13%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right="8240" w:firstLine="8"/>
        <w:spacing w:after="0" w:line="276" w:lineRule="auto"/>
        <w:tabs>
          <w:tab w:leader="none" w:pos="36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780" w:hanging="352"/>
        <w:spacing w:after="0" w:line="281"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3"/>
          <w:szCs w:val="13"/>
          <w:color w:val="auto"/>
        </w:rPr>
        <w:t>For the six months ended March 31, 2017 and 2016, the ratio of operating expenses before the waiver of certain Management Fees to average net assets was 7.27% and 7.63%, respectively, and the ratio of total expenses before the waiver of certain Management Fees to average net assets was 11.55% and 11.67%, respectively.</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Does not annualize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ind w:left="360" w:right="80" w:hanging="352"/>
        <w:spacing w:after="0" w:line="272"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3"/>
          <w:szCs w:val="13"/>
          <w:color w:val="auto"/>
        </w:rPr>
        <w:t>Our annualized weighted average cost of debt for the six months ended March 31, 2017 and 2016, inclusive of the fee on the undrawn commitment on the Credit Facility, amortized upfront fees on SBA debentures and debt issuance costs, was 4.38% and 4.42%,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180" w:firstLine="452"/>
        <w:spacing w:after="0" w:line="231" w:lineRule="auto"/>
        <w:rPr>
          <w:sz w:val="20"/>
          <w:szCs w:val="20"/>
          <w:color w:val="auto"/>
        </w:rPr>
      </w:pPr>
      <w:r>
        <w:rPr>
          <w:rFonts w:ascii="Arial" w:cs="Arial" w:eastAsia="Arial" w:hAnsi="Arial"/>
          <w:sz w:val="14"/>
          <w:szCs w:val="14"/>
          <w:color w:val="auto"/>
        </w:rPr>
        <w:t>As of March 31, 2017, we had a $545 million multi-currency Credit Facility with certain lenders and SunTrust Bank, acting as administrative agent, and JPMorgan Chase Bank, N.A., acting as syndication agent for the lenders. As of March 31, 2017 and September 30, 2016, there was $99.6 million and $50.3 million, respectively, in outstanding borrowings under the Credit Facility. The Credit Facility had a weighted average interest rate of 2.62% and 2.76%, as of March 31, 2017 and September 30, 2016, respectively, excluding the undrawn commitment fees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260" w:firstLine="434"/>
        <w:spacing w:after="0" w:line="231"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March 31, 2017. We have funded SBIC II with $75.0 million of equity capital, and it had SBA debentures outstanding of $47.5 million and commitments from the SBA for another $27.5 million of debentures as of March 31, 2017. SBA debentures are non-recourse to us and may be prepaid at any time without penalty. The interest rate of SBA debentures is fixed at the time of issuance, often referred to as pooling, at a market-driven spread over 10-year U.S. Treasury Notes. Under current SBA regulations, a</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SBIC may individually borrow to a maximum of $150.0 million, which is up to twice its potential regulatory capital, and as part of a group of SBICs under common control may borrow a maximum of $350.0 million in the aggregate.</w:t>
      </w:r>
    </w:p>
    <w:p>
      <w:pPr>
        <w:spacing w:after="0" w:line="106"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As of March 31, 2017 and September 30, 2016, our SBIC Funds had $225.0 million in debt commitments, of which $197.5 million was drawn. As of March 31, 2017 and September 30, 2016, the unamortized fees on the SBA debentures was $3.9 million and $4.3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March 31, 2017 and September 30, 2016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ind w:left="1100"/>
              <w:spacing w:after="0"/>
              <w:rPr>
                <w:sz w:val="20"/>
                <w:szCs w:val="20"/>
                <w:color w:val="auto"/>
              </w:rPr>
            </w:pPr>
            <w:r>
              <w:rPr>
                <w:rFonts w:ascii="Arial" w:cs="Arial" w:eastAsia="Arial" w:hAnsi="Arial"/>
                <w:sz w:val="14"/>
                <w:szCs w:val="14"/>
                <w:b w:val="1"/>
                <w:bCs w:val="1"/>
                <w:color w:val="auto"/>
              </w:rPr>
              <w:t>Issuance Dates</w:t>
            </w:r>
          </w:p>
        </w:tc>
        <w:tc>
          <w:tcPr>
            <w:tcW w:w="380" w:type="dxa"/>
            <w:vAlign w:val="bottom"/>
          </w:tcPr>
          <w:p>
            <w:pPr>
              <w:spacing w:after="0"/>
              <w:rPr>
                <w:sz w:val="14"/>
                <w:szCs w:val="14"/>
                <w:color w:val="auto"/>
              </w:rPr>
            </w:pPr>
          </w:p>
        </w:tc>
        <w:tc>
          <w:tcPr>
            <w:tcW w:w="2600" w:type="dxa"/>
            <w:vAlign w:val="bottom"/>
            <w:gridSpan w:val="2"/>
          </w:tcPr>
          <w:p>
            <w:pPr>
              <w:ind w:left="840"/>
              <w:spacing w:after="0"/>
              <w:rPr>
                <w:sz w:val="20"/>
                <w:szCs w:val="20"/>
                <w:color w:val="auto"/>
              </w:rPr>
            </w:pPr>
            <w:r>
              <w:rPr>
                <w:rFonts w:ascii="Arial" w:cs="Arial" w:eastAsia="Arial" w:hAnsi="Arial"/>
                <w:sz w:val="14"/>
                <w:szCs w:val="14"/>
                <w:b w:val="1"/>
                <w:bCs w:val="1"/>
                <w:color w:val="auto"/>
              </w:rPr>
              <w:t>Maturity</w:t>
            </w:r>
          </w:p>
        </w:tc>
        <w:tc>
          <w:tcPr>
            <w:tcW w:w="2480" w:type="dxa"/>
            <w:vAlign w:val="bottom"/>
            <w:gridSpan w:val="2"/>
          </w:tcPr>
          <w:p>
            <w:pPr>
              <w:ind w:left="2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500" w:type="dxa"/>
            <w:vAlign w:val="bottom"/>
          </w:tcPr>
          <w:p>
            <w:pPr>
              <w:spacing w:after="0"/>
              <w:rPr>
                <w:sz w:val="14"/>
                <w:szCs w:val="1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Principal Balance</w:t>
            </w:r>
          </w:p>
        </w:tc>
      </w:tr>
      <w:tr>
        <w:trPr>
          <w:trHeight w:val="142"/>
        </w:trPr>
        <w:tc>
          <w:tcPr>
            <w:tcW w:w="308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September 22, 2010</w:t>
            </w:r>
          </w:p>
        </w:tc>
        <w:tc>
          <w:tcPr>
            <w:tcW w:w="380" w:type="dxa"/>
            <w:vAlign w:val="bottom"/>
            <w:tcBorders>
              <w:top w:val="single" w:sz="8" w:color="CCECFF"/>
            </w:tcBorders>
            <w:shd w:val="clear" w:color="auto" w:fill="CCECFF"/>
          </w:tcPr>
          <w:p>
            <w:pPr>
              <w:spacing w:after="0"/>
              <w:rPr>
                <w:sz w:val="12"/>
                <w:szCs w:val="12"/>
                <w:color w:val="auto"/>
              </w:rPr>
            </w:pPr>
          </w:p>
        </w:tc>
        <w:tc>
          <w:tcPr>
            <w:tcW w:w="224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September 1, 2020</w:t>
            </w:r>
          </w:p>
        </w:tc>
        <w:tc>
          <w:tcPr>
            <w:tcW w:w="360" w:type="dxa"/>
            <w:vAlign w:val="bottom"/>
            <w:tcBorders>
              <w:top w:val="single" w:sz="8" w:color="CCECFF"/>
            </w:tcBorders>
            <w:shd w:val="clear" w:color="auto" w:fill="CCECFF"/>
          </w:tcPr>
          <w:p>
            <w:pPr>
              <w:spacing w:after="0"/>
              <w:rPr>
                <w:sz w:val="12"/>
                <w:szCs w:val="12"/>
                <w:color w:val="auto"/>
              </w:rPr>
            </w:pPr>
          </w:p>
        </w:tc>
        <w:tc>
          <w:tcPr>
            <w:tcW w:w="2120" w:type="dxa"/>
            <w:vAlign w:val="bottom"/>
            <w:tcBorders>
              <w:top w:val="single" w:sz="8" w:color="auto"/>
            </w:tcBorders>
            <w:shd w:val="clear" w:color="auto" w:fill="CCECFF"/>
          </w:tcPr>
          <w:p>
            <w:pPr>
              <w:ind w:left="1880"/>
              <w:spacing w:after="0"/>
              <w:rPr>
                <w:sz w:val="20"/>
                <w:szCs w:val="20"/>
                <w:color w:val="auto"/>
              </w:rPr>
            </w:pPr>
            <w:r>
              <w:rPr>
                <w:rFonts w:ascii="Arial" w:cs="Arial" w:eastAsia="Arial" w:hAnsi="Arial"/>
                <w:sz w:val="11"/>
                <w:szCs w:val="11"/>
                <w:color w:val="auto"/>
                <w:w w:val="70"/>
              </w:rPr>
              <w:t>3.50%</w:t>
            </w:r>
          </w:p>
        </w:tc>
        <w:tc>
          <w:tcPr>
            <w:tcW w:w="360" w:type="dxa"/>
            <w:vAlign w:val="bottom"/>
            <w:tcBorders>
              <w:top w:val="single" w:sz="8" w:color="CCECFF"/>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500,000</w:t>
            </w:r>
          </w:p>
        </w:tc>
        <w:tc>
          <w:tcPr>
            <w:tcW w:w="360" w:type="dxa"/>
            <w:vAlign w:val="bottom"/>
            <w:tcBorders>
              <w:top w:val="single" w:sz="8" w:color="CCECFF"/>
            </w:tcBorders>
            <w:gridSpan w:val="2"/>
            <w:shd w:val="clear" w:color="auto" w:fill="CCECFF"/>
          </w:tcPr>
          <w:p>
            <w:pPr>
              <w:spacing w:after="0"/>
              <w:rPr>
                <w:sz w:val="12"/>
                <w:szCs w:val="12"/>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March 29, 2011</w:t>
            </w:r>
          </w:p>
        </w:tc>
        <w:tc>
          <w:tcPr>
            <w:tcW w:w="2980" w:type="dxa"/>
            <w:vAlign w:val="bottom"/>
            <w:gridSpan w:val="3"/>
          </w:tcPr>
          <w:p>
            <w:pPr>
              <w:ind w:left="380"/>
              <w:spacing w:after="0"/>
              <w:rPr>
                <w:sz w:val="20"/>
                <w:szCs w:val="20"/>
                <w:color w:val="auto"/>
              </w:rPr>
            </w:pPr>
            <w:r>
              <w:rPr>
                <w:rFonts w:ascii="Arial" w:cs="Arial" w:eastAsia="Arial" w:hAnsi="Arial"/>
                <w:sz w:val="14"/>
                <w:szCs w:val="14"/>
                <w:color w:val="auto"/>
              </w:rPr>
              <w:t>March 1, 2021</w:t>
            </w:r>
          </w:p>
        </w:tc>
        <w:tc>
          <w:tcPr>
            <w:tcW w:w="2480" w:type="dxa"/>
            <w:vAlign w:val="bottom"/>
            <w:gridSpan w:val="2"/>
          </w:tcPr>
          <w:p>
            <w:pPr>
              <w:ind w:left="1880"/>
              <w:spacing w:after="0"/>
              <w:rPr>
                <w:sz w:val="20"/>
                <w:szCs w:val="20"/>
                <w:color w:val="auto"/>
              </w:rPr>
            </w:pPr>
            <w:r>
              <w:rPr>
                <w:rFonts w:ascii="Arial" w:cs="Arial" w:eastAsia="Arial" w:hAnsi="Arial"/>
                <w:sz w:val="14"/>
                <w:szCs w:val="14"/>
                <w:color w:val="auto"/>
              </w:rPr>
              <w:t>4.46</w:t>
            </w:r>
          </w:p>
        </w:tc>
        <w:tc>
          <w:tcPr>
            <w:tcW w:w="500" w:type="dxa"/>
            <w:vAlign w:val="bottom"/>
          </w:tcPr>
          <w:p>
            <w:pPr>
              <w:spacing w:after="0"/>
              <w:rPr>
                <w:sz w:val="14"/>
                <w:szCs w:val="14"/>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44,500,000</w:t>
            </w:r>
          </w:p>
        </w:tc>
        <w:tc>
          <w:tcPr>
            <w:tcW w:w="340" w:type="dxa"/>
            <w:vAlign w:val="bottom"/>
          </w:tcPr>
          <w:p>
            <w:pPr>
              <w:spacing w:after="0"/>
              <w:rPr>
                <w:sz w:val="14"/>
                <w:szCs w:val="14"/>
                <w:color w:val="auto"/>
              </w:rPr>
            </w:pPr>
          </w:p>
        </w:tc>
      </w:tr>
      <w:tr>
        <w:trPr>
          <w:trHeight w:val="162"/>
        </w:trPr>
        <w:tc>
          <w:tcPr>
            <w:tcW w:w="30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2011</w:t>
            </w:r>
          </w:p>
        </w:tc>
        <w:tc>
          <w:tcPr>
            <w:tcW w:w="2980" w:type="dxa"/>
            <w:vAlign w:val="bottom"/>
            <w:gridSpan w:val="3"/>
            <w:shd w:val="clear" w:color="auto" w:fill="CCECFF"/>
          </w:tcPr>
          <w:p>
            <w:pPr>
              <w:ind w:left="380"/>
              <w:spacing w:after="0"/>
              <w:rPr>
                <w:sz w:val="20"/>
                <w:szCs w:val="20"/>
                <w:color w:val="auto"/>
              </w:rPr>
            </w:pPr>
            <w:r>
              <w:rPr>
                <w:rFonts w:ascii="Arial" w:cs="Arial" w:eastAsia="Arial" w:hAnsi="Arial"/>
                <w:sz w:val="14"/>
                <w:szCs w:val="14"/>
                <w:color w:val="auto"/>
              </w:rPr>
              <w:t>September 1, 2021</w:t>
            </w:r>
          </w:p>
        </w:tc>
        <w:tc>
          <w:tcPr>
            <w:tcW w:w="2480" w:type="dxa"/>
            <w:vAlign w:val="bottom"/>
            <w:gridSpan w:val="2"/>
            <w:shd w:val="clear" w:color="auto" w:fill="CCECFF"/>
          </w:tcPr>
          <w:p>
            <w:pPr>
              <w:ind w:left="1880"/>
              <w:spacing w:after="0"/>
              <w:rPr>
                <w:sz w:val="20"/>
                <w:szCs w:val="20"/>
                <w:color w:val="auto"/>
              </w:rPr>
            </w:pPr>
            <w:r>
              <w:rPr>
                <w:rFonts w:ascii="Arial" w:cs="Arial" w:eastAsia="Arial" w:hAnsi="Arial"/>
                <w:sz w:val="14"/>
                <w:szCs w:val="14"/>
                <w:color w:val="auto"/>
              </w:rPr>
              <w:t>3.38</w:t>
            </w:r>
          </w:p>
        </w:tc>
        <w:tc>
          <w:tcPr>
            <w:tcW w:w="500" w:type="dxa"/>
            <w:vAlign w:val="bottom"/>
            <w:shd w:val="clear" w:color="auto" w:fill="CCECFF"/>
          </w:tcPr>
          <w:p>
            <w:pPr>
              <w:spacing w:after="0"/>
              <w:rPr>
                <w:sz w:val="14"/>
                <w:szCs w:val="14"/>
                <w:color w:val="auto"/>
              </w:rPr>
            </w:pPr>
          </w:p>
        </w:tc>
        <w:tc>
          <w:tcPr>
            <w:tcW w:w="18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105,000,000</w:t>
            </w:r>
          </w:p>
        </w:tc>
        <w:tc>
          <w:tcPr>
            <w:tcW w:w="340" w:type="dxa"/>
            <w:vAlign w:val="bottom"/>
            <w:shd w:val="clear" w:color="auto" w:fill="CCECFF"/>
          </w:tcPr>
          <w:p>
            <w:pPr>
              <w:spacing w:after="0"/>
              <w:rPr>
                <w:sz w:val="14"/>
                <w:szCs w:val="14"/>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March 23, 2016</w:t>
            </w:r>
          </w:p>
        </w:tc>
        <w:tc>
          <w:tcPr>
            <w:tcW w:w="2980" w:type="dxa"/>
            <w:vAlign w:val="bottom"/>
            <w:gridSpan w:val="3"/>
          </w:tcPr>
          <w:p>
            <w:pPr>
              <w:ind w:left="380"/>
              <w:spacing w:after="0"/>
              <w:rPr>
                <w:sz w:val="20"/>
                <w:szCs w:val="20"/>
                <w:color w:val="auto"/>
              </w:rPr>
            </w:pPr>
            <w:r>
              <w:rPr>
                <w:rFonts w:ascii="Arial" w:cs="Arial" w:eastAsia="Arial" w:hAnsi="Arial"/>
                <w:sz w:val="14"/>
                <w:szCs w:val="14"/>
                <w:color w:val="auto"/>
              </w:rPr>
              <w:t>March 1, 2026</w:t>
            </w:r>
          </w:p>
        </w:tc>
        <w:tc>
          <w:tcPr>
            <w:tcW w:w="2480" w:type="dxa"/>
            <w:vAlign w:val="bottom"/>
            <w:gridSpan w:val="2"/>
          </w:tcPr>
          <w:p>
            <w:pPr>
              <w:ind w:left="1880"/>
              <w:spacing w:after="0"/>
              <w:rPr>
                <w:sz w:val="20"/>
                <w:szCs w:val="20"/>
                <w:color w:val="auto"/>
              </w:rPr>
            </w:pPr>
            <w:r>
              <w:rPr>
                <w:rFonts w:ascii="Arial" w:cs="Arial" w:eastAsia="Arial" w:hAnsi="Arial"/>
                <w:sz w:val="14"/>
                <w:szCs w:val="14"/>
                <w:color w:val="auto"/>
              </w:rPr>
              <w:t>2.86</w:t>
            </w:r>
          </w:p>
        </w:tc>
        <w:tc>
          <w:tcPr>
            <w:tcW w:w="500" w:type="dxa"/>
            <w:vAlign w:val="bottom"/>
          </w:tcPr>
          <w:p>
            <w:pPr>
              <w:spacing w:after="0"/>
              <w:rPr>
                <w:sz w:val="14"/>
                <w:szCs w:val="14"/>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22,500,000</w:t>
            </w:r>
          </w:p>
        </w:tc>
        <w:tc>
          <w:tcPr>
            <w:tcW w:w="340" w:type="dxa"/>
            <w:vAlign w:val="bottom"/>
          </w:tcPr>
          <w:p>
            <w:pPr>
              <w:spacing w:after="0"/>
              <w:rPr>
                <w:sz w:val="14"/>
                <w:szCs w:val="14"/>
                <w:color w:val="auto"/>
              </w:rPr>
            </w:pPr>
          </w:p>
        </w:tc>
      </w:tr>
      <w:tr>
        <w:trPr>
          <w:trHeight w:val="162"/>
        </w:trPr>
        <w:tc>
          <w:tcPr>
            <w:tcW w:w="30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980" w:type="dxa"/>
            <w:vAlign w:val="bottom"/>
            <w:gridSpan w:val="3"/>
            <w:shd w:val="clear" w:color="auto" w:fill="CCECFF"/>
          </w:tcPr>
          <w:p>
            <w:pPr>
              <w:ind w:left="380"/>
              <w:spacing w:after="0"/>
              <w:rPr>
                <w:sz w:val="20"/>
                <w:szCs w:val="20"/>
                <w:color w:val="auto"/>
              </w:rPr>
            </w:pPr>
            <w:r>
              <w:rPr>
                <w:rFonts w:ascii="Arial" w:cs="Arial" w:eastAsia="Arial" w:hAnsi="Arial"/>
                <w:sz w:val="14"/>
                <w:szCs w:val="14"/>
                <w:color w:val="auto"/>
              </w:rPr>
              <w:t>September 1, 2026</w:t>
            </w:r>
          </w:p>
        </w:tc>
        <w:tc>
          <w:tcPr>
            <w:tcW w:w="2480" w:type="dxa"/>
            <w:vAlign w:val="bottom"/>
            <w:gridSpan w:val="2"/>
            <w:shd w:val="clear" w:color="auto" w:fill="CCECFF"/>
          </w:tcPr>
          <w:p>
            <w:pPr>
              <w:ind w:left="1880"/>
              <w:spacing w:after="0"/>
              <w:rPr>
                <w:sz w:val="20"/>
                <w:szCs w:val="20"/>
                <w:color w:val="auto"/>
              </w:rPr>
            </w:pPr>
            <w:r>
              <w:rPr>
                <w:rFonts w:ascii="Arial" w:cs="Arial" w:eastAsia="Arial" w:hAnsi="Arial"/>
                <w:sz w:val="14"/>
                <w:szCs w:val="14"/>
                <w:color w:val="auto"/>
              </w:rPr>
              <w:t>2.41</w:t>
            </w:r>
          </w:p>
        </w:tc>
        <w:tc>
          <w:tcPr>
            <w:tcW w:w="500" w:type="dxa"/>
            <w:vAlign w:val="bottom"/>
            <w:shd w:val="clear" w:color="auto" w:fill="CCECFF"/>
          </w:tcPr>
          <w:p>
            <w:pPr>
              <w:spacing w:after="0"/>
              <w:rPr>
                <w:sz w:val="14"/>
                <w:szCs w:val="14"/>
                <w:color w:val="auto"/>
              </w:rPr>
            </w:pPr>
          </w:p>
        </w:tc>
        <w:tc>
          <w:tcPr>
            <w:tcW w:w="18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25,000,000</w:t>
            </w:r>
          </w:p>
        </w:tc>
        <w:tc>
          <w:tcPr>
            <w:tcW w:w="340" w:type="dxa"/>
            <w:vAlign w:val="bottom"/>
            <w:shd w:val="clear" w:color="auto" w:fill="CCECFF"/>
          </w:tcPr>
          <w:p>
            <w:pPr>
              <w:spacing w:after="0"/>
              <w:rPr>
                <w:sz w:val="14"/>
                <w:szCs w:val="14"/>
                <w:color w:val="auto"/>
              </w:rPr>
            </w:pPr>
          </w:p>
        </w:tc>
      </w:tr>
      <w:tr>
        <w:trPr>
          <w:trHeight w:val="142"/>
        </w:trPr>
        <w:tc>
          <w:tcPr>
            <w:tcW w:w="3080" w:type="dxa"/>
            <w:vAlign w:val="bottom"/>
          </w:tcPr>
          <w:p>
            <w:pPr>
              <w:spacing w:after="0" w:line="142" w:lineRule="exact"/>
              <w:rPr>
                <w:sz w:val="20"/>
                <w:szCs w:val="20"/>
                <w:color w:val="auto"/>
              </w:rPr>
            </w:pPr>
            <w:r>
              <w:rPr>
                <w:rFonts w:ascii="Arial" w:cs="Arial" w:eastAsia="Arial" w:hAnsi="Arial"/>
                <w:sz w:val="14"/>
                <w:szCs w:val="14"/>
                <w:color w:val="auto"/>
              </w:rPr>
              <w:t>Weighted Average Rate / Total</w:t>
            </w:r>
          </w:p>
        </w:tc>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Borders>
              <w:top w:val="single" w:sz="8" w:color="auto"/>
              <w:bottom w:val="single" w:sz="8" w:color="auto"/>
            </w:tcBorders>
          </w:tcPr>
          <w:p>
            <w:pPr>
              <w:ind w:left="1880"/>
              <w:spacing w:after="0"/>
              <w:rPr>
                <w:sz w:val="20"/>
                <w:szCs w:val="20"/>
                <w:color w:val="auto"/>
              </w:rPr>
            </w:pPr>
            <w:r>
              <w:rPr>
                <w:rFonts w:ascii="Arial" w:cs="Arial" w:eastAsia="Arial" w:hAnsi="Arial"/>
                <w:sz w:val="11"/>
                <w:szCs w:val="11"/>
                <w:color w:val="auto"/>
                <w:w w:val="70"/>
              </w:rPr>
              <w:t>3.44%</w:t>
            </w:r>
          </w:p>
        </w:tc>
        <w:tc>
          <w:tcPr>
            <w:tcW w:w="3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197,500,000</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3" w:lineRule="exact"/>
        <w:rPr>
          <w:sz w:val="20"/>
          <w:szCs w:val="20"/>
          <w:color w:val="auto"/>
        </w:rPr>
      </w:pPr>
    </w:p>
    <w:p>
      <w:pPr>
        <w:ind w:left="460" w:hanging="371"/>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4"/>
          <w:szCs w:val="14"/>
          <w:color w:val="auto"/>
        </w:rPr>
        <w:t>Excludes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6"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2017,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firstLine="456"/>
        <w:spacing w:after="0" w:line="264" w:lineRule="auto"/>
        <w:rPr>
          <w:sz w:val="20"/>
          <w:szCs w:val="20"/>
          <w:color w:val="auto"/>
        </w:rPr>
      </w:pPr>
      <w:r>
        <w:rPr>
          <w:rFonts w:ascii="Arial" w:cs="Arial" w:eastAsia="Arial" w:hAnsi="Arial"/>
          <w:sz w:val="13"/>
          <w:szCs w:val="13"/>
          <w:color w:val="auto"/>
        </w:rPr>
        <w:t>As of March 31, 2017 and September 30,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31, 2017 and September 30, 2016, we had $71.3 million in aggregate principal amount of 2025 Notes outstanding. Interest on the 2025 Notes is paid quarterly on</w:t>
      </w:r>
    </w:p>
    <w:p>
      <w:pPr>
        <w:ind w:right="220"/>
        <w:spacing w:after="0" w:line="232" w:lineRule="auto"/>
        <w:rPr>
          <w:sz w:val="20"/>
          <w:szCs w:val="20"/>
          <w:color w:val="auto"/>
        </w:rPr>
      </w:pPr>
      <w:r>
        <w:rPr>
          <w:rFonts w:ascii="Arial" w:cs="Arial" w:eastAsia="Arial" w:hAnsi="Arial"/>
          <w:sz w:val="14"/>
          <w:szCs w:val="14"/>
          <w:color w:val="auto"/>
        </w:rPr>
        <w:t>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2017 and September 30, 2016, we had $7.3 million and $3.1 million, respectively, in commitments to fund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40"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March 31, 2017 and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March 31, 2017 and September 30, 2016 as well as for the three and six months ended March 31, 2017 and 2016.</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42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Pr>
          <w:p>
            <w:pPr>
              <w:jc w:val="right"/>
              <w:ind w:right="768"/>
              <w:spacing w:after="0"/>
              <w:rPr>
                <w:sz w:val="20"/>
                <w:szCs w:val="20"/>
                <w:color w:val="auto"/>
              </w:rPr>
            </w:pPr>
            <w:r>
              <w:rPr>
                <w:rFonts w:ascii="Arial" w:cs="Arial" w:eastAsia="Arial" w:hAnsi="Arial"/>
                <w:sz w:val="14"/>
                <w:szCs w:val="14"/>
                <w:b w:val="1"/>
                <w:bCs w:val="1"/>
                <w:color w:val="auto"/>
              </w:rPr>
              <w:t>March 31, 2017</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gridSpan w:val="2"/>
          </w:tcPr>
          <w:p>
            <w:pPr>
              <w:ind w:left="380"/>
              <w:spacing w:after="0"/>
              <w:rPr>
                <w:sz w:val="20"/>
                <w:szCs w:val="20"/>
                <w:color w:val="auto"/>
              </w:rPr>
            </w:pPr>
            <w:r>
              <w:rPr>
                <w:rFonts w:ascii="Arial" w:cs="Arial" w:eastAsia="Arial" w:hAnsi="Arial"/>
                <w:sz w:val="14"/>
                <w:szCs w:val="14"/>
                <w:b w:val="1"/>
                <w:bCs w:val="1"/>
                <w:color w:val="auto"/>
              </w:rPr>
              <w:t>September 30, 2016</w:t>
            </w: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2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6,209,236</w:t>
            </w:r>
          </w:p>
        </w:tc>
        <w:tc>
          <w:tcPr>
            <w:tcW w:w="560" w:type="dxa"/>
            <w:vAlign w:val="bottom"/>
            <w:tcBorders>
              <w:top w:val="single" w:sz="8" w:color="CCECFF"/>
            </w:tcBorders>
            <w:shd w:val="clear" w:color="auto" w:fill="CCECFF"/>
          </w:tcPr>
          <w:p>
            <w:pPr>
              <w:spacing w:after="0"/>
              <w:rPr>
                <w:sz w:val="13"/>
                <w:szCs w:val="13"/>
                <w:color w:val="auto"/>
              </w:rPr>
            </w:pPr>
          </w:p>
        </w:tc>
        <w:tc>
          <w:tcPr>
            <w:tcW w:w="440" w:type="dxa"/>
            <w:vAlign w:val="bottom"/>
            <w:tcBorders>
              <w:top w:val="single" w:sz="8" w:color="auto"/>
            </w:tcBorders>
            <w:shd w:val="clear" w:color="auto" w:fill="CCECFF"/>
          </w:tcPr>
          <w:p>
            <w:pPr>
              <w:jc w:val="right"/>
              <w:ind w:right="329"/>
              <w:spacing w:after="0"/>
              <w:rPr>
                <w:sz w:val="20"/>
                <w:szCs w:val="20"/>
                <w:color w:val="auto"/>
              </w:rPr>
            </w:pPr>
            <w:r>
              <w:rPr>
                <w:rFonts w:ascii="Arial" w:cs="Arial" w:eastAsia="Arial" w:hAnsi="Arial"/>
                <w:sz w:val="10"/>
                <w:szCs w:val="10"/>
                <w:color w:val="auto"/>
                <w:w w:val="71"/>
              </w:rPr>
              <w:t>$</w:t>
            </w:r>
          </w:p>
        </w:tc>
        <w:tc>
          <w:tcPr>
            <w:tcW w:w="2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1,871,645</w:t>
            </w:r>
          </w:p>
        </w:tc>
        <w:tc>
          <w:tcPr>
            <w:tcW w:w="280" w:type="dxa"/>
            <w:vAlign w:val="bottom"/>
            <w:tcBorders>
              <w:top w:val="single" w:sz="8" w:color="CCECFF"/>
            </w:tcBorders>
            <w:shd w:val="clear" w:color="auto" w:fill="CCECFF"/>
          </w:tcPr>
          <w:p>
            <w:pPr>
              <w:spacing w:after="0"/>
              <w:rPr>
                <w:sz w:val="13"/>
                <w:szCs w:val="13"/>
                <w:color w:val="auto"/>
              </w:rPr>
            </w:pPr>
          </w:p>
        </w:tc>
      </w:tr>
      <w:tr>
        <w:trPr>
          <w:trHeight w:val="175"/>
        </w:trPr>
        <w:tc>
          <w:tcPr>
            <w:tcW w:w="3420" w:type="dxa"/>
            <w:vAlign w:val="bottom"/>
          </w:tcPr>
          <w:p>
            <w:pPr>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20,668,665</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35,306,598</w:t>
            </w:r>
          </w:p>
        </w:tc>
        <w:tc>
          <w:tcPr>
            <w:tcW w:w="280" w:type="dxa"/>
            <w:vAlign w:val="bottom"/>
          </w:tcPr>
          <w:p>
            <w:pPr>
              <w:spacing w:after="0"/>
              <w:rPr>
                <w:sz w:val="15"/>
                <w:szCs w:val="15"/>
                <w:color w:val="auto"/>
              </w:rPr>
            </w:pPr>
          </w:p>
        </w:tc>
      </w:tr>
      <w:tr>
        <w:trPr>
          <w:trHeight w:val="175"/>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3,995,953</w:t>
            </w:r>
          </w:p>
        </w:tc>
        <w:tc>
          <w:tcPr>
            <w:tcW w:w="56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4,338,002</w:t>
            </w:r>
          </w:p>
        </w:tc>
        <w:tc>
          <w:tcPr>
            <w:tcW w:w="280" w:type="dxa"/>
            <w:vAlign w:val="bottom"/>
            <w:shd w:val="clear" w:color="auto" w:fill="CCECFF"/>
          </w:tcPr>
          <w:p>
            <w:pPr>
              <w:spacing w:after="0"/>
              <w:rPr>
                <w:sz w:val="15"/>
                <w:szCs w:val="15"/>
                <w:color w:val="auto"/>
              </w:rPr>
            </w:pPr>
          </w:p>
        </w:tc>
      </w:tr>
      <w:tr>
        <w:trPr>
          <w:trHeight w:val="191"/>
        </w:trPr>
        <w:tc>
          <w:tcPr>
            <w:tcW w:w="3420" w:type="dxa"/>
            <w:vAlign w:val="bottom"/>
          </w:tcPr>
          <w:p>
            <w:pPr>
              <w:spacing w:after="0"/>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91,577,820</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90,737,483</w:t>
            </w:r>
          </w:p>
        </w:tc>
        <w:tc>
          <w:tcPr>
            <w:tcW w:w="280" w:type="dxa"/>
            <w:vAlign w:val="bottom"/>
          </w:tcPr>
          <w:p>
            <w:pPr>
              <w:spacing w:after="0"/>
              <w:rPr>
                <w:sz w:val="16"/>
                <w:szCs w:val="16"/>
                <w:color w:val="auto"/>
              </w:rPr>
            </w:pPr>
          </w:p>
        </w:tc>
      </w:tr>
    </w:tbl>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28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3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2,664,665</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1,760,215</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4,493,043</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4,157,682</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5,969,174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5,931,163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16,012,183</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34,163,544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(3,304,509)</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(4,170,948)</w:t>
            </w: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(11,519,140)</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(30,005,862)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73" w:lineRule="exact"/>
        <w:rPr>
          <w:sz w:val="20"/>
          <w:szCs w:val="20"/>
          <w:color w:val="auto"/>
        </w:rPr>
      </w:pPr>
    </w:p>
    <w:p>
      <w:pPr>
        <w:ind w:right="60" w:firstLine="456"/>
        <w:spacing w:after="0" w:line="296" w:lineRule="auto"/>
        <w:rPr>
          <w:sz w:val="20"/>
          <w:szCs w:val="20"/>
          <w:color w:val="auto"/>
        </w:rPr>
      </w:pPr>
      <w:r>
        <w:rPr>
          <w:rFonts w:ascii="Arial" w:cs="Arial" w:eastAsia="Arial" w:hAnsi="Arial"/>
          <w:sz w:val="12"/>
          <w:szCs w:val="12"/>
          <w:color w:val="auto"/>
        </w:rPr>
        <w:t>We have reviewed the accompanying consolidated statements of assets and liabilities of PennantPark Investment Corporation and its Subsidiaries (collectively referred to as the “Company”), including the consolidated schedule of investments, as of March 31, 2017, the consolidated statements of operations for the three and six months ended March 31, 2017 and 2016, and consolidated statements of changes in net assets and cash flows for the six months ended March 31, 2017 and 2016. These consolidated financial statements are the responsibility of the Company’s management.</w:t>
      </w:r>
    </w:p>
    <w:p>
      <w:pPr>
        <w:spacing w:after="0" w:line="83"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4"/>
          <w:szCs w:val="14"/>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1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21, 2016, we expressed an unqualified opinion on those financial statements. In our opinion, the information set forth in the accompanying consolidated statements of assets and liabilities as of March 31, 2017, is fairly stated, in all material respects, in relation to the consolidated statements of assets and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8, 2017</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24" w:name="page25"/>
    <w:bookmarkEnd w:id="24"/>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84"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5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106" w:lineRule="exact"/>
        <w:rPr>
          <w:sz w:val="20"/>
          <w:szCs w:val="20"/>
          <w:color w:val="auto"/>
        </w:rPr>
      </w:pPr>
    </w:p>
    <w:p>
      <w:pPr>
        <w:ind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5" w:name="page26"/>
    <w:bookmarkEnd w:id="25"/>
    <w:p>
      <w:pPr>
        <w:ind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40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20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12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100" w:firstLine="434"/>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liabilities, which we do not fair value, are capitalized and accreted or amortized using the effective interest method as interest income or, in the case of deferred financing cost,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8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60" w:hanging="372"/>
        <w:spacing w:after="0" w:line="253" w:lineRule="auto"/>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40" w:hanging="372"/>
        <w:spacing w:after="0" w:line="264" w:lineRule="auto"/>
        <w:tabs>
          <w:tab w:leader="none" w:pos="9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ind w:right="14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20" w:firstLine="434"/>
        <w:spacing w:after="0" w:line="251" w:lineRule="auto"/>
        <w:rPr>
          <w:sz w:val="20"/>
          <w:szCs w:val="20"/>
          <w:color w:val="auto"/>
        </w:rPr>
      </w:pPr>
      <w:r>
        <w:rPr>
          <w:rFonts w:ascii="Arial" w:cs="Arial" w:eastAsia="Arial" w:hAnsi="Arial"/>
          <w:sz w:val="13"/>
          <w:szCs w:val="13"/>
          <w:color w:val="auto"/>
        </w:rPr>
        <w:t>As of March 31, 2017, our portfolio totaled $1,194.5 million and consisted of $499.9 million of senior secured debt, $387.5 million of second lien secured debt, $167.5 million of subordinated debt and $139.6 million of preferred and common equity. Our debt portfolio consisted of 83% variable-rate investments (including 81% with a floor) and 17% fixed-rate investments. As of March 31, 2017, we had one company on non-accrual, representing 0.3% and 0.3% of our overall portfolio on a cost and fair value basis, respectively. Overall, the portfolio had net unrealized depreciation of $54.8 million as of March 31, 2017. Our overall portfolio consisted of 56 companies with an average investment size of $21.3 million, had a weighted average yield on interest bearing debt investments of 11.9% and was invested 42% in senior secured debt, 32% in second lien secured debt, 14% in subordinated debt and 12% in preferred and common equity.</w:t>
      </w:r>
    </w:p>
    <w:p>
      <w:pPr>
        <w:spacing w:after="0" w:line="109" w:lineRule="exact"/>
        <w:rPr>
          <w:sz w:val="20"/>
          <w:szCs w:val="20"/>
          <w:color w:val="auto"/>
        </w:rPr>
      </w:pPr>
    </w:p>
    <w:p>
      <w:pPr>
        <w:ind w:firstLine="434"/>
        <w:spacing w:after="0" w:line="277" w:lineRule="auto"/>
        <w:rPr>
          <w:sz w:val="20"/>
          <w:szCs w:val="20"/>
          <w:color w:val="auto"/>
        </w:rPr>
      </w:pPr>
      <w:r>
        <w:rPr>
          <w:rFonts w:ascii="Arial" w:cs="Arial" w:eastAsia="Arial" w:hAnsi="Arial"/>
          <w:sz w:val="12"/>
          <w:szCs w:val="12"/>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95" w:lineRule="exact"/>
        <w:rPr>
          <w:sz w:val="20"/>
          <w:szCs w:val="20"/>
          <w:color w:val="auto"/>
        </w:rPr>
      </w:pPr>
    </w:p>
    <w:p>
      <w:pPr>
        <w:ind w:right="80" w:firstLine="434"/>
        <w:spacing w:after="0" w:line="296" w:lineRule="auto"/>
        <w:rPr>
          <w:sz w:val="20"/>
          <w:szCs w:val="20"/>
          <w:color w:val="auto"/>
        </w:rPr>
      </w:pPr>
      <w:r>
        <w:rPr>
          <w:rFonts w:ascii="Arial" w:cs="Arial" w:eastAsia="Arial" w:hAnsi="Arial"/>
          <w:sz w:val="12"/>
          <w:szCs w:val="12"/>
          <w:color w:val="auto"/>
        </w:rPr>
        <w:t>For the three months ended March 31, 2017, we invested $60.5 million in three new and seven existing portfolio companies with a weighted average yield on debt investments of 9.5%. Sales and repayments of investments for the three months ended March 31, 2017 totaled $202.0 million. For the six months ended March 31, 2017, we invested $289.7 million in 12 new and 14 existing portfolio companies with a weighted average yield on debt investments of 10.8%. Sales and repayments of investments for the six months ended March 31, 2017 totaled $266.2 million.</w:t>
      </w:r>
    </w:p>
    <w:p>
      <w:pPr>
        <w:spacing w:after="0" w:line="83" w:lineRule="exact"/>
        <w:rPr>
          <w:sz w:val="20"/>
          <w:szCs w:val="20"/>
          <w:color w:val="auto"/>
        </w:rPr>
      </w:pPr>
    </w:p>
    <w:p>
      <w:pPr>
        <w:ind w:right="180" w:firstLine="434"/>
        <w:spacing w:after="0" w:line="296" w:lineRule="auto"/>
        <w:rPr>
          <w:sz w:val="20"/>
          <w:szCs w:val="20"/>
          <w:color w:val="auto"/>
        </w:rPr>
      </w:pPr>
      <w:r>
        <w:rPr>
          <w:rFonts w:ascii="Arial" w:cs="Arial" w:eastAsia="Arial" w:hAnsi="Arial"/>
          <w:sz w:val="12"/>
          <w:szCs w:val="12"/>
          <w:color w:val="auto"/>
        </w:rPr>
        <w:t>For the three months ended March 31, 2016, we invested $86.5 million in two new and four existing portfolio companies with a weighted average yield on debt investments of 10.8%. Sales and repayments of investments for the three months ended March 31, 2016 totaled $92.9 million. For the six months ended March 31, 2016, we invested $216.8 million in six new and 10 existing portfolio companies with a weighted average yield on debt investments of 11.7%. Sales and repayments of investments for the six months ended March 31, 2016 totaled $201.0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240" w:firstLine="43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right="20" w:hanging="367"/>
        <w:spacing w:after="0" w:line="253"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20" w:right="80" w:hanging="367"/>
        <w:spacing w:after="0" w:line="264" w:lineRule="auto"/>
        <w:tabs>
          <w:tab w:leader="none" w:pos="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320" w:hanging="367"/>
        <w:spacing w:after="0" w:line="238"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80" w:hanging="367"/>
        <w:spacing w:after="0" w:line="253"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4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7" w:name="page28"/>
    <w:bookmarkEnd w:id="27"/>
    <w:p>
      <w:pPr>
        <w:ind w:right="20" w:firstLine="43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2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40" w:firstLine="434"/>
        <w:spacing w:after="0" w:line="22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 w:lineRule="exact"/>
        <w:rPr>
          <w:sz w:val="20"/>
          <w:szCs w:val="20"/>
          <w:color w:val="auto"/>
        </w:rPr>
      </w:pPr>
    </w:p>
    <w:p>
      <w:pPr>
        <w:ind w:right="160" w:firstLine="434"/>
        <w:spacing w:after="0" w:line="271"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6" w:lineRule="exact"/>
        <w:rPr>
          <w:sz w:val="20"/>
          <w:szCs w:val="20"/>
          <w:color w:val="auto"/>
        </w:rPr>
      </w:pPr>
    </w:p>
    <w:p>
      <w:pPr>
        <w:ind w:firstLine="435"/>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six months ended March 31, 2017, our Credit Facility and our Notes had a net change in unrealized appreciation of $6.1 million and $0.3 million, respectively. For the three and six months ended March 31, 2016, our Credit Facility and our Notes had a net change in unrealized depreciation of $10.3 million and $18.0 million, respectively. As of March 31, 2017 and September 30, 2016, net unrealized depreciation on our Credit Facility and our Notes totaled $5.0 million and $5.2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120" w:firstLine="434"/>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60"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8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ability to be treated as RIC for federal income tax purposes,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120" w:firstLine="434"/>
        <w:spacing w:after="0" w:line="238"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w:t>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8" w:name="page29"/>
    <w:bookmarkEnd w:id="28"/>
    <w:p>
      <w:pPr>
        <w:ind w:right="280"/>
        <w:spacing w:after="0" w:line="253" w:lineRule="auto"/>
        <w:rPr>
          <w:sz w:val="20"/>
          <w:szCs w:val="20"/>
          <w:color w:val="auto"/>
        </w:rPr>
      </w:pPr>
      <w:r>
        <w:rPr>
          <w:rFonts w:ascii="Arial" w:cs="Arial" w:eastAsia="Arial" w:hAnsi="Arial"/>
          <w:sz w:val="14"/>
          <w:szCs w:val="14"/>
          <w:color w:val="auto"/>
        </w:rPr>
        <w:t>ordinary income and realized net short-term capital gains in excess of realized net long-term capital losses, or investment company taxable income, determined without regard to any deduction for dividends paid.</w:t>
      </w:r>
    </w:p>
    <w:p>
      <w:pPr>
        <w:spacing w:after="0" w:line="106" w:lineRule="exact"/>
        <w:rPr>
          <w:sz w:val="20"/>
          <w:szCs w:val="20"/>
          <w:color w:val="auto"/>
        </w:rPr>
      </w:pPr>
    </w:p>
    <w:p>
      <w:pPr>
        <w:ind w:right="8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net gain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40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160" w:firstLine="434"/>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60" w:firstLine="434"/>
        <w:spacing w:after="0" w:line="251" w:lineRule="auto"/>
        <w:rPr>
          <w:sz w:val="20"/>
          <w:szCs w:val="20"/>
          <w:color w:val="auto"/>
        </w:rPr>
      </w:pPr>
      <w:r>
        <w:rPr>
          <w:rFonts w:ascii="Arial" w:cs="Arial" w:eastAsia="Arial" w:hAnsi="Arial"/>
          <w:sz w:val="13"/>
          <w:szCs w:val="13"/>
          <w:color w:val="auto"/>
        </w:rPr>
        <w:t>Investment income for the three and six months ended March 31, 2017 was $33.7 million and $65.6 million, respectively, and was attributable to $15.2 million and $28.3 million from senior secured loans, $13.0 million and $25.6 million from second lien secured debt, $5.5 million and $11.7 million from subordinated debt, preferred and common equity, respectively. This compares to investment income for the three and six months ended March 31, 2016, which was $39.1 million and $74.4 million, respectively, and was attributable to $19.6 million and $32.5 million from senior secured loans, $13.8 million and $31.2 million from second lien secured debt and $5.7 million and $10.7 million from subordinated debt, preferred and common equity, respectively. The decrease in investment income compared with the same periods in the prior year was primarily due to a lower yielding portfolio.</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60" w:firstLine="434"/>
        <w:spacing w:after="0" w:line="245" w:lineRule="auto"/>
        <w:rPr>
          <w:sz w:val="20"/>
          <w:szCs w:val="20"/>
          <w:color w:val="auto"/>
        </w:rPr>
      </w:pPr>
      <w:r>
        <w:rPr>
          <w:rFonts w:ascii="Arial" w:cs="Arial" w:eastAsia="Arial" w:hAnsi="Arial"/>
          <w:sz w:val="13"/>
          <w:szCs w:val="13"/>
          <w:color w:val="auto"/>
        </w:rPr>
        <w:t>Net expenses for the three and six months ended March 31, 2017 totaled $17.5 million and $34.4 million, respectively. Base management fee for the same periods totaled $5.3 million (after a base management fee waiver of $1.0 million) and $10.6 million (after a base management fee waiver of $2.0 million), incentive fee totaled $3.1 million (after an incentive fee waiver of $0.6 million) and $5.9 million (after an incentive fee waiver of $1.1 million), debt related interest and expenses totaled $7.2 million and $13.9 million, general and administrative expenses totaled $1.5 million and $3.1 million and provision for taxes totaled $0.4 million and $0.9 million, respectively. This compares to expenses for the three and six months ended March 31, 2016, which totaled $18.3 million and $36.7 million, respectively. Base management fee for the same periods totaled $5.1 million (after a base management fee waiver of $1.0 million) and $10.6 million (after a base management fee waiver of $2.0 million), incentive fee totaled $4.0 million (after an incentive fee waiver of $0.7 million) and $7.2 million (after an incentive fee waiver of $1.4 million), debt related interest and expenses totaled $6.9 million and $13.7 million, general and administrative expenses totaled $1.9 million and $3.5 million and provision for taxes totaled $0.4 million and $1.7 million, respectively. The decrease in expenses compared with the same periods in the prior year was primarily due to lower incentive fees and general and administrative expenses.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40" w:firstLine="434"/>
        <w:spacing w:after="0" w:line="238" w:lineRule="auto"/>
        <w:rPr>
          <w:sz w:val="20"/>
          <w:szCs w:val="20"/>
          <w:color w:val="auto"/>
        </w:rPr>
      </w:pPr>
      <w:r>
        <w:rPr>
          <w:rFonts w:ascii="Arial" w:cs="Arial" w:eastAsia="Arial" w:hAnsi="Arial"/>
          <w:sz w:val="14"/>
          <w:szCs w:val="14"/>
          <w:color w:val="auto"/>
        </w:rPr>
        <w:t>Net investment income totaled $16.2 million and $31.2 million, or $0.23 and $0.44 per share, for the three and six months ended March 31, 2017, respectively. Net investment income totaled $20.8 million and $37.7 million, or $0.29 and $0.52 per share, for the three and six months ended March 31, 2016, respectively. The decrease in net investment income per share compared to the same periods in the prior year was primarily due to the repayments of higher yielding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jc w:val="both"/>
        <w:ind w:right="120" w:firstLine="434"/>
        <w:spacing w:after="0" w:line="296" w:lineRule="auto"/>
        <w:rPr>
          <w:sz w:val="20"/>
          <w:szCs w:val="20"/>
          <w:color w:val="auto"/>
        </w:rPr>
      </w:pPr>
      <w:r>
        <w:rPr>
          <w:rFonts w:ascii="Arial" w:cs="Arial" w:eastAsia="Arial" w:hAnsi="Arial"/>
          <w:sz w:val="12"/>
          <w:szCs w:val="12"/>
          <w:color w:val="auto"/>
        </w:rPr>
        <w:t>Sales and repayments of investments for the three and six months ended March 31, 2017 totaled $202.0 million and $266.2 million, respectively, and realized losses totaled $18.7 million and $40.9 million, respectively. Sales and repayments of investments for the three and six months ended March 31, 2016 totaled $92.9 million and $201.0 million, respectively, and realized losses totaled $11.2 million and $36.6 million, respectively. The increase in realized losses was primarily due to changes in the market conditions of our investments and the values at which they were realized.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136" w:lineRule="exact"/>
        <w:rPr>
          <w:sz w:val="20"/>
          <w:szCs w:val="20"/>
          <w:color w:val="auto"/>
        </w:rPr>
      </w:pPr>
    </w:p>
    <w:p>
      <w:pPr>
        <w:ind w:firstLine="456"/>
        <w:spacing w:after="0" w:line="283" w:lineRule="auto"/>
        <w:rPr>
          <w:sz w:val="20"/>
          <w:szCs w:val="20"/>
          <w:color w:val="auto"/>
        </w:rPr>
      </w:pPr>
      <w:r>
        <w:rPr>
          <w:rFonts w:ascii="Arial" w:cs="Arial" w:eastAsia="Arial" w:hAnsi="Arial"/>
          <w:sz w:val="12"/>
          <w:szCs w:val="12"/>
          <w:color w:val="auto"/>
        </w:rPr>
        <w:t>For the three and six months ended March 31, 2017, we reported a net change in unrealized appreciation on investments of $20.2 million and $45.5 million, respectively. For the three and six months ended March 31, 2016, we reported a net change in unrealized depreciation on investments of $16.0 million and $55.9 million, respectively. As of March 31, 2017 and September 30, 2016, our net unrealized depreciation on investments totaled $54.8 million and $100.3 million, respectively. The net change in unrealized appreciation (depreciation)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92" w:lineRule="exact"/>
        <w:rPr>
          <w:sz w:val="20"/>
          <w:szCs w:val="20"/>
          <w:color w:val="auto"/>
        </w:rPr>
      </w:pPr>
    </w:p>
    <w:p>
      <w:pPr>
        <w:ind w:right="20" w:firstLine="456"/>
        <w:spacing w:after="0" w:line="238" w:lineRule="auto"/>
        <w:rPr>
          <w:sz w:val="20"/>
          <w:szCs w:val="20"/>
          <w:color w:val="auto"/>
        </w:rPr>
      </w:pPr>
      <w:r>
        <w:rPr>
          <w:rFonts w:ascii="Arial" w:cs="Arial" w:eastAsia="Arial" w:hAnsi="Arial"/>
          <w:sz w:val="14"/>
          <w:szCs w:val="14"/>
          <w:color w:val="auto"/>
        </w:rPr>
        <w:t>For the three and six months ended March 31, 2017, we reported a net change in unrealized appreciation on our Credit Facility and our Notes of $6.1 million and $0.3 million, respectively. For the three and six months ended March 31, 2016, we reported a net change in unrealized depreciation on our Credit Facility and our Notes of $10.3 million and $18.0 million, respectively. The change compared with the same periods in the prior year was primarily due to changes in the capital markets.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0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$11.5 million and $35.5 million, or $0.16 and $0.50 per share, for the three and six months ended March 31, 2017, respectively. This compares to a net change in net assets resulting from operations of $3.9 million and $(36.8) million, or $0.06 and $(0.51) per share, for the three and six months ended March 31, 2016, respectively. The increase in the net change in net assets from operations compared with the same periods in the prior year reflects the change in portfolio investment values during the reporting periods.</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340" w:firstLine="434"/>
        <w:spacing w:after="0" w:line="296" w:lineRule="auto"/>
        <w:rPr>
          <w:sz w:val="20"/>
          <w:szCs w:val="20"/>
          <w:color w:val="auto"/>
        </w:rPr>
      </w:pPr>
      <w:r>
        <w:rPr>
          <w:rFonts w:ascii="Arial" w:cs="Arial" w:eastAsia="Arial" w:hAnsi="Arial"/>
          <w:sz w:val="12"/>
          <w:szCs w:val="1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83" w:lineRule="exact"/>
        <w:rPr>
          <w:sz w:val="20"/>
          <w:szCs w:val="20"/>
          <w:color w:val="auto"/>
        </w:rPr>
      </w:pPr>
    </w:p>
    <w:p>
      <w:pPr>
        <w:ind w:right="280" w:firstLine="434"/>
        <w:spacing w:after="0" w:line="253" w:lineRule="auto"/>
        <w:rPr>
          <w:sz w:val="20"/>
          <w:szCs w:val="20"/>
          <w:color w:val="auto"/>
        </w:rPr>
      </w:pPr>
      <w:r>
        <w:rPr>
          <w:rFonts w:ascii="Arial" w:cs="Arial" w:eastAsia="Arial" w:hAnsi="Arial"/>
          <w:sz w:val="14"/>
          <w:szCs w:val="14"/>
          <w:color w:val="auto"/>
        </w:rPr>
        <w:t>Our annualized weighted average cost of debt for the six months ended March 31, 2017 and 2016, inclusive of the fee on the undrawn commitment on the Credit Facility, amortized upfront fees on SBA debentures and debt issuance costs, was 4.38% and 4.42%, respectively.</w:t>
      </w:r>
    </w:p>
    <w:p>
      <w:pPr>
        <w:spacing w:after="0" w:line="106" w:lineRule="exact"/>
        <w:rPr>
          <w:sz w:val="20"/>
          <w:szCs w:val="20"/>
          <w:color w:val="auto"/>
        </w:rPr>
      </w:pPr>
    </w:p>
    <w:p>
      <w:pPr>
        <w:ind w:right="180" w:firstLine="434"/>
        <w:spacing w:after="0" w:line="248" w:lineRule="auto"/>
        <w:rPr>
          <w:sz w:val="20"/>
          <w:szCs w:val="20"/>
          <w:color w:val="auto"/>
        </w:rPr>
      </w:pPr>
      <w:r>
        <w:rPr>
          <w:rFonts w:ascii="Arial" w:cs="Arial" w:eastAsia="Arial" w:hAnsi="Arial"/>
          <w:sz w:val="13"/>
          <w:szCs w:val="13"/>
          <w:color w:val="auto"/>
        </w:rPr>
        <w:t>As of March 31, 2017, we had a $545 million multi-currency Credit Facility with certain lenders and SunTrust Bank, acting as administrative agent, and JPMorgan Chase Bank, N.A., acting as syndication agent for the lenders. As of March 31, 2017 and September 30, 2016, there was $99.6 million and $50.3 million, respectively, in outstanding borrowings under the Credit Facility. The Credit Facility had a weighted average interest rate of 2.62% and 2.76%, as of March 31, 2017 and September 30, 2016, respectively, excluding the undrawn commitment fees of 0.375%. The Credit Facility is a five-year revolving facility with a stated maturity date of June 25, 2019, a one-year term-out period following its fourth year and pricing is set at 225 basis points over LIBOR. As of March 31, 2017 and September 30, 2016, we had $445.4 million and $494.7 million of unused borrowing capacity under our Credit Facility, respectively, subject to the regulatory restrictions. The Credit Facility is secured by substantially all of our assets excluding assets held by our SBIC Funds.</w:t>
      </w:r>
    </w:p>
    <w:p>
      <w:pPr>
        <w:spacing w:after="0" w:line="113" w:lineRule="exact"/>
        <w:rPr>
          <w:sz w:val="20"/>
          <w:szCs w:val="20"/>
          <w:color w:val="auto"/>
        </w:rPr>
      </w:pPr>
    </w:p>
    <w:p>
      <w:pPr>
        <w:ind w:right="280" w:firstLine="434"/>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March 31, 2017, we were in compliance with the terms of our Credit Facility.</w:t>
      </w:r>
    </w:p>
    <w:p>
      <w:pPr>
        <w:spacing w:after="0" w:line="106" w:lineRule="exact"/>
        <w:rPr>
          <w:sz w:val="20"/>
          <w:szCs w:val="20"/>
          <w:color w:val="auto"/>
        </w:rPr>
      </w:pPr>
    </w:p>
    <w:p>
      <w:pPr>
        <w:ind w:right="140" w:firstLine="45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post-effective amendment filed on January 22, 2013, or the Base Indenture, and the supplemental indenture filed as Exhibit (d)(11) to our post-effective amendment filed on September 23, 2014 for more information.</w:t>
      </w:r>
    </w:p>
    <w:p>
      <w:pPr>
        <w:spacing w:after="0" w:line="109" w:lineRule="exact"/>
        <w:rPr>
          <w:sz w:val="20"/>
          <w:szCs w:val="20"/>
          <w:color w:val="auto"/>
        </w:rPr>
      </w:pPr>
    </w:p>
    <w:p>
      <w:pPr>
        <w:ind w:right="160" w:firstLine="452"/>
        <w:spacing w:after="0" w:line="255" w:lineRule="auto"/>
        <w:rPr>
          <w:sz w:val="20"/>
          <w:szCs w:val="20"/>
          <w:color w:val="auto"/>
        </w:rPr>
      </w:pPr>
      <w:r>
        <w:rPr>
          <w:rFonts w:ascii="Arial" w:cs="Arial" w:eastAsia="Arial" w:hAnsi="Arial"/>
          <w:sz w:val="13"/>
          <w:szCs w:val="13"/>
          <w:color w:val="auto"/>
        </w:rPr>
        <w:t>In January 2013, we issued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Please see our Base Indenture and the supplemental indenture filed as Exhibit (d)(9) to our post-effective amendment filed on January 22, 2013 for more information.</w:t>
      </w:r>
    </w:p>
    <w:p>
      <w:pPr>
        <w:spacing w:after="0" w:line="107"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260" w:firstLine="434"/>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March 31, 2017. We have funded SBIC II with $75.0 million of equity capital, and it had SBA debentures outstanding of $47.5 million and commitments from the SBA for another $27.5 million of debentures as of March 31, 2017.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3"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As of March 31, 2017 and September 30, 2016, our SBIC Funds had $225.0 million in debt commitments, of which $197.5 million was drawn. As of March 31, 2017 and September 30, 2016, the unamortized fees on the SBA debentures was $3.9 million and $4.3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March 31, 2017 and September 30, 2016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ind w:left="1100"/>
              <w:spacing w:after="0"/>
              <w:rPr>
                <w:sz w:val="20"/>
                <w:szCs w:val="20"/>
                <w:color w:val="auto"/>
              </w:rPr>
            </w:pPr>
            <w:r>
              <w:rPr>
                <w:rFonts w:ascii="Arial" w:cs="Arial" w:eastAsia="Arial" w:hAnsi="Arial"/>
                <w:sz w:val="14"/>
                <w:szCs w:val="14"/>
                <w:b w:val="1"/>
                <w:bCs w:val="1"/>
                <w:color w:val="auto"/>
              </w:rPr>
              <w:t>Issuance Dates</w:t>
            </w:r>
          </w:p>
        </w:tc>
        <w:tc>
          <w:tcPr>
            <w:tcW w:w="380" w:type="dxa"/>
            <w:vAlign w:val="bottom"/>
          </w:tcPr>
          <w:p>
            <w:pPr>
              <w:spacing w:after="0"/>
              <w:rPr>
                <w:sz w:val="14"/>
                <w:szCs w:val="14"/>
                <w:color w:val="auto"/>
              </w:rPr>
            </w:pPr>
          </w:p>
        </w:tc>
        <w:tc>
          <w:tcPr>
            <w:tcW w:w="2600" w:type="dxa"/>
            <w:vAlign w:val="bottom"/>
            <w:gridSpan w:val="2"/>
          </w:tcPr>
          <w:p>
            <w:pPr>
              <w:ind w:left="840"/>
              <w:spacing w:after="0"/>
              <w:rPr>
                <w:sz w:val="20"/>
                <w:szCs w:val="20"/>
                <w:color w:val="auto"/>
              </w:rPr>
            </w:pPr>
            <w:r>
              <w:rPr>
                <w:rFonts w:ascii="Arial" w:cs="Arial" w:eastAsia="Arial" w:hAnsi="Arial"/>
                <w:sz w:val="14"/>
                <w:szCs w:val="14"/>
                <w:b w:val="1"/>
                <w:bCs w:val="1"/>
                <w:color w:val="auto"/>
              </w:rPr>
              <w:t>Maturity</w:t>
            </w:r>
          </w:p>
        </w:tc>
        <w:tc>
          <w:tcPr>
            <w:tcW w:w="2480" w:type="dxa"/>
            <w:vAlign w:val="bottom"/>
            <w:gridSpan w:val="2"/>
          </w:tcPr>
          <w:p>
            <w:pPr>
              <w:ind w:left="2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500" w:type="dxa"/>
            <w:vAlign w:val="bottom"/>
          </w:tcPr>
          <w:p>
            <w:pPr>
              <w:spacing w:after="0"/>
              <w:rPr>
                <w:sz w:val="14"/>
                <w:szCs w:val="1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Principal Balance</w:t>
            </w:r>
          </w:p>
        </w:tc>
      </w:tr>
      <w:tr>
        <w:trPr>
          <w:trHeight w:val="142"/>
        </w:trPr>
        <w:tc>
          <w:tcPr>
            <w:tcW w:w="308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September 22, 2010</w:t>
            </w:r>
          </w:p>
        </w:tc>
        <w:tc>
          <w:tcPr>
            <w:tcW w:w="380" w:type="dxa"/>
            <w:vAlign w:val="bottom"/>
            <w:tcBorders>
              <w:top w:val="single" w:sz="8" w:color="CCECFF"/>
            </w:tcBorders>
            <w:shd w:val="clear" w:color="auto" w:fill="CCECFF"/>
          </w:tcPr>
          <w:p>
            <w:pPr>
              <w:spacing w:after="0"/>
              <w:rPr>
                <w:sz w:val="12"/>
                <w:szCs w:val="12"/>
                <w:color w:val="auto"/>
              </w:rPr>
            </w:pPr>
          </w:p>
        </w:tc>
        <w:tc>
          <w:tcPr>
            <w:tcW w:w="224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September 1, 2020</w:t>
            </w:r>
          </w:p>
        </w:tc>
        <w:tc>
          <w:tcPr>
            <w:tcW w:w="360" w:type="dxa"/>
            <w:vAlign w:val="bottom"/>
            <w:tcBorders>
              <w:top w:val="single" w:sz="8" w:color="CCECFF"/>
            </w:tcBorders>
            <w:shd w:val="clear" w:color="auto" w:fill="CCECFF"/>
          </w:tcPr>
          <w:p>
            <w:pPr>
              <w:spacing w:after="0"/>
              <w:rPr>
                <w:sz w:val="12"/>
                <w:szCs w:val="12"/>
                <w:color w:val="auto"/>
              </w:rPr>
            </w:pPr>
          </w:p>
        </w:tc>
        <w:tc>
          <w:tcPr>
            <w:tcW w:w="2120" w:type="dxa"/>
            <w:vAlign w:val="bottom"/>
            <w:tcBorders>
              <w:top w:val="single" w:sz="8" w:color="auto"/>
            </w:tcBorders>
            <w:shd w:val="clear" w:color="auto" w:fill="CCECFF"/>
          </w:tcPr>
          <w:p>
            <w:pPr>
              <w:ind w:left="1880"/>
              <w:spacing w:after="0"/>
              <w:rPr>
                <w:sz w:val="20"/>
                <w:szCs w:val="20"/>
                <w:color w:val="auto"/>
              </w:rPr>
            </w:pPr>
            <w:r>
              <w:rPr>
                <w:rFonts w:ascii="Arial" w:cs="Arial" w:eastAsia="Arial" w:hAnsi="Arial"/>
                <w:sz w:val="11"/>
                <w:szCs w:val="11"/>
                <w:color w:val="auto"/>
                <w:w w:val="70"/>
              </w:rPr>
              <w:t>3.50%</w:t>
            </w:r>
          </w:p>
        </w:tc>
        <w:tc>
          <w:tcPr>
            <w:tcW w:w="360" w:type="dxa"/>
            <w:vAlign w:val="bottom"/>
            <w:tcBorders>
              <w:top w:val="single" w:sz="8" w:color="CCECFF"/>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500,000</w:t>
            </w:r>
          </w:p>
        </w:tc>
        <w:tc>
          <w:tcPr>
            <w:tcW w:w="360" w:type="dxa"/>
            <w:vAlign w:val="bottom"/>
            <w:tcBorders>
              <w:top w:val="single" w:sz="8" w:color="CCECFF"/>
            </w:tcBorders>
            <w:gridSpan w:val="2"/>
            <w:shd w:val="clear" w:color="auto" w:fill="CCECFF"/>
          </w:tcPr>
          <w:p>
            <w:pPr>
              <w:spacing w:after="0"/>
              <w:rPr>
                <w:sz w:val="12"/>
                <w:szCs w:val="12"/>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March 29, 2011</w:t>
            </w:r>
          </w:p>
        </w:tc>
        <w:tc>
          <w:tcPr>
            <w:tcW w:w="2980" w:type="dxa"/>
            <w:vAlign w:val="bottom"/>
            <w:gridSpan w:val="3"/>
          </w:tcPr>
          <w:p>
            <w:pPr>
              <w:ind w:left="380"/>
              <w:spacing w:after="0"/>
              <w:rPr>
                <w:sz w:val="20"/>
                <w:szCs w:val="20"/>
                <w:color w:val="auto"/>
              </w:rPr>
            </w:pPr>
            <w:r>
              <w:rPr>
                <w:rFonts w:ascii="Arial" w:cs="Arial" w:eastAsia="Arial" w:hAnsi="Arial"/>
                <w:sz w:val="14"/>
                <w:szCs w:val="14"/>
                <w:color w:val="auto"/>
              </w:rPr>
              <w:t>March 1, 2021</w:t>
            </w:r>
          </w:p>
        </w:tc>
        <w:tc>
          <w:tcPr>
            <w:tcW w:w="2480" w:type="dxa"/>
            <w:vAlign w:val="bottom"/>
            <w:gridSpan w:val="2"/>
          </w:tcPr>
          <w:p>
            <w:pPr>
              <w:ind w:left="1880"/>
              <w:spacing w:after="0"/>
              <w:rPr>
                <w:sz w:val="20"/>
                <w:szCs w:val="20"/>
                <w:color w:val="auto"/>
              </w:rPr>
            </w:pPr>
            <w:r>
              <w:rPr>
                <w:rFonts w:ascii="Arial" w:cs="Arial" w:eastAsia="Arial" w:hAnsi="Arial"/>
                <w:sz w:val="14"/>
                <w:szCs w:val="14"/>
                <w:color w:val="auto"/>
              </w:rPr>
              <w:t>4.46</w:t>
            </w:r>
          </w:p>
        </w:tc>
        <w:tc>
          <w:tcPr>
            <w:tcW w:w="500" w:type="dxa"/>
            <w:vAlign w:val="bottom"/>
          </w:tcPr>
          <w:p>
            <w:pPr>
              <w:spacing w:after="0"/>
              <w:rPr>
                <w:sz w:val="14"/>
                <w:szCs w:val="14"/>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44,500,000</w:t>
            </w:r>
          </w:p>
        </w:tc>
        <w:tc>
          <w:tcPr>
            <w:tcW w:w="340" w:type="dxa"/>
            <w:vAlign w:val="bottom"/>
          </w:tcPr>
          <w:p>
            <w:pPr>
              <w:spacing w:after="0"/>
              <w:rPr>
                <w:sz w:val="14"/>
                <w:szCs w:val="14"/>
                <w:color w:val="auto"/>
              </w:rPr>
            </w:pPr>
          </w:p>
        </w:tc>
      </w:tr>
      <w:tr>
        <w:trPr>
          <w:trHeight w:val="162"/>
        </w:trPr>
        <w:tc>
          <w:tcPr>
            <w:tcW w:w="30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2011</w:t>
            </w:r>
          </w:p>
        </w:tc>
        <w:tc>
          <w:tcPr>
            <w:tcW w:w="2980" w:type="dxa"/>
            <w:vAlign w:val="bottom"/>
            <w:gridSpan w:val="3"/>
            <w:shd w:val="clear" w:color="auto" w:fill="CCECFF"/>
          </w:tcPr>
          <w:p>
            <w:pPr>
              <w:ind w:left="380"/>
              <w:spacing w:after="0"/>
              <w:rPr>
                <w:sz w:val="20"/>
                <w:szCs w:val="20"/>
                <w:color w:val="auto"/>
              </w:rPr>
            </w:pPr>
            <w:r>
              <w:rPr>
                <w:rFonts w:ascii="Arial" w:cs="Arial" w:eastAsia="Arial" w:hAnsi="Arial"/>
                <w:sz w:val="14"/>
                <w:szCs w:val="14"/>
                <w:color w:val="auto"/>
              </w:rPr>
              <w:t>September 1, 2021</w:t>
            </w:r>
          </w:p>
        </w:tc>
        <w:tc>
          <w:tcPr>
            <w:tcW w:w="2480" w:type="dxa"/>
            <w:vAlign w:val="bottom"/>
            <w:gridSpan w:val="2"/>
            <w:shd w:val="clear" w:color="auto" w:fill="CCECFF"/>
          </w:tcPr>
          <w:p>
            <w:pPr>
              <w:ind w:left="1880"/>
              <w:spacing w:after="0"/>
              <w:rPr>
                <w:sz w:val="20"/>
                <w:szCs w:val="20"/>
                <w:color w:val="auto"/>
              </w:rPr>
            </w:pPr>
            <w:r>
              <w:rPr>
                <w:rFonts w:ascii="Arial" w:cs="Arial" w:eastAsia="Arial" w:hAnsi="Arial"/>
                <w:sz w:val="14"/>
                <w:szCs w:val="14"/>
                <w:color w:val="auto"/>
              </w:rPr>
              <w:t>3.38</w:t>
            </w:r>
          </w:p>
        </w:tc>
        <w:tc>
          <w:tcPr>
            <w:tcW w:w="500" w:type="dxa"/>
            <w:vAlign w:val="bottom"/>
            <w:shd w:val="clear" w:color="auto" w:fill="CCECFF"/>
          </w:tcPr>
          <w:p>
            <w:pPr>
              <w:spacing w:after="0"/>
              <w:rPr>
                <w:sz w:val="14"/>
                <w:szCs w:val="14"/>
                <w:color w:val="auto"/>
              </w:rPr>
            </w:pPr>
          </w:p>
        </w:tc>
        <w:tc>
          <w:tcPr>
            <w:tcW w:w="18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105,000,000</w:t>
            </w:r>
          </w:p>
        </w:tc>
        <w:tc>
          <w:tcPr>
            <w:tcW w:w="340" w:type="dxa"/>
            <w:vAlign w:val="bottom"/>
            <w:shd w:val="clear" w:color="auto" w:fill="CCECFF"/>
          </w:tcPr>
          <w:p>
            <w:pPr>
              <w:spacing w:after="0"/>
              <w:rPr>
                <w:sz w:val="14"/>
                <w:szCs w:val="14"/>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March 23, 2016</w:t>
            </w:r>
          </w:p>
        </w:tc>
        <w:tc>
          <w:tcPr>
            <w:tcW w:w="2980" w:type="dxa"/>
            <w:vAlign w:val="bottom"/>
            <w:gridSpan w:val="3"/>
          </w:tcPr>
          <w:p>
            <w:pPr>
              <w:ind w:left="380"/>
              <w:spacing w:after="0"/>
              <w:rPr>
                <w:sz w:val="20"/>
                <w:szCs w:val="20"/>
                <w:color w:val="auto"/>
              </w:rPr>
            </w:pPr>
            <w:r>
              <w:rPr>
                <w:rFonts w:ascii="Arial" w:cs="Arial" w:eastAsia="Arial" w:hAnsi="Arial"/>
                <w:sz w:val="14"/>
                <w:szCs w:val="14"/>
                <w:color w:val="auto"/>
              </w:rPr>
              <w:t>March 1, 2026</w:t>
            </w:r>
          </w:p>
        </w:tc>
        <w:tc>
          <w:tcPr>
            <w:tcW w:w="2480" w:type="dxa"/>
            <w:vAlign w:val="bottom"/>
            <w:gridSpan w:val="2"/>
          </w:tcPr>
          <w:p>
            <w:pPr>
              <w:ind w:left="1880"/>
              <w:spacing w:after="0"/>
              <w:rPr>
                <w:sz w:val="20"/>
                <w:szCs w:val="20"/>
                <w:color w:val="auto"/>
              </w:rPr>
            </w:pPr>
            <w:r>
              <w:rPr>
                <w:rFonts w:ascii="Arial" w:cs="Arial" w:eastAsia="Arial" w:hAnsi="Arial"/>
                <w:sz w:val="14"/>
                <w:szCs w:val="14"/>
                <w:color w:val="auto"/>
              </w:rPr>
              <w:t>2.86</w:t>
            </w:r>
          </w:p>
        </w:tc>
        <w:tc>
          <w:tcPr>
            <w:tcW w:w="500" w:type="dxa"/>
            <w:vAlign w:val="bottom"/>
          </w:tcPr>
          <w:p>
            <w:pPr>
              <w:spacing w:after="0"/>
              <w:rPr>
                <w:sz w:val="14"/>
                <w:szCs w:val="14"/>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22,500,000</w:t>
            </w:r>
          </w:p>
        </w:tc>
        <w:tc>
          <w:tcPr>
            <w:tcW w:w="340" w:type="dxa"/>
            <w:vAlign w:val="bottom"/>
          </w:tcPr>
          <w:p>
            <w:pPr>
              <w:spacing w:after="0"/>
              <w:rPr>
                <w:sz w:val="14"/>
                <w:szCs w:val="14"/>
                <w:color w:val="auto"/>
              </w:rPr>
            </w:pPr>
          </w:p>
        </w:tc>
      </w:tr>
      <w:tr>
        <w:trPr>
          <w:trHeight w:val="162"/>
        </w:trPr>
        <w:tc>
          <w:tcPr>
            <w:tcW w:w="30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980" w:type="dxa"/>
            <w:vAlign w:val="bottom"/>
            <w:gridSpan w:val="3"/>
            <w:shd w:val="clear" w:color="auto" w:fill="CCECFF"/>
          </w:tcPr>
          <w:p>
            <w:pPr>
              <w:ind w:left="380"/>
              <w:spacing w:after="0"/>
              <w:rPr>
                <w:sz w:val="20"/>
                <w:szCs w:val="20"/>
                <w:color w:val="auto"/>
              </w:rPr>
            </w:pPr>
            <w:r>
              <w:rPr>
                <w:rFonts w:ascii="Arial" w:cs="Arial" w:eastAsia="Arial" w:hAnsi="Arial"/>
                <w:sz w:val="14"/>
                <w:szCs w:val="14"/>
                <w:color w:val="auto"/>
              </w:rPr>
              <w:t>September 1, 2026</w:t>
            </w:r>
          </w:p>
        </w:tc>
        <w:tc>
          <w:tcPr>
            <w:tcW w:w="2480" w:type="dxa"/>
            <w:vAlign w:val="bottom"/>
            <w:gridSpan w:val="2"/>
            <w:shd w:val="clear" w:color="auto" w:fill="CCECFF"/>
          </w:tcPr>
          <w:p>
            <w:pPr>
              <w:ind w:left="1880"/>
              <w:spacing w:after="0"/>
              <w:rPr>
                <w:sz w:val="20"/>
                <w:szCs w:val="20"/>
                <w:color w:val="auto"/>
              </w:rPr>
            </w:pPr>
            <w:r>
              <w:rPr>
                <w:rFonts w:ascii="Arial" w:cs="Arial" w:eastAsia="Arial" w:hAnsi="Arial"/>
                <w:sz w:val="14"/>
                <w:szCs w:val="14"/>
                <w:color w:val="auto"/>
              </w:rPr>
              <w:t>2.41</w:t>
            </w:r>
          </w:p>
        </w:tc>
        <w:tc>
          <w:tcPr>
            <w:tcW w:w="500" w:type="dxa"/>
            <w:vAlign w:val="bottom"/>
            <w:shd w:val="clear" w:color="auto" w:fill="CCECFF"/>
          </w:tcPr>
          <w:p>
            <w:pPr>
              <w:spacing w:after="0"/>
              <w:rPr>
                <w:sz w:val="14"/>
                <w:szCs w:val="14"/>
                <w:color w:val="auto"/>
              </w:rPr>
            </w:pPr>
          </w:p>
        </w:tc>
        <w:tc>
          <w:tcPr>
            <w:tcW w:w="18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25,000,000</w:t>
            </w:r>
          </w:p>
        </w:tc>
        <w:tc>
          <w:tcPr>
            <w:tcW w:w="340" w:type="dxa"/>
            <w:vAlign w:val="bottom"/>
            <w:shd w:val="clear" w:color="auto" w:fill="CCECFF"/>
          </w:tcPr>
          <w:p>
            <w:pPr>
              <w:spacing w:after="0"/>
              <w:rPr>
                <w:sz w:val="14"/>
                <w:szCs w:val="14"/>
                <w:color w:val="auto"/>
              </w:rPr>
            </w:pPr>
          </w:p>
        </w:tc>
      </w:tr>
      <w:tr>
        <w:trPr>
          <w:trHeight w:val="142"/>
        </w:trPr>
        <w:tc>
          <w:tcPr>
            <w:tcW w:w="3080" w:type="dxa"/>
            <w:vAlign w:val="bottom"/>
          </w:tcPr>
          <w:p>
            <w:pPr>
              <w:spacing w:after="0" w:line="142" w:lineRule="exact"/>
              <w:rPr>
                <w:sz w:val="20"/>
                <w:szCs w:val="20"/>
                <w:color w:val="auto"/>
              </w:rPr>
            </w:pPr>
            <w:r>
              <w:rPr>
                <w:rFonts w:ascii="Arial" w:cs="Arial" w:eastAsia="Arial" w:hAnsi="Arial"/>
                <w:sz w:val="14"/>
                <w:szCs w:val="14"/>
                <w:color w:val="auto"/>
              </w:rPr>
              <w:t>Weighted Average Rate / Total</w:t>
            </w:r>
          </w:p>
        </w:tc>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Borders>
              <w:top w:val="single" w:sz="8" w:color="auto"/>
              <w:bottom w:val="single" w:sz="8" w:color="auto"/>
            </w:tcBorders>
          </w:tcPr>
          <w:p>
            <w:pPr>
              <w:ind w:left="1880"/>
              <w:spacing w:after="0"/>
              <w:rPr>
                <w:sz w:val="20"/>
                <w:szCs w:val="20"/>
                <w:color w:val="auto"/>
              </w:rPr>
            </w:pPr>
            <w:r>
              <w:rPr>
                <w:rFonts w:ascii="Arial" w:cs="Arial" w:eastAsia="Arial" w:hAnsi="Arial"/>
                <w:sz w:val="11"/>
                <w:szCs w:val="11"/>
                <w:color w:val="auto"/>
                <w:w w:val="70"/>
              </w:rPr>
              <w:t>3.44%</w:t>
            </w:r>
          </w:p>
        </w:tc>
        <w:tc>
          <w:tcPr>
            <w:tcW w:w="3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197,500,000</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hanging="371"/>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4"/>
          <w:szCs w:val="14"/>
          <w:color w:val="auto"/>
        </w:rPr>
        <w:t>Excludes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-98425</wp:posOffset>
            </wp:positionV>
            <wp:extent cx="1499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03" w:lineRule="exact"/>
        <w:rPr>
          <w:sz w:val="20"/>
          <w:szCs w:val="20"/>
          <w:color w:val="auto"/>
        </w:rPr>
      </w:pPr>
    </w:p>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2017, our SBIC Funds were in compliance with their regulatory requirements.</w:t>
      </w:r>
    </w:p>
    <w:p>
      <w:pPr>
        <w:spacing w:after="0" w:line="116" w:lineRule="exact"/>
        <w:rPr>
          <w:sz w:val="20"/>
          <w:szCs w:val="20"/>
          <w:color w:val="auto"/>
        </w:rPr>
      </w:pPr>
    </w:p>
    <w:p>
      <w:pPr>
        <w:ind w:right="100" w:firstLine="434"/>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asset coverage ratio is met after such borrowing. As of March 31, 2017 and September 30, 2016,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ind w:right="360" w:firstLine="434"/>
        <w:spacing w:after="0" w:line="253" w:lineRule="auto"/>
        <w:rPr>
          <w:sz w:val="20"/>
          <w:szCs w:val="20"/>
          <w:color w:val="auto"/>
        </w:rPr>
      </w:pPr>
      <w:r>
        <w:rPr>
          <w:rFonts w:ascii="Arial" w:cs="Arial" w:eastAsia="Arial" w:hAnsi="Arial"/>
          <w:sz w:val="14"/>
          <w:szCs w:val="14"/>
          <w:color w:val="auto"/>
        </w:rPr>
        <w:t>At March 31, 2017 and September 30, 2016, we had cash and cash equivalents of $66.6 million and $75.6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400" w:firstLine="434"/>
        <w:spacing w:after="0" w:line="253" w:lineRule="auto"/>
        <w:rPr>
          <w:sz w:val="20"/>
          <w:szCs w:val="20"/>
          <w:color w:val="auto"/>
        </w:rPr>
      </w:pPr>
      <w:r>
        <w:rPr>
          <w:rFonts w:ascii="Arial" w:cs="Arial" w:eastAsia="Arial" w:hAnsi="Arial"/>
          <w:sz w:val="14"/>
          <w:szCs w:val="14"/>
          <w:color w:val="auto"/>
        </w:rPr>
        <w:t>Our operating activities used cash of $18.8 million for the six months ended March 31, 2017, and our financing activities provided cash of $9.5 million for the same period. Our operating activities used cash primarily for our investment activities and our financing activities provided cash primarily for net borrowings under our Credit Facility.</w:t>
      </w:r>
    </w:p>
    <w:p>
      <w:pPr>
        <w:spacing w:after="0" w:line="106" w:lineRule="exact"/>
        <w:rPr>
          <w:sz w:val="20"/>
          <w:szCs w:val="20"/>
          <w:color w:val="auto"/>
        </w:rPr>
      </w:pPr>
    </w:p>
    <w:p>
      <w:pPr>
        <w:ind w:right="400" w:firstLine="434"/>
        <w:spacing w:after="0" w:line="253" w:lineRule="auto"/>
        <w:rPr>
          <w:sz w:val="20"/>
          <w:szCs w:val="20"/>
          <w:color w:val="auto"/>
        </w:rPr>
      </w:pPr>
      <w:r>
        <w:rPr>
          <w:rFonts w:ascii="Arial" w:cs="Arial" w:eastAsia="Arial" w:hAnsi="Arial"/>
          <w:sz w:val="14"/>
          <w:szCs w:val="14"/>
          <w:color w:val="auto"/>
        </w:rPr>
        <w:t>Our operating activities provided cash of $9.9 million for the six months ended March 31, 2016, and our financing activities used cash of $26.3 million for the same period. Our operating activities provided cash from sales and repayments on our investments and our financing activities used cash primarily for our stock repurchase plan.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46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2017, including borrowings under our various debt facilities and other contractual obligations,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8"/>
              </w:rPr>
              <w:t>Payments due by period (in millions)</w:t>
            </w: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Less than 1 year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9"/>
              </w:rPr>
              <w:t>More than 5 years</w:t>
            </w:r>
          </w:p>
        </w:tc>
        <w:tc>
          <w:tcPr>
            <w:tcW w:w="80" w:type="dxa"/>
            <w:vAlign w:val="bottom"/>
          </w:tcPr>
          <w:p>
            <w:pPr>
              <w:spacing w:after="0"/>
              <w:rPr>
                <w:sz w:val="12"/>
                <w:szCs w:val="12"/>
                <w:color w:val="auto"/>
              </w:rPr>
            </w:pPr>
          </w:p>
        </w:tc>
      </w:tr>
      <w:tr>
        <w:trPr>
          <w:trHeight w:val="142"/>
        </w:trPr>
        <w:tc>
          <w:tcPr>
            <w:tcW w:w="27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98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w:t>
            </w:r>
          </w:p>
        </w:tc>
        <w:tc>
          <w:tcPr>
            <w:tcW w:w="2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ind w:right="120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SBA debentures</w:t>
            </w:r>
          </w:p>
        </w:tc>
        <w:tc>
          <w:tcPr>
            <w:tcW w:w="9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197.5</w:t>
            </w:r>
          </w:p>
        </w:tc>
        <w:tc>
          <w:tcPr>
            <w:tcW w:w="132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47.5</w:t>
            </w: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2019 Notes</w:t>
            </w:r>
          </w:p>
        </w:tc>
        <w:tc>
          <w:tcPr>
            <w:tcW w:w="980" w:type="dxa"/>
            <w:vAlign w:val="bottom"/>
            <w:shd w:val="clear" w:color="auto" w:fill="CCECFF"/>
          </w:tcPr>
          <w:p>
            <w:pPr>
              <w:spacing w:after="0"/>
              <w:rPr>
                <w:sz w:val="14"/>
                <w:szCs w:val="14"/>
                <w:color w:val="auto"/>
              </w:rPr>
            </w:pPr>
          </w:p>
        </w:tc>
        <w:tc>
          <w:tcPr>
            <w:tcW w:w="72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250.0</w:t>
            </w:r>
          </w:p>
        </w:tc>
        <w:tc>
          <w:tcPr>
            <w:tcW w:w="1320" w:type="dxa"/>
            <w:vAlign w:val="bottom"/>
            <w:shd w:val="clear" w:color="auto" w:fill="CCECFF"/>
          </w:tcPr>
          <w:p>
            <w:pPr>
              <w:spacing w:after="0"/>
              <w:rPr>
                <w:sz w:val="14"/>
                <w:szCs w:val="14"/>
                <w:color w:val="auto"/>
              </w:rPr>
            </w:pPr>
          </w:p>
        </w:tc>
        <w:tc>
          <w:tcPr>
            <w:tcW w:w="34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2025 Notes</w:t>
            </w:r>
          </w:p>
        </w:tc>
        <w:tc>
          <w:tcPr>
            <w:tcW w:w="9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71.3</w:t>
            </w:r>
          </w:p>
        </w:tc>
        <w:tc>
          <w:tcPr>
            <w:tcW w:w="132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71.3</w:t>
            </w:r>
          </w:p>
        </w:tc>
      </w:tr>
      <w:tr>
        <w:trPr>
          <w:trHeight w:val="142"/>
        </w:trPr>
        <w:tc>
          <w:tcPr>
            <w:tcW w:w="2740" w:type="dxa"/>
            <w:vAlign w:val="bottom"/>
            <w:tcBorders>
              <w:top w:val="single" w:sz="8" w:color="CCECFF"/>
            </w:tcBorders>
            <w:gridSpan w:val="2"/>
            <w:shd w:val="clear" w:color="auto" w:fill="CCECFF"/>
          </w:tcPr>
          <w:p>
            <w:pPr>
              <w:spacing w:after="0" w:line="142"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980" w:type="dxa"/>
            <w:vAlign w:val="bottom"/>
            <w:tcBorders>
              <w:top w:val="single" w:sz="8" w:color="auto"/>
            </w:tcBorders>
            <w:shd w:val="clear" w:color="auto" w:fill="CCECFF"/>
          </w:tcPr>
          <w:p>
            <w:pPr>
              <w:spacing w:after="0"/>
              <w:rPr>
                <w:sz w:val="12"/>
                <w:szCs w:val="12"/>
                <w:color w:val="auto"/>
              </w:rPr>
            </w:pPr>
          </w:p>
        </w:tc>
        <w:tc>
          <w:tcPr>
            <w:tcW w:w="4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618.4</w:t>
            </w:r>
          </w:p>
        </w:tc>
        <w:tc>
          <w:tcPr>
            <w:tcW w:w="280" w:type="dxa"/>
            <w:vAlign w:val="bottom"/>
            <w:tcBorders>
              <w:top w:val="single" w:sz="8" w:color="CCECFF"/>
            </w:tcBorders>
            <w:shd w:val="clear" w:color="auto" w:fill="CCECFF"/>
          </w:tcPr>
          <w:p>
            <w:pPr>
              <w:spacing w:after="0"/>
              <w:rPr>
                <w:sz w:val="12"/>
                <w:szCs w:val="12"/>
                <w:color w:val="auto"/>
              </w:rPr>
            </w:pPr>
          </w:p>
        </w:tc>
        <w:tc>
          <w:tcPr>
            <w:tcW w:w="13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ind w:left="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12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349.6</w:t>
            </w:r>
          </w:p>
        </w:tc>
        <w:tc>
          <w:tcPr>
            <w:tcW w:w="28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116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150.0</w:t>
            </w:r>
          </w:p>
        </w:tc>
        <w:tc>
          <w:tcPr>
            <w:tcW w:w="8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14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118.8</w:t>
            </w:r>
          </w:p>
        </w:tc>
        <w:tc>
          <w:tcPr>
            <w:tcW w:w="80" w:type="dxa"/>
            <w:vAlign w:val="bottom"/>
            <w:tcBorders>
              <w:top w:val="single" w:sz="8" w:color="CCECFF"/>
            </w:tcBorders>
            <w:shd w:val="clear" w:color="auto" w:fill="CCECFF"/>
          </w:tcPr>
          <w:p>
            <w:pPr>
              <w:spacing w:after="0"/>
              <w:rPr>
                <w:sz w:val="12"/>
                <w:szCs w:val="12"/>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9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7.3</w:t>
            </w:r>
          </w:p>
        </w:tc>
        <w:tc>
          <w:tcPr>
            <w:tcW w:w="132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r>
      <w:tr>
        <w:trPr>
          <w:trHeight w:val="142"/>
        </w:trPr>
        <w:tc>
          <w:tcPr>
            <w:tcW w:w="2740" w:type="dxa"/>
            <w:vAlign w:val="bottom"/>
            <w:tcBorders>
              <w:top w:val="single" w:sz="8" w:color="CCECFF"/>
              <w:bottom w:val="single" w:sz="8" w:color="CCECFF"/>
            </w:tcBorders>
            <w:gridSpan w:val="2"/>
            <w:shd w:val="clear" w:color="auto" w:fill="CCECFF"/>
          </w:tcPr>
          <w:p>
            <w:pPr>
              <w:spacing w:after="0" w:line="142" w:lineRule="exact"/>
              <w:rPr>
                <w:sz w:val="20"/>
                <w:szCs w:val="20"/>
                <w:color w:val="auto"/>
              </w:rPr>
            </w:pPr>
            <w:r>
              <w:rPr>
                <w:rFonts w:ascii="Arial" w:cs="Arial" w:eastAsia="Arial" w:hAnsi="Arial"/>
                <w:sz w:val="14"/>
                <w:szCs w:val="14"/>
                <w:color w:val="auto"/>
              </w:rPr>
              <w:t>Total contractual obligations</w:t>
            </w:r>
          </w:p>
        </w:tc>
        <w:tc>
          <w:tcPr>
            <w:tcW w:w="980" w:type="dxa"/>
            <w:vAlign w:val="bottom"/>
            <w:tcBorders>
              <w:top w:val="single" w:sz="8" w:color="auto"/>
              <w:bottom w:val="single" w:sz="8" w:color="auto"/>
            </w:tcBorders>
            <w:shd w:val="clear" w:color="auto" w:fill="CCECFF"/>
          </w:tcPr>
          <w:p>
            <w:pPr>
              <w:jc w:val="right"/>
              <w:ind w:right="86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625.7</w:t>
            </w: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1320" w:type="dxa"/>
            <w:vAlign w:val="bottom"/>
            <w:tcBorders>
              <w:top w:val="single" w:sz="8" w:color="auto"/>
              <w:bottom w:val="single" w:sz="8" w:color="auto"/>
            </w:tcBorders>
            <w:shd w:val="clear" w:color="auto" w:fill="CCECFF"/>
          </w:tcPr>
          <w:p>
            <w:pPr>
              <w:jc w:val="right"/>
              <w:ind w:right="120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CFF"/>
          </w:tcPr>
          <w:p>
            <w:pPr>
              <w:ind w:left="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349.6</w:t>
            </w: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156.2</w:t>
            </w: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119.9</w:t>
            </w: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89" w:lineRule="exact"/>
        <w:rPr>
          <w:sz w:val="20"/>
          <w:szCs w:val="20"/>
          <w:color w:val="auto"/>
        </w:rPr>
      </w:pPr>
    </w:p>
    <w:p>
      <w:pPr>
        <w:ind w:left="380" w:right="140" w:hanging="372"/>
        <w:spacing w:after="0" w:line="230"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2017, excluding debt issuance costs, was 4.06% exclusive of the fee on the undrawn commitment on the Credit Facility and 3.43% of upfront fees on SBA debentures.</w:t>
      </w: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140" w:firstLine="434"/>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2017,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5" w:lineRule="exact"/>
        <w:rPr>
          <w:sz w:val="20"/>
          <w:szCs w:val="20"/>
          <w:color w:val="auto"/>
        </w:rPr>
      </w:pPr>
    </w:p>
    <w:p>
      <w:pPr>
        <w:ind w:right="160" w:firstLine="434"/>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2017,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8" w:lineRule="exact"/>
        <w:rPr>
          <w:sz w:val="20"/>
          <w:szCs w:val="20"/>
          <w:color w:val="auto"/>
        </w:rPr>
      </w:pPr>
    </w:p>
    <w:p>
      <w:pPr>
        <w:ind w:right="500" w:firstLine="434"/>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120" w:firstLine="434"/>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7" w:lineRule="exact"/>
        <w:rPr>
          <w:sz w:val="20"/>
          <w:szCs w:val="20"/>
          <w:color w:val="auto"/>
        </w:rPr>
      </w:pPr>
    </w:p>
    <w:p>
      <w:pPr>
        <w:ind w:right="380" w:firstLine="434"/>
        <w:spacing w:after="0" w:line="251" w:lineRule="auto"/>
        <w:rPr>
          <w:sz w:val="20"/>
          <w:szCs w:val="20"/>
          <w:color w:val="auto"/>
        </w:rPr>
      </w:pPr>
      <w:r>
        <w:rPr>
          <w:rFonts w:ascii="Arial" w:cs="Arial" w:eastAsia="Arial" w:hAnsi="Arial"/>
          <w:sz w:val="13"/>
          <w:szCs w:val="13"/>
          <w:color w:val="auto"/>
        </w:rPr>
        <w:t>During the three and six months ended March 31, 2017, we declared distributions of $0.18 and $0.46 per share, respectively, for total distributions of $12.8 million and $32.7 million, respectively. For the same periods in the prior year, we declared distributions of $0.28 and $0.56 per share, respectively, for total distributions of $19.9 million and $40.0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the board of directors.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460" w:firstLine="43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32" w:name="page33"/>
    <w:bookmarkEnd w:id="32"/>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40" w:firstLine="43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2017, our debt portfolio consisted of 83% variable-rate investments (including 81% with a floor) and 17%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44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tcPr>
          <w:p>
            <w:pPr>
              <w:jc w:val="center"/>
              <w:ind w:left="448"/>
              <w:spacing w:after="0"/>
              <w:rPr>
                <w:sz w:val="20"/>
                <w:szCs w:val="20"/>
                <w:color w:val="auto"/>
              </w:rPr>
            </w:pPr>
            <w:r>
              <w:rPr>
                <w:rFonts w:ascii="Arial" w:cs="Arial" w:eastAsia="Arial" w:hAnsi="Arial"/>
                <w:sz w:val="14"/>
                <w:szCs w:val="14"/>
                <w:color w:val="auto"/>
                <w:w w:val="92"/>
              </w:rPr>
              <w:t>Change In Interest Income,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0" w:type="dxa"/>
            <w:vAlign w:val="bottom"/>
          </w:tcPr>
          <w:p>
            <w:pPr>
              <w:jc w:val="center"/>
              <w:ind w:right="1008"/>
              <w:spacing w:after="0"/>
              <w:rPr>
                <w:sz w:val="20"/>
                <w:szCs w:val="20"/>
                <w:color w:val="auto"/>
              </w:rPr>
            </w:pPr>
            <w:r>
              <w:rPr>
                <w:rFonts w:ascii="Arial" w:cs="Arial" w:eastAsia="Arial" w:hAnsi="Arial"/>
                <w:sz w:val="14"/>
                <w:szCs w:val="14"/>
                <w:color w:val="auto"/>
                <w:w w:val="92"/>
              </w:rPr>
              <w:t>Change In Interest Income,</w:t>
            </w:r>
          </w:p>
        </w:tc>
      </w:tr>
      <w:tr>
        <w:trPr>
          <w:trHeight w:val="149"/>
        </w:trPr>
        <w:tc>
          <w:tcPr>
            <w:tcW w:w="3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8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3"/>
              </w:rPr>
              <w:t>Net Of Interest Expense</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0" w:type="dxa"/>
            <w:vAlign w:val="bottom"/>
          </w:tcPr>
          <w:p>
            <w:pPr>
              <w:jc w:val="center"/>
              <w:ind w:right="1028"/>
              <w:spacing w:after="0" w:line="149" w:lineRule="exact"/>
              <w:rPr>
                <w:sz w:val="20"/>
                <w:szCs w:val="20"/>
                <w:color w:val="auto"/>
              </w:rPr>
            </w:pPr>
            <w:r>
              <w:rPr>
                <w:rFonts w:ascii="Arial" w:cs="Arial" w:eastAsia="Arial" w:hAnsi="Arial"/>
                <w:sz w:val="14"/>
                <w:szCs w:val="14"/>
                <w:color w:val="auto"/>
                <w:w w:val="94"/>
              </w:rPr>
              <w:t>Net Of Interest</w:t>
            </w:r>
          </w:p>
        </w:tc>
      </w:tr>
      <w:tr>
        <w:trPr>
          <w:trHeight w:val="167"/>
        </w:trPr>
        <w:tc>
          <w:tcPr>
            <w:tcW w:w="376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Change In Interest Rates</w:t>
            </w:r>
          </w:p>
        </w:tc>
        <w:tc>
          <w:tcPr>
            <w:tcW w:w="2680" w:type="dxa"/>
            <w:vAlign w:val="bottom"/>
          </w:tcPr>
          <w:p>
            <w:pPr>
              <w:jc w:val="center"/>
              <w:ind w:left="448"/>
              <w:spacing w:after="0"/>
              <w:rPr>
                <w:sz w:val="20"/>
                <w:szCs w:val="20"/>
                <w:color w:val="auto"/>
              </w:rPr>
            </w:pPr>
            <w:r>
              <w:rPr>
                <w:rFonts w:ascii="Arial" w:cs="Arial" w:eastAsia="Arial" w:hAnsi="Arial"/>
                <w:sz w:val="14"/>
                <w:szCs w:val="14"/>
                <w:color w:val="auto"/>
                <w:w w:val="93"/>
              </w:rPr>
              <w:t>(In Thousands)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0" w:type="dxa"/>
            <w:vAlign w:val="bottom"/>
          </w:tcPr>
          <w:p>
            <w:pPr>
              <w:jc w:val="center"/>
              <w:ind w:right="1008"/>
              <w:spacing w:after="0"/>
              <w:rPr>
                <w:sz w:val="20"/>
                <w:szCs w:val="20"/>
                <w:color w:val="auto"/>
              </w:rPr>
            </w:pPr>
            <w:r>
              <w:rPr>
                <w:rFonts w:ascii="Arial" w:cs="Arial" w:eastAsia="Arial" w:hAnsi="Arial"/>
                <w:sz w:val="14"/>
                <w:szCs w:val="14"/>
                <w:color w:val="auto"/>
                <w:w w:val="88"/>
              </w:rPr>
              <w:t>Expense Per Share</w:t>
            </w:r>
          </w:p>
        </w:tc>
      </w:tr>
      <w:tr>
        <w:trPr>
          <w:trHeight w:val="142"/>
        </w:trPr>
        <w:tc>
          <w:tcPr>
            <w:tcW w:w="3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44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auto"/>
            </w:tcBorders>
            <w:shd w:val="clear" w:color="auto" w:fill="CCEEFF"/>
          </w:tcPr>
          <w:p>
            <w:pPr>
              <w:jc w:val="right"/>
              <w:ind w:right="208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5,777</w:t>
            </w:r>
          </w:p>
        </w:tc>
        <w:tc>
          <w:tcPr>
            <w:tcW w:w="4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3000" w:type="dxa"/>
            <w:vAlign w:val="bottom"/>
            <w:tcBorders>
              <w:top w:val="single" w:sz="8" w:color="auto"/>
            </w:tcBorders>
            <w:shd w:val="clear" w:color="auto" w:fill="CCEEFF"/>
          </w:tcPr>
          <w:p>
            <w:pPr>
              <w:jc w:val="right"/>
              <w:ind w:right="388"/>
              <w:spacing w:after="0" w:line="142" w:lineRule="exact"/>
              <w:rPr>
                <w:sz w:val="20"/>
                <w:szCs w:val="20"/>
                <w:color w:val="auto"/>
              </w:rPr>
            </w:pPr>
            <w:r>
              <w:rPr>
                <w:rFonts w:ascii="Arial" w:cs="Arial" w:eastAsia="Arial" w:hAnsi="Arial"/>
                <w:sz w:val="14"/>
                <w:szCs w:val="14"/>
                <w:color w:val="auto"/>
              </w:rPr>
              <w:t>0.08</w:t>
            </w:r>
          </w:p>
        </w:tc>
      </w:tr>
      <w:tr>
        <w:trPr>
          <w:trHeight w:val="162"/>
        </w:trPr>
        <w:tc>
          <w:tcPr>
            <w:tcW w:w="376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Up 2%</w:t>
            </w:r>
          </w:p>
        </w:tc>
        <w:tc>
          <w:tcPr>
            <w:tcW w:w="2680" w:type="dxa"/>
            <w:vAlign w:val="bottom"/>
          </w:tcPr>
          <w:p>
            <w:pPr>
              <w:jc w:val="right"/>
              <w:ind w:right="20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13,524</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0" w:type="dxa"/>
            <w:vAlign w:val="bottom"/>
          </w:tcPr>
          <w:p>
            <w:pPr>
              <w:jc w:val="right"/>
              <w:ind w:right="388"/>
              <w:spacing w:after="0"/>
              <w:rPr>
                <w:sz w:val="20"/>
                <w:szCs w:val="20"/>
                <w:color w:val="auto"/>
              </w:rPr>
            </w:pPr>
            <w:r>
              <w:rPr>
                <w:rFonts w:ascii="Arial" w:cs="Arial" w:eastAsia="Arial" w:hAnsi="Arial"/>
                <w:sz w:val="14"/>
                <w:szCs w:val="14"/>
                <w:color w:val="auto"/>
              </w:rPr>
              <w:t>0.19</w:t>
            </w:r>
          </w:p>
        </w:tc>
      </w:tr>
      <w:tr>
        <w:trPr>
          <w:trHeight w:val="162"/>
        </w:trPr>
        <w:tc>
          <w:tcPr>
            <w:tcW w:w="376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9"/>
              </w:rPr>
              <w:t>Up 3%</w:t>
            </w:r>
          </w:p>
        </w:tc>
        <w:tc>
          <w:tcPr>
            <w:tcW w:w="2680" w:type="dxa"/>
            <w:vAlign w:val="bottom"/>
            <w:shd w:val="clear" w:color="auto" w:fill="CCEEFF"/>
          </w:tcPr>
          <w:p>
            <w:pPr>
              <w:jc w:val="right"/>
              <w:ind w:right="20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21,272</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0.30</w:t>
            </w:r>
          </w:p>
        </w:tc>
      </w:tr>
      <w:tr>
        <w:trPr>
          <w:trHeight w:val="182"/>
        </w:trPr>
        <w:tc>
          <w:tcPr>
            <w:tcW w:w="376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Up 4%</w:t>
            </w:r>
          </w:p>
        </w:tc>
        <w:tc>
          <w:tcPr>
            <w:tcW w:w="2680" w:type="dxa"/>
            <w:vAlign w:val="bottom"/>
          </w:tcPr>
          <w:p>
            <w:pPr>
              <w:jc w:val="right"/>
              <w:ind w:right="20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29,020</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0" w:type="dxa"/>
            <w:vAlign w:val="bottom"/>
          </w:tcPr>
          <w:p>
            <w:pPr>
              <w:jc w:val="right"/>
              <w:ind w:right="388"/>
              <w:spacing w:after="0"/>
              <w:rPr>
                <w:sz w:val="20"/>
                <w:szCs w:val="20"/>
                <w:color w:val="auto"/>
              </w:rPr>
            </w:pPr>
            <w:r>
              <w:rPr>
                <w:rFonts w:ascii="Arial" w:cs="Arial" w:eastAsia="Arial" w:hAnsi="Arial"/>
                <w:sz w:val="14"/>
                <w:szCs w:val="14"/>
                <w:color w:val="auto"/>
              </w:rPr>
              <w:t>0.41</w:t>
            </w:r>
          </w:p>
        </w:tc>
      </w:tr>
    </w:tbl>
    <w:p>
      <w:pPr>
        <w:spacing w:after="0" w:line="11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0" w:firstLine="434"/>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180"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38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right="40"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2016,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4"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Articles of Incorporation (Incorporated by reference to Exhibit 99(a) to the Registrant’s Pre-Effective Amendment No. 3 to the Registration Statement on Form N-2/A (File No. 333-</w:t>
      </w:r>
    </w:p>
    <w:p>
      <w:pPr>
        <w:ind w:left="540"/>
        <w:spacing w:after="0"/>
        <w:rPr>
          <w:sz w:val="20"/>
          <w:szCs w:val="20"/>
          <w:color w:val="auto"/>
        </w:rPr>
      </w:pPr>
      <w:r>
        <w:rPr>
          <w:rFonts w:ascii="Arial" w:cs="Arial" w:eastAsia="Arial" w:hAnsi="Arial"/>
          <w:sz w:val="14"/>
          <w:szCs w:val="14"/>
          <w:color w:val="auto"/>
        </w:rPr>
        <w:t>140092), filed on April 5, 2007).</w:t>
      </w:r>
    </w:p>
    <w:p>
      <w:pPr>
        <w:spacing w:after="0" w:line="124" w:lineRule="exact"/>
        <w:rPr>
          <w:sz w:val="20"/>
          <w:szCs w:val="20"/>
          <w:color w:val="auto"/>
        </w:rPr>
      </w:pPr>
    </w:p>
    <w:p>
      <w:pPr>
        <w:ind w:left="540" w:right="700" w:hanging="539"/>
        <w:spacing w:after="0" w:line="253" w:lineRule="auto"/>
        <w:tabs>
          <w:tab w:leader="none" w:pos="5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Amended and Restated Bylaws of the Registrant (Incorporated by reference to Exhibit 3.1 to the Registrant’s Current Report on Form 8-K (File No. 814-00736), filed on December 2, 2015).</w:t>
      </w:r>
    </w:p>
    <w:p>
      <w:pPr>
        <w:spacing w:after="0" w:line="10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onForm N-2 (File No. 333-150033), filed on April 2, 2008).</w:t>
      </w:r>
    </w:p>
    <w:p>
      <w:pPr>
        <w:spacing w:after="0" w:line="136" w:lineRule="exact"/>
        <w:rPr>
          <w:sz w:val="20"/>
          <w:szCs w:val="20"/>
          <w:color w:val="auto"/>
        </w:rPr>
      </w:pPr>
    </w:p>
    <w:p>
      <w:pPr>
        <w:ind w:right="3220" w:firstLine="8"/>
        <w:spacing w:after="0" w:line="476" w:lineRule="auto"/>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Computation of Per Share Earnings (included in the notes to the Consolidated Financial Statements contained in this Report). 31.1* Certification of Chief Executive Officer pursuant to Rule 13a-14 of the Securities Exchange Act of 1934, as amended.</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31.2*   Certification of Chief Financial Officer pursuant to Rule 13a-14 of the Securities Exchange Act of 1934, as amended.</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32.1*   Certification of Chief Executive Officer pursuant to Section 906 of the Sarbanes-Oxley Act of 2002.</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32.2*   Certification of Chief Financial Officer pursuant to Section 906 of the Sarbanes-Oxley Act of 2002.</w:t>
      </w:r>
    </w:p>
    <w:p>
      <w:pPr>
        <w:spacing w:after="0" w:line="136" w:lineRule="exact"/>
        <w:rPr>
          <w:rFonts w:ascii="Arial" w:cs="Arial" w:eastAsia="Arial" w:hAnsi="Arial"/>
          <w:sz w:val="13"/>
          <w:szCs w:val="13"/>
          <w:color w:val="auto"/>
        </w:rPr>
      </w:pPr>
    </w:p>
    <w:p>
      <w:pPr>
        <w:ind w:right="260"/>
        <w:spacing w:after="0" w:line="514" w:lineRule="auto"/>
        <w:rPr>
          <w:rFonts w:ascii="Arial" w:cs="Arial" w:eastAsia="Arial" w:hAnsi="Arial"/>
          <w:sz w:val="13"/>
          <w:szCs w:val="13"/>
          <w:color w:val="auto"/>
        </w:rPr>
      </w:pPr>
      <w:r>
        <w:rPr>
          <w:rFonts w:ascii="Arial" w:cs="Arial" w:eastAsia="Arial" w:hAnsi="Arial"/>
          <w:sz w:val="14"/>
          <w:szCs w:val="14"/>
          <w:color w:val="auto"/>
        </w:rPr>
        <w:t>99.1 Privacy Policy of the Registrant (Incorporated by reference to Exhibit 99.1 to the Registrant’s Annual Report on Form 10-K (File No. 814-00736), filed on November 16, 2011).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345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35" w:name="page36"/>
    <w:bookmarkEnd w:id="35"/>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64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80" w:type="dxa"/>
            <w:vAlign w:val="bottom"/>
          </w:tcPr>
          <w:p>
            <w:pPr>
              <w:ind w:left="380"/>
              <w:spacing w:after="0"/>
              <w:rPr>
                <w:sz w:val="20"/>
                <w:szCs w:val="20"/>
                <w:color w:val="auto"/>
              </w:rPr>
            </w:pPr>
            <w:r>
              <w:rPr>
                <w:rFonts w:ascii="Arial" w:cs="Arial" w:eastAsia="Arial" w:hAnsi="Arial"/>
                <w:sz w:val="14"/>
                <w:szCs w:val="14"/>
                <w:color w:val="auto"/>
              </w:rPr>
              <w:t>PENNANTPARK INVESTMENT CORPORATION</w:t>
            </w:r>
          </w:p>
        </w:tc>
        <w:tc>
          <w:tcPr>
            <w:tcW w:w="0" w:type="dxa"/>
            <w:vAlign w:val="bottom"/>
          </w:tcPr>
          <w:p>
            <w:pPr>
              <w:spacing w:after="0"/>
              <w:rPr>
                <w:sz w:val="1"/>
                <w:szCs w:val="1"/>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4"/>
                <w:szCs w:val="14"/>
                <w:color w:val="auto"/>
              </w:rPr>
              <w:t>Date: May 8, 2017</w:t>
            </w:r>
          </w:p>
        </w:tc>
        <w:tc>
          <w:tcPr>
            <w:tcW w:w="2020" w:type="dxa"/>
            <w:vAlign w:val="bottom"/>
            <w:vMerge w:val="restart"/>
          </w:tcPr>
          <w:p>
            <w:pPr>
              <w:ind w:left="1760"/>
              <w:spacing w:after="0"/>
              <w:rPr>
                <w:sz w:val="20"/>
                <w:szCs w:val="20"/>
                <w:color w:val="auto"/>
              </w:rPr>
            </w:pPr>
            <w:r>
              <w:rPr>
                <w:rFonts w:ascii="Arial" w:cs="Arial" w:eastAsia="Arial" w:hAnsi="Arial"/>
                <w:sz w:val="14"/>
                <w:szCs w:val="14"/>
                <w:color w:val="auto"/>
              </w:rPr>
              <w:t>By:</w:t>
            </w:r>
          </w:p>
        </w:tc>
        <w:tc>
          <w:tcPr>
            <w:tcW w:w="520" w:type="dxa"/>
            <w:vAlign w:val="bottom"/>
          </w:tcPr>
          <w:p>
            <w:pPr>
              <w:spacing w:after="0"/>
              <w:rPr>
                <w:sz w:val="24"/>
                <w:szCs w:val="2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color w:val="auto"/>
                <w:w w:val="95"/>
              </w:rPr>
              <w:t>/s/ Arthur H. Penn</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5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0"/>
                <w:szCs w:val="20"/>
                <w:color w:val="auto"/>
              </w:rPr>
            </w:pPr>
            <w:r>
              <w:rPr>
                <w:rFonts w:ascii="Arial" w:cs="Arial" w:eastAsia="Arial" w:hAnsi="Arial"/>
                <w:sz w:val="14"/>
                <w:szCs w:val="14"/>
                <w:color w:val="auto"/>
              </w:rPr>
              <w:t>Date: May 8, 2017</w:t>
            </w:r>
          </w:p>
        </w:tc>
        <w:tc>
          <w:tcPr>
            <w:tcW w:w="2020" w:type="dxa"/>
            <w:vAlign w:val="bottom"/>
            <w:vMerge w:val="restart"/>
          </w:tcPr>
          <w:p>
            <w:pPr>
              <w:ind w:left="1760"/>
              <w:spacing w:after="0"/>
              <w:rPr>
                <w:sz w:val="20"/>
                <w:szCs w:val="20"/>
                <w:color w:val="auto"/>
              </w:rPr>
            </w:pPr>
            <w:r>
              <w:rPr>
                <w:rFonts w:ascii="Arial" w:cs="Arial" w:eastAsia="Arial" w:hAnsi="Arial"/>
                <w:sz w:val="14"/>
                <w:szCs w:val="14"/>
                <w:color w:val="auto"/>
              </w:rPr>
              <w:t>By:</w:t>
            </w:r>
          </w:p>
        </w:tc>
        <w:tc>
          <w:tcPr>
            <w:tcW w:w="520" w:type="dxa"/>
            <w:vAlign w:val="bottom"/>
          </w:tcPr>
          <w:p>
            <w:pPr>
              <w:spacing w:after="0"/>
              <w:rPr>
                <w:sz w:val="24"/>
                <w:szCs w:val="2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color w:val="auto"/>
                <w:w w:val="99"/>
              </w:rPr>
              <w:t>/s/ Aviv Efrat</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5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r>
        <w:trPr>
          <w:trHeight w:val="810"/>
        </w:trPr>
        <w:tc>
          <w:tcPr>
            <w:tcW w:w="2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36</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333" w:right="639" w:bottom="1440" w:gutter="0" w:footer="0" w:header="0"/>
        </w:sectPr>
      </w:pPr>
    </w:p>
    <w:bookmarkStart w:id="36" w:name="page37"/>
    <w:bookmarkEnd w:id="36"/>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ind w:left="4060"/>
        <w:spacing w:after="0" w:line="226" w:lineRule="auto"/>
        <w:rPr>
          <w:sz w:val="20"/>
          <w:szCs w:val="20"/>
          <w:color w:val="auto"/>
        </w:rPr>
      </w:pPr>
      <w:r>
        <w:rPr>
          <w:rFonts w:ascii="Arial" w:cs="Arial" w:eastAsia="Arial" w:hAnsi="Arial"/>
          <w:sz w:val="14"/>
          <w:szCs w:val="14"/>
          <w:b w:val="1"/>
          <w:bCs w:val="1"/>
          <w:color w:val="auto"/>
        </w:rPr>
        <w:t>CHIEF EXECUTIVE OFFICER CERTIFICATION</w:t>
      </w: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May 8, 2017</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37" w:name="page38"/>
    <w:bookmarkEnd w:id="37"/>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440" w:firstLine="695"/>
        <w:spacing w:after="0" w:line="405" w:lineRule="auto"/>
        <w:tabs>
          <w:tab w:leader="none" w:pos="832" w:val="left"/>
        </w:tabs>
        <w:numPr>
          <w:ilvl w:val="2"/>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May 8, 2017</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118" w:right="339" w:bottom="1440" w:gutter="0" w:footer="0" w:header="0"/>
        </w:sectPr>
      </w:pPr>
    </w:p>
    <w:bookmarkStart w:id="38" w:name="page39"/>
    <w:bookmarkEnd w:id="38"/>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6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32.1</w:t>
      </w:r>
    </w:p>
    <w:p>
      <w:pPr>
        <w:spacing w:after="0" w:line="370" w:lineRule="exact"/>
        <w:rPr>
          <w:sz w:val="20"/>
          <w:szCs w:val="20"/>
          <w:color w:val="auto"/>
        </w:rPr>
      </w:pPr>
    </w:p>
    <w:p>
      <w:pPr>
        <w:ind w:left="120" w:right="4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8, 2017</w:t>
      </w:r>
    </w:p>
    <w:p>
      <w:pPr>
        <w:sectPr>
          <w:pgSz w:w="11900" w:h="16838" w:orient="portrait"/>
          <w:cols w:equalWidth="0" w:num="1">
            <w:col w:w="11240"/>
          </w:cols>
          <w:pgMar w:left="320" w:top="13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32.2</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and six months ended March 31, 2017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May 8, 2017</w:t>
      </w:r>
    </w:p>
    <w:sectPr>
      <w:pgSz w:w="11900" w:h="16838" w:orient="portrait"/>
      <w:cols w:equalWidth="0" w:num="1">
        <w:col w:w="11240"/>
      </w:cols>
      <w:pgMar w:left="320" w:top="5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1)"/>
      <w:numFmt w:val="lowerLetter"/>
      <w:start w:val="3"/>
    </w:lvl>
  </w:abstractNum>
  <w:abstractNum w:abstractNumId="8">
    <w:nsid w:val="628C895D"/>
    <w:multiLevelType w:val="hybridMultilevel"/>
    <w:lvl w:ilvl="0">
      <w:lvlJc w:val="left"/>
      <w:lvlText w:val="(%1)"/>
      <w:numFmt w:val="lowerLetter"/>
      <w:start w:val="4"/>
    </w:lvl>
  </w:abstractNum>
  <w:abstractNum w:abstractNumId="9">
    <w:nsid w:val="333AB105"/>
    <w:multiLevelType w:val="hybridMultilevel"/>
    <w:lvl w:ilvl="0">
      <w:lvlJc w:val="left"/>
      <w:lvlText w:val="(%1)"/>
      <w:numFmt w:val="lowerLetter"/>
      <w:start w:val="5"/>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lowerLetter"/>
      <w:start w:val="6"/>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1"/>
    </w:lvl>
  </w:abstractNum>
  <w:abstractNum w:abstractNumId="25">
    <w:nsid w:val="3A95F8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6">
    <w:nsid w:val="813864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27">
    <w:nsid w:val="1E7FF5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8">
    <w:nsid w:val="7C3DBD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737B8DDC"/>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0">
    <w:nsid w:val="6CEAF0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2020-05-05T15:20:23Z</dcterms:created>
  <dcterms:modified xsi:type="dcterms:W3CDTF">2020-05-05T15:20:23Z</dcterms:modified>
</cp:coreProperties>
</file>