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ind w:left="720" w:right="4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QUARTER ENDED JUNE 30, 2011</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38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720"/>
        <w:spacing w:after="0"/>
        <w:tabs>
          <w:tab w:leader="none" w:pos="4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2593340</wp:posOffset>
            </wp:positionH>
            <wp:positionV relativeFrom="paragraph">
              <wp:posOffset>-7620</wp:posOffset>
            </wp:positionV>
            <wp:extent cx="903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3605"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CORPORATION</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205"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6020" w:type="dxa"/>
            <w:vAlign w:val="bottom"/>
          </w:tcPr>
          <w:p>
            <w:pPr>
              <w:jc w:val="center"/>
              <w:ind w:right="3558"/>
              <w:spacing w:after="0"/>
              <w:rPr>
                <w:sz w:val="20"/>
                <w:szCs w:val="20"/>
                <w:color w:val="auto"/>
              </w:rPr>
            </w:pPr>
            <w:r>
              <w:rPr>
                <w:rFonts w:ascii="Arial" w:cs="Arial" w:eastAsia="Arial" w:hAnsi="Arial"/>
                <w:sz w:val="18"/>
                <w:szCs w:val="18"/>
                <w:b w:val="1"/>
                <w:bCs w:val="1"/>
                <w:color w:val="auto"/>
              </w:rPr>
              <w:t>MARYLAND</w:t>
            </w:r>
          </w:p>
        </w:tc>
        <w:tc>
          <w:tcPr>
            <w:tcW w:w="1360" w:type="dxa"/>
            <w:vAlign w:val="bottom"/>
          </w:tcPr>
          <w:p>
            <w:pPr>
              <w:jc w:val="right"/>
              <w:ind w:right="61"/>
              <w:spacing w:after="0"/>
              <w:rPr>
                <w:sz w:val="20"/>
                <w:szCs w:val="20"/>
                <w:color w:val="auto"/>
              </w:rPr>
            </w:pPr>
            <w:r>
              <w:rPr>
                <w:rFonts w:ascii="Arial" w:cs="Arial" w:eastAsia="Arial" w:hAnsi="Arial"/>
                <w:sz w:val="18"/>
                <w:szCs w:val="18"/>
                <w:b w:val="1"/>
                <w:bCs w:val="1"/>
                <w:color w:val="auto"/>
              </w:rPr>
              <w:t>20-8250744</w:t>
            </w:r>
          </w:p>
        </w:tc>
      </w:tr>
      <w:tr>
        <w:trPr>
          <w:trHeight w:val="180"/>
        </w:trPr>
        <w:tc>
          <w:tcPr>
            <w:tcW w:w="6020" w:type="dxa"/>
            <w:vAlign w:val="bottom"/>
          </w:tcPr>
          <w:p>
            <w:pPr>
              <w:jc w:val="center"/>
              <w:ind w:right="3538"/>
              <w:spacing w:after="0"/>
              <w:rPr>
                <w:sz w:val="20"/>
                <w:szCs w:val="20"/>
                <w:color w:val="auto"/>
              </w:rPr>
            </w:pPr>
            <w:r>
              <w:rPr>
                <w:rFonts w:ascii="Arial" w:cs="Arial" w:eastAsia="Arial" w:hAnsi="Arial"/>
                <w:sz w:val="14"/>
                <w:szCs w:val="14"/>
                <w:b w:val="1"/>
                <w:bCs w:val="1"/>
                <w:color w:val="auto"/>
                <w:w w:val="93"/>
              </w:rPr>
              <w:t>(State or other jurisdiction of</w:t>
            </w:r>
          </w:p>
        </w:tc>
        <w:tc>
          <w:tcPr>
            <w:tcW w:w="1360" w:type="dxa"/>
            <w:vAlign w:val="bottom"/>
          </w:tcPr>
          <w:p>
            <w:pPr>
              <w:jc w:val="center"/>
              <w:ind w:left="16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020" w:type="dxa"/>
            <w:vAlign w:val="bottom"/>
          </w:tcPr>
          <w:p>
            <w:pPr>
              <w:jc w:val="center"/>
              <w:ind w:right="3538"/>
              <w:spacing w:after="0"/>
              <w:rPr>
                <w:sz w:val="20"/>
                <w:szCs w:val="20"/>
                <w:color w:val="auto"/>
              </w:rPr>
            </w:pPr>
            <w:r>
              <w:rPr>
                <w:rFonts w:ascii="Arial" w:cs="Arial" w:eastAsia="Arial" w:hAnsi="Arial"/>
                <w:sz w:val="14"/>
                <w:szCs w:val="14"/>
                <w:b w:val="1"/>
                <w:bCs w:val="1"/>
                <w:color w:val="auto"/>
                <w:w w:val="94"/>
              </w:rPr>
              <w:t>incorporation or organization)</w:t>
            </w:r>
          </w:p>
        </w:tc>
        <w:tc>
          <w:tcPr>
            <w:tcW w:w="136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Identification No.)</w:t>
            </w:r>
          </w:p>
        </w:tc>
      </w:tr>
      <w:tr>
        <w:trPr>
          <w:trHeight w:val="372"/>
        </w:trPr>
        <w:tc>
          <w:tcPr>
            <w:tcW w:w="6020" w:type="dxa"/>
            <w:vAlign w:val="bottom"/>
          </w:tcPr>
          <w:p>
            <w:pPr>
              <w:jc w:val="center"/>
              <w:ind w:right="3538"/>
              <w:spacing w:after="0"/>
              <w:rPr>
                <w:sz w:val="20"/>
                <w:szCs w:val="20"/>
                <w:color w:val="auto"/>
              </w:rPr>
            </w:pPr>
            <w:r>
              <w:rPr>
                <w:rFonts w:ascii="Arial" w:cs="Arial" w:eastAsia="Arial" w:hAnsi="Arial"/>
                <w:sz w:val="18"/>
                <w:szCs w:val="18"/>
                <w:b w:val="1"/>
                <w:bCs w:val="1"/>
                <w:color w:val="auto"/>
                <w:w w:val="89"/>
              </w:rPr>
              <w:t>590 Madison Avenue, 15</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Floor</w:t>
            </w:r>
          </w:p>
        </w:tc>
        <w:tc>
          <w:tcPr>
            <w:tcW w:w="1360" w:type="dxa"/>
            <w:vAlign w:val="bottom"/>
          </w:tcPr>
          <w:p>
            <w:pPr>
              <w:spacing w:after="0"/>
              <w:rPr>
                <w:sz w:val="24"/>
                <w:szCs w:val="24"/>
                <w:color w:val="auto"/>
              </w:rPr>
            </w:pPr>
          </w:p>
        </w:tc>
      </w:tr>
      <w:tr>
        <w:trPr>
          <w:trHeight w:val="248"/>
        </w:trPr>
        <w:tc>
          <w:tcPr>
            <w:tcW w:w="6020" w:type="dxa"/>
            <w:vAlign w:val="bottom"/>
          </w:tcPr>
          <w:p>
            <w:pPr>
              <w:jc w:val="center"/>
              <w:ind w:right="3538"/>
              <w:spacing w:after="0"/>
              <w:rPr>
                <w:sz w:val="20"/>
                <w:szCs w:val="20"/>
                <w:color w:val="auto"/>
              </w:rPr>
            </w:pPr>
            <w:r>
              <w:rPr>
                <w:rFonts w:ascii="Arial" w:cs="Arial" w:eastAsia="Arial" w:hAnsi="Arial"/>
                <w:sz w:val="18"/>
                <w:szCs w:val="18"/>
                <w:b w:val="1"/>
                <w:bCs w:val="1"/>
                <w:color w:val="auto"/>
                <w:w w:val="94"/>
              </w:rPr>
              <w:t>New York, N.Y.</w:t>
            </w:r>
          </w:p>
        </w:tc>
        <w:tc>
          <w:tcPr>
            <w:tcW w:w="1360" w:type="dxa"/>
            <w:vAlign w:val="bottom"/>
          </w:tcPr>
          <w:p>
            <w:pPr>
              <w:jc w:val="right"/>
              <w:ind w:right="261"/>
              <w:spacing w:after="0"/>
              <w:rPr>
                <w:sz w:val="20"/>
                <w:szCs w:val="20"/>
                <w:color w:val="auto"/>
              </w:rPr>
            </w:pPr>
            <w:r>
              <w:rPr>
                <w:rFonts w:ascii="Arial" w:cs="Arial" w:eastAsia="Arial" w:hAnsi="Arial"/>
                <w:sz w:val="18"/>
                <w:szCs w:val="18"/>
                <w:b w:val="1"/>
                <w:bCs w:val="1"/>
                <w:color w:val="auto"/>
              </w:rPr>
              <w:t>10022</w:t>
            </w:r>
          </w:p>
        </w:tc>
      </w:tr>
      <w:tr>
        <w:trPr>
          <w:trHeight w:val="211"/>
        </w:trPr>
        <w:tc>
          <w:tcPr>
            <w:tcW w:w="6020" w:type="dxa"/>
            <w:vAlign w:val="bottom"/>
          </w:tcPr>
          <w:p>
            <w:pPr>
              <w:jc w:val="center"/>
              <w:ind w:right="35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60" w:type="dxa"/>
            <w:vAlign w:val="bottom"/>
          </w:tcPr>
          <w:p>
            <w:pPr>
              <w:jc w:val="center"/>
              <w:ind w:left="141"/>
              <w:spacing w:after="0"/>
              <w:rPr>
                <w:sz w:val="20"/>
                <w:szCs w:val="20"/>
                <w:color w:val="auto"/>
              </w:rPr>
            </w:pPr>
            <w:r>
              <w:rPr>
                <w:rFonts w:ascii="Arial" w:cs="Arial" w:eastAsia="Arial" w:hAnsi="Arial"/>
                <w:sz w:val="14"/>
                <w:szCs w:val="14"/>
                <w:b w:val="1"/>
                <w:bCs w:val="1"/>
                <w:color w:val="auto"/>
                <w:w w:val="95"/>
              </w:rPr>
              <w:t>(Zip Code)</w:t>
            </w:r>
          </w:p>
        </w:tc>
      </w:tr>
      <w:tr>
        <w:trPr>
          <w:trHeight w:val="212"/>
        </w:trPr>
        <w:tc>
          <w:tcPr>
            <w:tcW w:w="6020" w:type="dxa"/>
            <w:vAlign w:val="bottom"/>
          </w:tcPr>
          <w:p>
            <w:pPr>
              <w:jc w:val="right"/>
              <w:ind w:right="1418"/>
              <w:spacing w:after="0"/>
              <w:rPr>
                <w:sz w:val="20"/>
                <w:szCs w:val="20"/>
                <w:color w:val="auto"/>
              </w:rPr>
            </w:pPr>
            <w:r>
              <w:rPr>
                <w:rFonts w:ascii="Arial" w:cs="Arial" w:eastAsia="Arial" w:hAnsi="Arial"/>
                <w:sz w:val="18"/>
                <w:szCs w:val="18"/>
                <w:b w:val="1"/>
                <w:bCs w:val="1"/>
                <w:color w:val="auto"/>
              </w:rPr>
              <w:t>(212)-905-1000</w:t>
            </w:r>
          </w:p>
        </w:tc>
        <w:tc>
          <w:tcPr>
            <w:tcW w:w="1360" w:type="dxa"/>
            <w:vAlign w:val="bottom"/>
          </w:tcPr>
          <w:p>
            <w:pPr>
              <w:spacing w:after="0"/>
              <w:rPr>
                <w:sz w:val="18"/>
                <w:szCs w:val="18"/>
                <w:color w:val="auto"/>
              </w:rPr>
            </w:pPr>
          </w:p>
        </w:tc>
      </w:tr>
      <w:tr>
        <w:trPr>
          <w:trHeight w:val="170"/>
        </w:trPr>
        <w:tc>
          <w:tcPr>
            <w:tcW w:w="6020" w:type="dxa"/>
            <w:vAlign w:val="bottom"/>
          </w:tcPr>
          <w:p>
            <w:pPr>
              <w:ind w:left="224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360" w:type="dxa"/>
            <w:vAlign w:val="bottom"/>
          </w:tcPr>
          <w:p>
            <w:pPr>
              <w:spacing w:after="0"/>
              <w:rPr>
                <w:sz w:val="14"/>
                <w:szCs w:val="14"/>
                <w:color w:val="auto"/>
              </w:rPr>
            </w:pPr>
          </w:p>
        </w:tc>
      </w:tr>
      <w:tr>
        <w:trPr>
          <w:trHeight w:val="230"/>
        </w:trPr>
        <w:tc>
          <w:tcPr>
            <w:tcW w:w="6020" w:type="dxa"/>
            <w:vAlign w:val="bottom"/>
          </w:tcPr>
          <w:p>
            <w:pPr>
              <w:jc w:val="right"/>
              <w:ind w:right="158"/>
              <w:spacing w:after="0"/>
              <w:rPr>
                <w:sz w:val="20"/>
                <w:szCs w:val="20"/>
                <w:color w:val="auto"/>
              </w:rPr>
            </w:pPr>
            <w:r>
              <w:rPr>
                <w:rFonts w:ascii="Arial" w:cs="Arial" w:eastAsia="Arial" w:hAnsi="Arial"/>
                <w:sz w:val="18"/>
                <w:szCs w:val="18"/>
                <w:color w:val="auto"/>
              </w:rPr>
              <w:t>_________________________________________</w:t>
            </w:r>
          </w:p>
        </w:tc>
        <w:tc>
          <w:tcPr>
            <w:tcW w:w="1360" w:type="dxa"/>
            <w:vAlign w:val="bottom"/>
          </w:tcPr>
          <w:p>
            <w:pPr>
              <w:spacing w:after="0"/>
              <w:rPr>
                <w:sz w:val="20"/>
                <w:szCs w:val="20"/>
                <w:color w:val="auto"/>
              </w:rPr>
            </w:pPr>
          </w:p>
        </w:tc>
      </w:tr>
    </w:tbl>
    <w:p>
      <w:pPr>
        <w:spacing w:after="0" w:line="148" w:lineRule="exact"/>
        <w:rPr>
          <w:sz w:val="24"/>
          <w:szCs w:val="24"/>
          <w:color w:val="auto"/>
        </w:rPr>
      </w:pPr>
    </w:p>
    <w:p>
      <w:pPr>
        <w:ind w:right="20" w:firstLine="432"/>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28"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43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5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280" w:type="dxa"/>
            <w:vAlign w:val="bottom"/>
          </w:tcPr>
          <w:p>
            <w:pPr>
              <w:spacing w:after="0"/>
              <w:rPr>
                <w:sz w:val="20"/>
                <w:szCs w:val="20"/>
                <w:color w:val="auto"/>
              </w:rPr>
            </w:pPr>
          </w:p>
        </w:tc>
        <w:tc>
          <w:tcPr>
            <w:tcW w:w="3500" w:type="dxa"/>
            <w:vAlign w:val="bottom"/>
            <w:vMerge w:val="restart"/>
          </w:tcPr>
          <w:p>
            <w:pPr>
              <w:ind w:left="1860"/>
              <w:spacing w:after="0"/>
              <w:rPr>
                <w:sz w:val="20"/>
                <w:szCs w:val="20"/>
                <w:color w:val="auto"/>
              </w:rPr>
            </w:pPr>
            <w:r>
              <w:rPr>
                <w:rFonts w:ascii="Arial" w:cs="Arial" w:eastAsia="Arial" w:hAnsi="Arial"/>
                <w:sz w:val="18"/>
                <w:szCs w:val="18"/>
                <w:color w:val="auto"/>
              </w:rPr>
              <w:t>Accelerated filer</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5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5"/>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280" w:type="dxa"/>
            <w:vAlign w:val="bottom"/>
          </w:tcPr>
          <w:p>
            <w:pPr>
              <w:ind w:left="80"/>
              <w:spacing w:after="0"/>
              <w:rPr>
                <w:sz w:val="20"/>
                <w:szCs w:val="20"/>
                <w:color w:val="auto"/>
              </w:rPr>
            </w:pPr>
            <w:r>
              <w:rPr>
                <w:rFonts w:ascii="Arial" w:cs="Arial" w:eastAsia="Arial" w:hAnsi="Arial"/>
                <w:sz w:val="18"/>
                <w:szCs w:val="18"/>
                <w:color w:val="auto"/>
              </w:rPr>
              <w:t>(Do not check if a smaller reporting company)</w:t>
            </w:r>
          </w:p>
        </w:tc>
        <w:tc>
          <w:tcPr>
            <w:tcW w:w="4020" w:type="dxa"/>
            <w:vAlign w:val="bottom"/>
            <w:gridSpan w:val="2"/>
            <w:vMerge w:val="restart"/>
          </w:tcPr>
          <w:p>
            <w:pPr>
              <w:jc w:val="right"/>
              <w:spacing w:after="0"/>
              <w:rPr>
                <w:sz w:val="20"/>
                <w:szCs w:val="20"/>
                <w:color w:val="auto"/>
              </w:rPr>
            </w:pPr>
            <w:r>
              <w:rPr>
                <w:rFonts w:ascii="Arial" w:cs="Arial" w:eastAsia="Arial" w:hAnsi="Arial"/>
                <w:sz w:val="18"/>
                <w:szCs w:val="18"/>
                <w:color w:val="auto"/>
              </w:rPr>
              <w:t>Smaller reporting company £</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4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42" w:lineRule="exact"/>
        <w:rPr>
          <w:sz w:val="24"/>
          <w:szCs w:val="24"/>
          <w:color w:val="auto"/>
        </w:rPr>
      </w:pPr>
    </w:p>
    <w:p>
      <w:pPr>
        <w:ind w:left="440"/>
        <w:spacing w:after="0" w:line="207" w:lineRule="exact"/>
        <w:tabs>
          <w:tab w:leader="none" w:pos="876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The number of shares of the issuer’s common stock, $0.001 par value, outstanding as of August 3, 2011 was 45,689,781.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8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420" w:type="dxa"/>
            <w:vAlign w:val="bottom"/>
          </w:tcPr>
          <w:p>
            <w:pPr>
              <w:spacing w:after="0"/>
              <w:rPr>
                <w:sz w:val="20"/>
                <w:szCs w:val="20"/>
                <w:color w:val="auto"/>
              </w:rPr>
            </w:pPr>
          </w:p>
        </w:tc>
      </w:tr>
      <w:tr>
        <w:trPr>
          <w:trHeight w:val="441"/>
        </w:trPr>
        <w:tc>
          <w:tcPr>
            <w:tcW w:w="9800" w:type="dxa"/>
            <w:vAlign w:val="bottom"/>
          </w:tcPr>
          <w:p>
            <w:pPr>
              <w:jc w:val="center"/>
              <w:ind w:left="1370"/>
              <w:spacing w:after="0"/>
              <w:rPr>
                <w:sz w:val="20"/>
                <w:szCs w:val="20"/>
                <w:color w:val="auto"/>
              </w:rPr>
            </w:pPr>
            <w:r>
              <w:rPr>
                <w:rFonts w:ascii="Arial" w:cs="Arial" w:eastAsia="Arial" w:hAnsi="Arial"/>
                <w:sz w:val="18"/>
                <w:szCs w:val="18"/>
                <w:b w:val="1"/>
                <w:bCs w:val="1"/>
                <w:color w:val="auto"/>
              </w:rPr>
              <w:t>PENNANTPARK INVESTMENT CORPORATION AND SUBSIDIARIES</w:t>
            </w:r>
          </w:p>
        </w:tc>
        <w:tc>
          <w:tcPr>
            <w:tcW w:w="1420" w:type="dxa"/>
            <w:vAlign w:val="bottom"/>
          </w:tcPr>
          <w:p>
            <w:pPr>
              <w:spacing w:after="0"/>
              <w:rPr>
                <w:sz w:val="24"/>
                <w:szCs w:val="24"/>
                <w:color w:val="auto"/>
              </w:rPr>
            </w:pPr>
          </w:p>
        </w:tc>
      </w:tr>
      <w:tr>
        <w:trPr>
          <w:trHeight w:val="216"/>
        </w:trPr>
        <w:tc>
          <w:tcPr>
            <w:tcW w:w="9800" w:type="dxa"/>
            <w:vAlign w:val="bottom"/>
          </w:tcPr>
          <w:p>
            <w:pPr>
              <w:jc w:val="center"/>
              <w:ind w:left="1370"/>
              <w:spacing w:after="0"/>
              <w:rPr>
                <w:sz w:val="20"/>
                <w:szCs w:val="20"/>
                <w:color w:val="auto"/>
              </w:rPr>
            </w:pPr>
            <w:r>
              <w:rPr>
                <w:rFonts w:ascii="Arial" w:cs="Arial" w:eastAsia="Arial" w:hAnsi="Arial"/>
                <w:sz w:val="18"/>
                <w:szCs w:val="18"/>
                <w:b w:val="1"/>
                <w:bCs w:val="1"/>
                <w:color w:val="auto"/>
                <w:w w:val="99"/>
              </w:rPr>
              <w:t>FORM 10-Q</w:t>
            </w:r>
          </w:p>
        </w:tc>
        <w:tc>
          <w:tcPr>
            <w:tcW w:w="1420" w:type="dxa"/>
            <w:vAlign w:val="bottom"/>
          </w:tcPr>
          <w:p>
            <w:pPr>
              <w:spacing w:after="0"/>
              <w:rPr>
                <w:sz w:val="18"/>
                <w:szCs w:val="18"/>
                <w:color w:val="auto"/>
              </w:rPr>
            </w:pPr>
          </w:p>
        </w:tc>
      </w:tr>
      <w:tr>
        <w:trPr>
          <w:trHeight w:val="216"/>
        </w:trPr>
        <w:tc>
          <w:tcPr>
            <w:tcW w:w="9800" w:type="dxa"/>
            <w:vAlign w:val="bottom"/>
          </w:tcPr>
          <w:p>
            <w:pPr>
              <w:jc w:val="center"/>
              <w:ind w:left="1350"/>
              <w:spacing w:after="0"/>
              <w:rPr>
                <w:sz w:val="20"/>
                <w:szCs w:val="20"/>
                <w:color w:val="auto"/>
              </w:rPr>
            </w:pPr>
            <w:r>
              <w:rPr>
                <w:rFonts w:ascii="Arial" w:cs="Arial" w:eastAsia="Arial" w:hAnsi="Arial"/>
                <w:sz w:val="18"/>
                <w:szCs w:val="18"/>
                <w:b w:val="1"/>
                <w:bCs w:val="1"/>
                <w:color w:val="auto"/>
                <w:w w:val="97"/>
              </w:rPr>
              <w:t>FOR THE QUARTER ENDED JUNE 30, 2011</w:t>
            </w:r>
          </w:p>
        </w:tc>
        <w:tc>
          <w:tcPr>
            <w:tcW w:w="1420" w:type="dxa"/>
            <w:vAlign w:val="bottom"/>
          </w:tcPr>
          <w:p>
            <w:pPr>
              <w:spacing w:after="0"/>
              <w:rPr>
                <w:sz w:val="18"/>
                <w:szCs w:val="18"/>
                <w:color w:val="auto"/>
              </w:rPr>
            </w:pPr>
          </w:p>
        </w:tc>
      </w:tr>
      <w:tr>
        <w:trPr>
          <w:trHeight w:val="234"/>
        </w:trPr>
        <w:tc>
          <w:tcPr>
            <w:tcW w:w="9800" w:type="dxa"/>
            <w:vAlign w:val="bottom"/>
          </w:tcPr>
          <w:p>
            <w:pPr>
              <w:jc w:val="center"/>
              <w:ind w:left="1350"/>
              <w:spacing w:after="0"/>
              <w:rPr>
                <w:sz w:val="20"/>
                <w:szCs w:val="20"/>
                <w:color w:val="auto"/>
              </w:rPr>
            </w:pPr>
            <w:r>
              <w:rPr>
                <w:rFonts w:ascii="Arial" w:cs="Arial" w:eastAsia="Arial" w:hAnsi="Arial"/>
                <w:sz w:val="18"/>
                <w:szCs w:val="18"/>
                <w:b w:val="1"/>
                <w:bCs w:val="1"/>
                <w:color w:val="auto"/>
                <w:w w:val="98"/>
              </w:rPr>
              <w:t>TABLE OF CONTENTS</w:t>
            </w:r>
          </w:p>
        </w:tc>
        <w:tc>
          <w:tcPr>
            <w:tcW w:w="1420" w:type="dxa"/>
            <w:vAlign w:val="bottom"/>
          </w:tcPr>
          <w:p>
            <w:pPr>
              <w:spacing w:after="0"/>
              <w:rPr>
                <w:sz w:val="20"/>
                <w:szCs w:val="20"/>
                <w:color w:val="auto"/>
              </w:rPr>
            </w:pPr>
          </w:p>
        </w:tc>
      </w:tr>
      <w:tr>
        <w:trPr>
          <w:trHeight w:val="567"/>
        </w:trPr>
        <w:tc>
          <w:tcPr>
            <w:tcW w:w="9800" w:type="dxa"/>
            <w:vAlign w:val="bottom"/>
          </w:tcPr>
          <w:p>
            <w:pPr>
              <w:ind w:left="31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CONSOLIDATED FINANCIAL INFORMATION</w:t>
              </w:r>
            </w:hyperlink>
          </w:p>
        </w:tc>
        <w:tc>
          <w:tcPr>
            <w:tcW w:w="1420" w:type="dxa"/>
            <w:vAlign w:val="bottom"/>
          </w:tcPr>
          <w:p>
            <w:pPr>
              <w:spacing w:after="0"/>
              <w:rPr>
                <w:sz w:val="24"/>
                <w:szCs w:val="24"/>
                <w:color w:val="auto"/>
              </w:rPr>
            </w:pPr>
          </w:p>
        </w:tc>
      </w:tr>
      <w:tr>
        <w:trPr>
          <w:trHeight w:val="594"/>
        </w:trPr>
        <w:tc>
          <w:tcPr>
            <w:tcW w:w="9800" w:type="dxa"/>
            <w:vAlign w:val="bottom"/>
          </w:tcPr>
          <w:p>
            <w:pPr>
              <w:ind w:left="4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Item 1. Consolidated Financial Statements</w:t>
              </w:r>
            </w:hyperlink>
          </w:p>
        </w:tc>
        <w:tc>
          <w:tcPr>
            <w:tcW w:w="1420" w:type="dxa"/>
            <w:vAlign w:val="bottom"/>
          </w:tcPr>
          <w:p>
            <w:pPr>
              <w:spacing w:after="0"/>
              <w:rPr>
                <w:sz w:val="24"/>
                <w:szCs w:val="24"/>
                <w:color w:val="auto"/>
              </w:rPr>
            </w:pPr>
          </w:p>
        </w:tc>
      </w:tr>
      <w:tr>
        <w:trPr>
          <w:trHeight w:val="594"/>
        </w:trPr>
        <w:tc>
          <w:tcPr>
            <w:tcW w:w="9800" w:type="dxa"/>
            <w:vAlign w:val="bottom"/>
          </w:tcPr>
          <w:p>
            <w:pPr>
              <w:ind w:left="3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Assets and Liabilities as of June 30, 2011 (unaudited) and September 30, 2010</w:t>
              </w:r>
            </w:hyperlink>
          </w:p>
        </w:tc>
        <w:tc>
          <w:tcPr>
            <w:tcW w:w="14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594"/>
        </w:trPr>
        <w:tc>
          <w:tcPr>
            <w:tcW w:w="9800" w:type="dxa"/>
            <w:vAlign w:val="bottom"/>
          </w:tcPr>
          <w:p>
            <w:pPr>
              <w:ind w:left="3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Operations for the three and nine months ended June 30, 2011 and 2010 (unaudited)</w:t>
              </w:r>
            </w:hyperlink>
          </w:p>
        </w:tc>
        <w:tc>
          <w:tcPr>
            <w:tcW w:w="14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594"/>
        </w:trPr>
        <w:tc>
          <w:tcPr>
            <w:tcW w:w="9800" w:type="dxa"/>
            <w:vAlign w:val="bottom"/>
          </w:tcPr>
          <w:p>
            <w:pPr>
              <w:ind w:left="3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Changes in Net Assets for the nine months ended June 30, 2011 and 2010 (unaudited)</w:t>
              </w:r>
            </w:hyperlink>
          </w:p>
        </w:tc>
        <w:tc>
          <w:tcPr>
            <w:tcW w:w="14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594"/>
        </w:trPr>
        <w:tc>
          <w:tcPr>
            <w:tcW w:w="9800" w:type="dxa"/>
            <w:vAlign w:val="bottom"/>
          </w:tcPr>
          <w:p>
            <w:pPr>
              <w:ind w:left="3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Statements of Cash Flows for the nine months ended June 30, 2011 and 2010 (unaudited)</w:t>
              </w:r>
            </w:hyperlink>
          </w:p>
        </w:tc>
        <w:tc>
          <w:tcPr>
            <w:tcW w:w="14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594"/>
        </w:trPr>
        <w:tc>
          <w:tcPr>
            <w:tcW w:w="9800" w:type="dxa"/>
            <w:vAlign w:val="bottom"/>
          </w:tcPr>
          <w:p>
            <w:pPr>
              <w:ind w:left="38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Consolidated Schedules of Investments as of June 30, 2011 (unaudited) and September 30, 2010</w:t>
              </w:r>
            </w:hyperlink>
          </w:p>
        </w:tc>
        <w:tc>
          <w:tcPr>
            <w:tcW w:w="142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r>
      <w:tr>
        <w:trPr>
          <w:trHeight w:val="594"/>
        </w:trPr>
        <w:tc>
          <w:tcPr>
            <w:tcW w:w="9800" w:type="dxa"/>
            <w:vAlign w:val="bottom"/>
          </w:tcPr>
          <w:p>
            <w:pPr>
              <w:ind w:left="38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Notes to Consolidated Financial Statements (unaudited)</w:t>
              </w:r>
            </w:hyperlink>
          </w:p>
        </w:tc>
        <w:tc>
          <w:tcPr>
            <w:tcW w:w="1420" w:type="dxa"/>
            <w:vAlign w:val="bottom"/>
          </w:tcPr>
          <w:p>
            <w:pPr>
              <w:jc w:val="right"/>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16</w:t>
              </w:r>
            </w:hyperlink>
          </w:p>
        </w:tc>
      </w:tr>
      <w:tr>
        <w:trPr>
          <w:trHeight w:val="594"/>
        </w:trPr>
        <w:tc>
          <w:tcPr>
            <w:tcW w:w="9800" w:type="dxa"/>
            <w:vAlign w:val="bottom"/>
          </w:tcPr>
          <w:p>
            <w:pPr>
              <w:ind w:left="38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Report of Independent Registered Public Accounting Firm</w:t>
              </w:r>
            </w:hyperlink>
          </w:p>
        </w:tc>
        <w:tc>
          <w:tcPr>
            <w:tcW w:w="142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28</w:t>
              </w:r>
            </w:hyperlink>
          </w:p>
        </w:tc>
      </w:tr>
      <w:tr>
        <w:trPr>
          <w:trHeight w:val="594"/>
        </w:trPr>
        <w:tc>
          <w:tcPr>
            <w:tcW w:w="9800" w:type="dxa"/>
            <w:vAlign w:val="bottom"/>
          </w:tcPr>
          <w:p>
            <w:pPr>
              <w:ind w:left="40"/>
              <w:spacing w:after="0"/>
              <w:rPr>
                <w:rFonts w:ascii="Arial" w:cs="Arial" w:eastAsia="Arial" w:hAnsi="Arial"/>
                <w:sz w:val="18"/>
                <w:szCs w:val="18"/>
                <w:b w:val="1"/>
                <w:bCs w:val="1"/>
                <w:u w:val="single" w:color="auto"/>
                <w:color w:val="0000FF"/>
              </w:rPr>
            </w:pPr>
            <w:hyperlink w:anchor="page28">
              <w:r>
                <w:rPr>
                  <w:rFonts w:ascii="Arial" w:cs="Arial" w:eastAsia="Arial" w:hAnsi="Arial"/>
                  <w:sz w:val="18"/>
                  <w:szCs w:val="18"/>
                  <w:b w:val="1"/>
                  <w:bCs w:val="1"/>
                  <w:u w:val="single" w:color="auto"/>
                  <w:color w:val="0000FF"/>
                </w:rPr>
                <w:t>Item 2. Management’s Discussion and Analysis of Financial Condition and Results of Operations</w:t>
              </w:r>
            </w:hyperlink>
          </w:p>
        </w:tc>
        <w:tc>
          <w:tcPr>
            <w:tcW w:w="142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29</w:t>
              </w:r>
            </w:hyperlink>
          </w:p>
        </w:tc>
      </w:tr>
      <w:tr>
        <w:trPr>
          <w:trHeight w:val="594"/>
        </w:trPr>
        <w:tc>
          <w:tcPr>
            <w:tcW w:w="9800" w:type="dxa"/>
            <w:vAlign w:val="bottom"/>
          </w:tcPr>
          <w:p>
            <w:pPr>
              <w:ind w:left="4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Item 3. Quantitative And Qualitative Disclosures About Market Risk</w:t>
              </w:r>
            </w:hyperlink>
          </w:p>
        </w:tc>
        <w:tc>
          <w:tcPr>
            <w:tcW w:w="14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594"/>
        </w:trPr>
        <w:tc>
          <w:tcPr>
            <w:tcW w:w="9800" w:type="dxa"/>
            <w:vAlign w:val="bottom"/>
          </w:tcPr>
          <w:p>
            <w:pPr>
              <w:ind w:left="4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Item 4. Controls and Procedures</w:t>
              </w:r>
            </w:hyperlink>
          </w:p>
        </w:tc>
        <w:tc>
          <w:tcPr>
            <w:tcW w:w="14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594"/>
        </w:trPr>
        <w:tc>
          <w:tcPr>
            <w:tcW w:w="9800" w:type="dxa"/>
            <w:vAlign w:val="bottom"/>
          </w:tcPr>
          <w:p>
            <w:pPr>
              <w:ind w:left="402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PART II. OTHER INFORMATION</w:t>
              </w:r>
            </w:hyperlink>
          </w:p>
        </w:tc>
        <w:tc>
          <w:tcPr>
            <w:tcW w:w="1420" w:type="dxa"/>
            <w:vAlign w:val="bottom"/>
          </w:tcPr>
          <w:p>
            <w:pPr>
              <w:spacing w:after="0"/>
              <w:rPr>
                <w:sz w:val="24"/>
                <w:szCs w:val="24"/>
                <w:color w:val="auto"/>
              </w:rPr>
            </w:pPr>
          </w:p>
        </w:tc>
      </w:tr>
      <w:tr>
        <w:trPr>
          <w:trHeight w:val="594"/>
        </w:trPr>
        <w:tc>
          <w:tcPr>
            <w:tcW w:w="9800" w:type="dxa"/>
            <w:vAlign w:val="bottom"/>
          </w:tcPr>
          <w:p>
            <w:pPr>
              <w:ind w:left="4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1. Legal Proceedings</w:t>
              </w:r>
            </w:hyperlink>
          </w:p>
        </w:tc>
        <w:tc>
          <w:tcPr>
            <w:tcW w:w="14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594"/>
        </w:trPr>
        <w:tc>
          <w:tcPr>
            <w:tcW w:w="9800" w:type="dxa"/>
            <w:vAlign w:val="bottom"/>
          </w:tcPr>
          <w:p>
            <w:pPr>
              <w:ind w:left="4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1A. Risk Factors</w:t>
              </w:r>
            </w:hyperlink>
          </w:p>
        </w:tc>
        <w:tc>
          <w:tcPr>
            <w:tcW w:w="14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594"/>
        </w:trPr>
        <w:tc>
          <w:tcPr>
            <w:tcW w:w="9800" w:type="dxa"/>
            <w:vAlign w:val="bottom"/>
          </w:tcPr>
          <w:p>
            <w:pPr>
              <w:ind w:left="4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2. Unregistered Sales of Equity Securities and Use of Proceeds</w:t>
              </w:r>
            </w:hyperlink>
          </w:p>
        </w:tc>
        <w:tc>
          <w:tcPr>
            <w:tcW w:w="14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594"/>
        </w:trPr>
        <w:tc>
          <w:tcPr>
            <w:tcW w:w="9800" w:type="dxa"/>
            <w:vAlign w:val="bottom"/>
          </w:tcPr>
          <w:p>
            <w:pPr>
              <w:ind w:left="4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3. Defaults Upon Senior Securities</w:t>
              </w:r>
            </w:hyperlink>
          </w:p>
        </w:tc>
        <w:tc>
          <w:tcPr>
            <w:tcW w:w="14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594"/>
        </w:trPr>
        <w:tc>
          <w:tcPr>
            <w:tcW w:w="9800" w:type="dxa"/>
            <w:vAlign w:val="bottom"/>
          </w:tcPr>
          <w:p>
            <w:pPr>
              <w:ind w:left="4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4. Submission of Matters to a Vote of Security Holders</w:t>
              </w:r>
            </w:hyperlink>
          </w:p>
        </w:tc>
        <w:tc>
          <w:tcPr>
            <w:tcW w:w="14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594"/>
        </w:trPr>
        <w:tc>
          <w:tcPr>
            <w:tcW w:w="9800" w:type="dxa"/>
            <w:vAlign w:val="bottom"/>
          </w:tcPr>
          <w:p>
            <w:pPr>
              <w:ind w:left="4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5. Other Information</w:t>
              </w:r>
            </w:hyperlink>
          </w:p>
        </w:tc>
        <w:tc>
          <w:tcPr>
            <w:tcW w:w="14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594"/>
        </w:trPr>
        <w:tc>
          <w:tcPr>
            <w:tcW w:w="9800" w:type="dxa"/>
            <w:vAlign w:val="bottom"/>
          </w:tcPr>
          <w:p>
            <w:pPr>
              <w:ind w:left="4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6. Exhibits</w:t>
              </w:r>
            </w:hyperlink>
          </w:p>
        </w:tc>
        <w:tc>
          <w:tcPr>
            <w:tcW w:w="14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r>
      <w:tr>
        <w:trPr>
          <w:trHeight w:val="594"/>
        </w:trPr>
        <w:tc>
          <w:tcPr>
            <w:tcW w:w="9800" w:type="dxa"/>
            <w:vAlign w:val="bottom"/>
          </w:tcPr>
          <w:p>
            <w:pPr>
              <w:ind w:left="40"/>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SIGNATURES</w:t>
              </w:r>
            </w:hyperlink>
          </w:p>
        </w:tc>
        <w:tc>
          <w:tcPr>
            <w:tcW w:w="14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42</w:t>
              </w:r>
            </w:hyperlink>
          </w:p>
        </w:tc>
      </w:tr>
    </w:tbl>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I—CONSOLIDATED FINANCIAL INFORMATION</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filing this form 10-Q (the “Report”) in compliance with Rule 13a-13 promulgated by the Securities and Exchange Commission (“SEC”). In this Report, “we,” “our” or “us” refer to PennantPark Investment Corporation and its consolidated subsidiaries unless the context suggests otherwise. References to “PennantPark Investment” refer to only PennantPark Investment Corporation. References to “subsidiaries” or “our SBIC” refer to PennantPark SBIC LP (“SBIC LP”) and its general partner PennantPark SBIC GP, LLC (“SBIC GP”), which are wholly owned and consolidated. References to our portfolio, our investments, and our business include investments and activities of our subsidiaries.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June 30, 2011</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4"/>
                <w:szCs w:val="24"/>
                <w:color w:val="auto"/>
              </w:rPr>
            </w:pPr>
          </w:p>
        </w:tc>
        <w:tc>
          <w:tcPr>
            <w:tcW w:w="1500" w:type="dxa"/>
            <w:vAlign w:val="bottom"/>
          </w:tcPr>
          <w:p>
            <w:pPr>
              <w:jc w:val="right"/>
              <w:ind w:right="151"/>
              <w:spacing w:after="0"/>
              <w:rPr>
                <w:sz w:val="20"/>
                <w:szCs w:val="20"/>
                <w:color w:val="auto"/>
              </w:rPr>
            </w:pPr>
            <w:r>
              <w:rPr>
                <w:rFonts w:ascii="Arial" w:cs="Arial" w:eastAsia="Arial" w:hAnsi="Arial"/>
                <w:sz w:val="14"/>
                <w:szCs w:val="14"/>
                <w:b w:val="1"/>
                <w:bCs w:val="1"/>
                <w:color w:val="auto"/>
                <w:w w:val="94"/>
              </w:rPr>
              <w:t>September 30, 2010</w:t>
            </w:r>
          </w:p>
        </w:tc>
        <w:tc>
          <w:tcPr>
            <w:tcW w:w="0" w:type="dxa"/>
            <w:vAlign w:val="bottom"/>
          </w:tcPr>
          <w:p>
            <w:pPr>
              <w:spacing w:after="0"/>
              <w:rPr>
                <w:sz w:val="1"/>
                <w:szCs w:val="1"/>
                <w:color w:val="auto"/>
              </w:rPr>
            </w:pPr>
          </w:p>
        </w:tc>
      </w:tr>
      <w:tr>
        <w:trPr>
          <w:trHeight w:val="250"/>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Non-controlled, non-affiliated investments, at fair value (cost—$734,760,589 and $631,280,755,</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753,258,773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641,290,626</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w w:val="95"/>
              </w:rPr>
              <w:t>Non-controlled, affiliated investments, at fair value (cost—$18,116,807 and $17,427,648, respectively)</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14,685,185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15,433,680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Controlled, affiliated investments, at fair value (cost—$11,000,100 and 8,000,100, respectively)</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11,000,000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8,000,100</w:t>
            </w:r>
          </w:p>
        </w:tc>
        <w:tc>
          <w:tcPr>
            <w:tcW w:w="0" w:type="dxa"/>
            <w:vAlign w:val="bottom"/>
          </w:tcPr>
          <w:p>
            <w:pPr>
              <w:spacing w:after="0"/>
              <w:rPr>
                <w:sz w:val="1"/>
                <w:szCs w:val="1"/>
                <w:color w:val="auto"/>
              </w:rPr>
            </w:pPr>
          </w:p>
        </w:tc>
      </w:tr>
      <w:tr>
        <w:trPr>
          <w:trHeight w:val="237"/>
        </w:trPr>
        <w:tc>
          <w:tcPr>
            <w:tcW w:w="7980" w:type="dxa"/>
            <w:vAlign w:val="bottom"/>
          </w:tcPr>
          <w:p>
            <w:pPr>
              <w:ind w:left="180"/>
              <w:spacing w:after="0"/>
              <w:rPr>
                <w:sz w:val="20"/>
                <w:szCs w:val="20"/>
                <w:color w:val="auto"/>
              </w:rPr>
            </w:pPr>
            <w:r>
              <w:rPr>
                <w:rFonts w:ascii="Arial" w:cs="Arial" w:eastAsia="Arial" w:hAnsi="Arial"/>
                <w:sz w:val="18"/>
                <w:szCs w:val="18"/>
                <w:color w:val="auto"/>
              </w:rPr>
              <w:t>Total of Investments, at fair value (cost—$763,877,496 and $656,708,503, respectively)</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778,943,958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664,724,406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 (See Note 8)</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28,808,966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1,814,451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6,258,266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12,814,096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 for investments sold</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30,254,774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3,581,765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1,886,119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817,592,955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711,493,846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12,306,893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9,401,281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Payable for investments purchased</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42,680,270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52,785,000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18,633,872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22,203,434</w:t>
            </w:r>
          </w:p>
        </w:tc>
        <w:tc>
          <w:tcPr>
            <w:tcW w:w="0" w:type="dxa"/>
            <w:vAlign w:val="bottom"/>
          </w:tcPr>
          <w:p>
            <w:pPr>
              <w:spacing w:after="0"/>
              <w:rPr>
                <w:sz w:val="1"/>
                <w:szCs w:val="1"/>
                <w:color w:val="auto"/>
              </w:rPr>
            </w:pPr>
          </w:p>
        </w:tc>
      </w:tr>
      <w:tr>
        <w:trPr>
          <w:trHeight w:val="378"/>
        </w:trPr>
        <w:tc>
          <w:tcPr>
            <w:tcW w:w="7980" w:type="dxa"/>
            <w:vAlign w:val="bottom"/>
          </w:tcPr>
          <w:p>
            <w:pPr>
              <w:ind w:left="40"/>
              <w:spacing w:after="0"/>
              <w:rPr>
                <w:sz w:val="20"/>
                <w:szCs w:val="20"/>
                <w:color w:val="auto"/>
              </w:rPr>
            </w:pPr>
            <w:r>
              <w:rPr>
                <w:rFonts w:ascii="Arial" w:cs="Arial" w:eastAsia="Arial" w:hAnsi="Arial"/>
                <w:sz w:val="18"/>
                <w:szCs w:val="18"/>
                <w:color w:val="auto"/>
              </w:rPr>
              <w:t>Credit facility payable (cost: $157,700,000 and $233,100,000, respectively)</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980" w:type="dxa"/>
            <w:vAlign w:val="bottom"/>
          </w:tcPr>
          <w:p>
            <w:pPr>
              <w:ind w:left="40"/>
              <w:spacing w:after="0"/>
              <w:rPr>
                <w:sz w:val="20"/>
                <w:szCs w:val="20"/>
                <w:color w:val="auto"/>
              </w:rPr>
            </w:pPr>
            <w:r>
              <w:rPr>
                <w:rFonts w:ascii="Arial" w:cs="Arial" w:eastAsia="Arial" w:hAnsi="Arial"/>
                <w:sz w:val="18"/>
                <w:szCs w:val="18"/>
                <w:color w:val="auto"/>
              </w:rPr>
              <w:t>(See Notes 5 and 10)</w:t>
            </w:r>
          </w:p>
        </w:tc>
        <w:tc>
          <w:tcPr>
            <w:tcW w:w="220" w:type="dxa"/>
            <w:vAlign w:val="bottom"/>
          </w:tcPr>
          <w:p>
            <w:pPr>
              <w:spacing w:after="0"/>
              <w:rPr>
                <w:sz w:val="24"/>
                <w:szCs w:val="24"/>
                <w:color w:val="auto"/>
              </w:rPr>
            </w:pPr>
          </w:p>
        </w:tc>
        <w:tc>
          <w:tcPr>
            <w:tcW w:w="1240" w:type="dxa"/>
            <w:vAlign w:val="bottom"/>
            <w:vMerge w:val="restart"/>
          </w:tcPr>
          <w:p>
            <w:pPr>
              <w:jc w:val="right"/>
              <w:ind w:right="11"/>
              <w:spacing w:after="0"/>
              <w:rPr>
                <w:sz w:val="20"/>
                <w:szCs w:val="20"/>
                <w:color w:val="auto"/>
              </w:rPr>
            </w:pPr>
            <w:r>
              <w:rPr>
                <w:rFonts w:ascii="Arial" w:cs="Arial" w:eastAsia="Arial" w:hAnsi="Arial"/>
                <w:sz w:val="18"/>
                <w:szCs w:val="18"/>
                <w:color w:val="auto"/>
              </w:rPr>
              <w:t>155,649,500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vMerge w:val="restart"/>
          </w:tcPr>
          <w:p>
            <w:pPr>
              <w:jc w:val="right"/>
              <w:ind w:right="11"/>
              <w:spacing w:after="0"/>
              <w:rPr>
                <w:sz w:val="20"/>
                <w:szCs w:val="20"/>
                <w:color w:val="auto"/>
              </w:rPr>
            </w:pPr>
            <w:r>
              <w:rPr>
                <w:rFonts w:ascii="Arial" w:cs="Arial" w:eastAsia="Arial" w:hAnsi="Arial"/>
                <w:sz w:val="18"/>
                <w:szCs w:val="18"/>
                <w:color w:val="auto"/>
              </w:rPr>
              <w:t>219,141,125</w:t>
            </w:r>
          </w:p>
        </w:tc>
        <w:tc>
          <w:tcPr>
            <w:tcW w:w="0" w:type="dxa"/>
            <w:vAlign w:val="bottom"/>
          </w:tcPr>
          <w:p>
            <w:pPr>
              <w:spacing w:after="0"/>
              <w:rPr>
                <w:sz w:val="1"/>
                <w:szCs w:val="1"/>
                <w:color w:val="auto"/>
              </w:rPr>
            </w:pPr>
          </w:p>
        </w:tc>
      </w:tr>
      <w:tr>
        <w:trPr>
          <w:trHeight w:val="135"/>
        </w:trPr>
        <w:tc>
          <w:tcPr>
            <w:tcW w:w="7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SBA debentures payable (See Note 10)</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14,500,000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Interest payable on credit facility and SBA debentures</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794,953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215,135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payable (See Note 3)</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3,805,619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3,286,816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Performance-based incentive fee payable (See Note 3)</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3,295,098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2,239,011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other expenses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487,659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1,146,821</w:t>
            </w:r>
          </w:p>
        </w:tc>
        <w:tc>
          <w:tcPr>
            <w:tcW w:w="0" w:type="dxa"/>
            <w:vAlign w:val="bottom"/>
          </w:tcPr>
          <w:p>
            <w:pPr>
              <w:spacing w:after="0"/>
              <w:rPr>
                <w:sz w:val="1"/>
                <w:szCs w:val="1"/>
                <w:color w:val="auto"/>
              </w:rPr>
            </w:pPr>
          </w:p>
        </w:tc>
      </w:tr>
      <w:tr>
        <w:trPr>
          <w:trHeight w:val="237"/>
        </w:trPr>
        <w:tc>
          <w:tcPr>
            <w:tcW w:w="798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312,653,864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324,918,623</w:t>
            </w:r>
          </w:p>
        </w:tc>
        <w:tc>
          <w:tcPr>
            <w:tcW w:w="0" w:type="dxa"/>
            <w:vAlign w:val="bottom"/>
          </w:tcPr>
          <w:p>
            <w:pPr>
              <w:spacing w:after="0"/>
              <w:rPr>
                <w:sz w:val="1"/>
                <w:szCs w:val="1"/>
                <w:color w:val="auto"/>
              </w:rPr>
            </w:pPr>
          </w:p>
        </w:tc>
      </w:tr>
      <w:tr>
        <w:trPr>
          <w:trHeight w:val="67"/>
        </w:trPr>
        <w:tc>
          <w:tcPr>
            <w:tcW w:w="79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Net Assets</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40"/>
              <w:spacing w:after="0"/>
              <w:rPr>
                <w:sz w:val="20"/>
                <w:szCs w:val="20"/>
                <w:color w:val="auto"/>
              </w:rPr>
            </w:pPr>
            <w:r>
              <w:rPr>
                <w:rFonts w:ascii="Arial" w:cs="Arial" w:eastAsia="Arial" w:hAnsi="Arial"/>
                <w:sz w:val="18"/>
                <w:szCs w:val="18"/>
                <w:color w:val="auto"/>
                <w:w w:val="94"/>
              </w:rPr>
              <w:t>Common stock, 45,581,083 and 36,158,772 shares are issued and outstanding, respectively. Par value is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$0.001 per share and 100,000,000 shares are authorized.</w:t>
            </w:r>
          </w:p>
        </w:tc>
        <w:tc>
          <w:tcPr>
            <w:tcW w:w="2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45,581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36,159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Paid-in capital in excess of par value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539,419,632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428,675,184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Undistributed net investment income</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5,532,780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1,800,646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net realized loss on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(57,175,864)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(65,911,544)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unrealized appreciation on investments</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15,066,462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8,015,903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depreciation on credit facility</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2,050,500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13,958,875</w:t>
            </w:r>
          </w:p>
        </w:tc>
        <w:tc>
          <w:tcPr>
            <w:tcW w:w="0" w:type="dxa"/>
            <w:vAlign w:val="bottom"/>
          </w:tcPr>
          <w:p>
            <w:pPr>
              <w:spacing w:after="0"/>
              <w:rPr>
                <w:sz w:val="1"/>
                <w:szCs w:val="1"/>
                <w:color w:val="auto"/>
              </w:rPr>
            </w:pPr>
          </w:p>
        </w:tc>
      </w:tr>
      <w:tr>
        <w:trPr>
          <w:trHeight w:val="237"/>
        </w:trPr>
        <w:tc>
          <w:tcPr>
            <w:tcW w:w="7980" w:type="dxa"/>
            <w:vAlign w:val="bottom"/>
          </w:tcPr>
          <w:p>
            <w:pPr>
              <w:ind w:left="720"/>
              <w:spacing w:after="0"/>
              <w:rPr>
                <w:sz w:val="20"/>
                <w:szCs w:val="20"/>
                <w:color w:val="auto"/>
              </w:rPr>
            </w:pPr>
            <w:r>
              <w:rPr>
                <w:rFonts w:ascii="Arial" w:cs="Arial" w:eastAsia="Arial" w:hAnsi="Arial"/>
                <w:sz w:val="18"/>
                <w:szCs w:val="18"/>
                <w:b w:val="1"/>
                <w:bCs w:val="1"/>
                <w:color w:val="auto"/>
              </w:rPr>
              <w:t>Total net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504,939,091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386,575,223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net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817,592,955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711,493,846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Net asset value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8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left="340" w:right="2720"/>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23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64"/>
        </w:trPr>
        <w:tc>
          <w:tcPr>
            <w:tcW w:w="58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From non-controlled, non-affiliated investments: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21,046,388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15,404,934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60,441,750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41,140,098</w:t>
            </w:r>
          </w:p>
        </w:tc>
        <w:tc>
          <w:tcPr>
            <w:tcW w:w="0" w:type="dxa"/>
            <w:vAlign w:val="bottom"/>
          </w:tcPr>
          <w:p>
            <w:pPr>
              <w:spacing w:after="0"/>
              <w:rPr>
                <w:sz w:val="1"/>
                <w:szCs w:val="1"/>
                <w:color w:val="auto"/>
              </w:rPr>
            </w:pPr>
          </w:p>
        </w:tc>
      </w:tr>
      <w:tr>
        <w:trPr>
          <w:trHeight w:val="243"/>
        </w:trPr>
        <w:tc>
          <w:tcPr>
            <w:tcW w:w="586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1,157,228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594,978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3,237,675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1,327,063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From non-controlled, affiliated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38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389,709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335,159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1,134,363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991,388</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From controlled, affiliated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38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315,000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785,167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investment income</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22,908,325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16,335,071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65,598,955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43,458,549</w:t>
            </w:r>
          </w:p>
        </w:tc>
        <w:tc>
          <w:tcPr>
            <w:tcW w:w="0" w:type="dxa"/>
            <w:vAlign w:val="bottom"/>
          </w:tcPr>
          <w:p>
            <w:pPr>
              <w:spacing w:after="0"/>
              <w:rPr>
                <w:sz w:val="1"/>
                <w:szCs w:val="1"/>
                <w:color w:val="auto"/>
              </w:rPr>
            </w:pPr>
          </w:p>
        </w:tc>
      </w:tr>
      <w:tr>
        <w:trPr>
          <w:trHeight w:val="223"/>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Base management fee (See Note 3)</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3,803,994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3,035,172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10,891,930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8,331,957</w:t>
            </w:r>
          </w:p>
        </w:tc>
        <w:tc>
          <w:tcPr>
            <w:tcW w:w="0" w:type="dxa"/>
            <w:vAlign w:val="bottom"/>
          </w:tcPr>
          <w:p>
            <w:pPr>
              <w:spacing w:after="0"/>
              <w:rPr>
                <w:sz w:val="1"/>
                <w:szCs w:val="1"/>
                <w:color w:val="auto"/>
              </w:rPr>
            </w:pPr>
          </w:p>
        </w:tc>
      </w:tr>
      <w:tr>
        <w:trPr>
          <w:trHeight w:val="243"/>
        </w:trPr>
        <w:tc>
          <w:tcPr>
            <w:tcW w:w="5860" w:type="dxa"/>
            <w:vAlign w:val="bottom"/>
          </w:tcPr>
          <w:p>
            <w:pPr>
              <w:ind w:left="380"/>
              <w:spacing w:after="0"/>
              <w:rPr>
                <w:sz w:val="20"/>
                <w:szCs w:val="20"/>
                <w:color w:val="auto"/>
              </w:rPr>
            </w:pPr>
            <w:r>
              <w:rPr>
                <w:rFonts w:ascii="Arial" w:cs="Arial" w:eastAsia="Arial" w:hAnsi="Arial"/>
                <w:sz w:val="18"/>
                <w:szCs w:val="18"/>
                <w:color w:val="auto"/>
              </w:rPr>
              <w:t>Performance-based incentive fee (See Note 3)</w:t>
            </w: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3,256,341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2,205,310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9,387,769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5,779,297</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Interest and expenses on the credit facility and SBA debentures (See Note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1,329,441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962,597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3,551,391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2,619,555</w:t>
            </w:r>
          </w:p>
        </w:tc>
        <w:tc>
          <w:tcPr>
            <w:tcW w:w="0" w:type="dxa"/>
            <w:vAlign w:val="bottom"/>
          </w:tcPr>
          <w:p>
            <w:pPr>
              <w:spacing w:after="0"/>
              <w:rPr>
                <w:sz w:val="1"/>
                <w:szCs w:val="1"/>
                <w:color w:val="auto"/>
              </w:rPr>
            </w:pPr>
          </w:p>
        </w:tc>
      </w:tr>
      <w:tr>
        <w:trPr>
          <w:trHeight w:val="243"/>
        </w:trPr>
        <w:tc>
          <w:tcPr>
            <w:tcW w:w="5860" w:type="dxa"/>
            <w:vAlign w:val="bottom"/>
          </w:tcPr>
          <w:p>
            <w:pPr>
              <w:ind w:left="380"/>
              <w:spacing w:after="0"/>
              <w:rPr>
                <w:sz w:val="20"/>
                <w:szCs w:val="20"/>
                <w:color w:val="auto"/>
              </w:rPr>
            </w:pPr>
            <w:r>
              <w:rPr>
                <w:rFonts w:ascii="Arial" w:cs="Arial" w:eastAsia="Arial" w:hAnsi="Arial"/>
                <w:sz w:val="18"/>
                <w:szCs w:val="18"/>
                <w:color w:val="auto"/>
              </w:rPr>
              <w:t>Administrative services expenses (See Note 3)</w:t>
            </w: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583,215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709,737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1,812,932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1,806,860</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general and administrative expenses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680,322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601,011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2,211,349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1,705,400</w:t>
            </w: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b w:val="1"/>
                <w:bCs w:val="1"/>
                <w:color w:val="auto"/>
              </w:rPr>
              <w:t>Expenses before taxes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9,653,313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7,513,827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27,855,371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20,243,069</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Excise tax (See Note 2)</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97,890</w:t>
            </w: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9,688,313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7,513,827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28,049,195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20,340,959</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investment income</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13,220,012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8,821,244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37,549,760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23,117,590</w:t>
            </w:r>
          </w:p>
        </w:tc>
        <w:tc>
          <w:tcPr>
            <w:tcW w:w="0" w:type="dxa"/>
            <w:vAlign w:val="bottom"/>
          </w:tcPr>
          <w:p>
            <w:pPr>
              <w:spacing w:after="0"/>
              <w:rPr>
                <w:sz w:val="1"/>
                <w:szCs w:val="1"/>
                <w:color w:val="auto"/>
              </w:rPr>
            </w:pPr>
          </w:p>
        </w:tc>
      </w:tr>
      <w:tr>
        <w:trPr>
          <w:trHeight w:val="223"/>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w w:val="97"/>
              </w:rPr>
              <w:t>Realized and unrealized gain (loss) on investments and credit facility:</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gain (loss) on non-controlled, non-affiliated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6,155,867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8,735,680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(16,644,556)</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change in unrealized appreciation (depreciation) on:</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Non-controlled, non-affiliated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(14,977,901)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8,486,459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32,257,205</w:t>
            </w:r>
          </w:p>
        </w:tc>
        <w:tc>
          <w:tcPr>
            <w:tcW w:w="0" w:type="dxa"/>
            <w:vAlign w:val="bottom"/>
          </w:tcPr>
          <w:p>
            <w:pPr>
              <w:spacing w:after="0"/>
              <w:rPr>
                <w:sz w:val="1"/>
                <w:szCs w:val="1"/>
                <w:color w:val="auto"/>
              </w:rPr>
            </w:pPr>
          </w:p>
        </w:tc>
      </w:tr>
      <w:tr>
        <w:trPr>
          <w:trHeight w:val="243"/>
        </w:trPr>
        <w:tc>
          <w:tcPr>
            <w:tcW w:w="5860" w:type="dxa"/>
            <w:vAlign w:val="bottom"/>
          </w:tcPr>
          <w:p>
            <w:pPr>
              <w:ind w:left="380"/>
              <w:spacing w:after="0"/>
              <w:rPr>
                <w:sz w:val="20"/>
                <w:szCs w:val="20"/>
                <w:color w:val="auto"/>
              </w:rPr>
            </w:pPr>
            <w:r>
              <w:rPr>
                <w:rFonts w:ascii="Arial" w:cs="Arial" w:eastAsia="Arial" w:hAnsi="Arial"/>
                <w:sz w:val="18"/>
                <w:szCs w:val="18"/>
                <w:color w:val="auto"/>
              </w:rPr>
              <w:t>Non-controlled, affiliated investments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(1,474,634)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279,017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(1,435,799)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74,918</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Controlled, affiliated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60" w:type="dxa"/>
            <w:vAlign w:val="bottom"/>
          </w:tcPr>
          <w:p>
            <w:pPr>
              <w:ind w:left="380"/>
              <w:spacing w:after="0"/>
              <w:rPr>
                <w:sz w:val="20"/>
                <w:szCs w:val="20"/>
                <w:color w:val="auto"/>
              </w:rPr>
            </w:pPr>
            <w:r>
              <w:rPr>
                <w:rFonts w:ascii="Arial" w:cs="Arial" w:eastAsia="Arial" w:hAnsi="Arial"/>
                <w:sz w:val="18"/>
                <w:szCs w:val="18"/>
                <w:color w:val="auto"/>
              </w:rPr>
              <w:t>Credit facility unrealized appreciation (See Note 5)</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(604,929)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(3,208,992)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(11,908,375)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(28,900,620)</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change in unrealized (depreciation) appreciation</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(17,057,464)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(4,662,106)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(4,857,815)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3,431,503</w:t>
            </w: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w w:val="98"/>
              </w:rPr>
              <w:t>Net realized and unrealized gain (loss) from investments and credit facility</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(10,901,597)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(4,561,811)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3,877,865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(13,213,053)</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2,318,415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4,259,433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41,427,625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9,904,537</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40"/>
              <w:spacing w:after="0"/>
              <w:rPr>
                <w:sz w:val="20"/>
                <w:szCs w:val="20"/>
                <w:color w:val="auto"/>
              </w:rPr>
            </w:pPr>
            <w:r>
              <w:rPr>
                <w:rFonts w:ascii="Arial" w:cs="Arial" w:eastAsia="Arial" w:hAnsi="Arial"/>
                <w:sz w:val="18"/>
                <w:szCs w:val="18"/>
                <w:color w:val="auto"/>
                <w:w w:val="95"/>
              </w:rPr>
              <w:t>Net increase in net assets resulting from operations per common share (See</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40"/>
              <w:spacing w:after="0"/>
              <w:rPr>
                <w:sz w:val="20"/>
                <w:szCs w:val="20"/>
                <w:color w:val="auto"/>
              </w:rPr>
            </w:pPr>
            <w:r>
              <w:rPr>
                <w:rFonts w:ascii="Arial" w:cs="Arial" w:eastAsia="Arial" w:hAnsi="Arial"/>
                <w:sz w:val="18"/>
                <w:szCs w:val="18"/>
                <w:color w:val="auto"/>
              </w:rPr>
              <w:t>Note 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income per 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7"/>
        </w:trPr>
        <w:tc>
          <w:tcPr>
            <w:tcW w:w="5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left="340" w:right="27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CHANGES IN NET ASSETS (Unaudited)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 June 30,</w:t>
            </w:r>
          </w:p>
        </w:tc>
      </w:tr>
      <w:tr>
        <w:trPr>
          <w:trHeight w:val="263"/>
        </w:trPr>
        <w:tc>
          <w:tcPr>
            <w:tcW w:w="8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2010</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net assets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37,549,760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23,117,590</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realized gain (loss) on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8,735,680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(16,644,556)</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Net change in unrealized appreciation on investments</w:t>
            </w: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7,050,560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32,332,123</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 in unrealized appreciation on credit facility</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(11,908,375)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(28,900,620)</w:t>
            </w:r>
          </w:p>
        </w:tc>
      </w:tr>
      <w:tr>
        <w:trPr>
          <w:trHeight w:val="237"/>
        </w:trPr>
        <w:tc>
          <w:tcPr>
            <w:tcW w:w="8220" w:type="dxa"/>
            <w:vAlign w:val="bottom"/>
          </w:tcPr>
          <w:p>
            <w:pPr>
              <w:ind w:left="38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41,427,625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9,904,537</w:t>
            </w:r>
          </w:p>
        </w:tc>
      </w:tr>
      <w:tr>
        <w:trPr>
          <w:trHeight w:val="27"/>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Distributions to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Distributions from net investment income</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(34,011,451)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(22,862,755)</w:t>
            </w:r>
          </w:p>
        </w:tc>
      </w:tr>
      <w:tr>
        <w:trPr>
          <w:trHeight w:val="27"/>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Transactions: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Public offering</w:t>
            </w: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114,080,000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61,020,000</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Offering costs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(5,743,800)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(3,376,000)</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Reinvestment of dividends</w:t>
            </w: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2,611,494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increase in net assets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118,363,868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44,685,782</w:t>
            </w:r>
          </w:p>
        </w:tc>
      </w:tr>
      <w:tr>
        <w:trPr>
          <w:trHeight w:val="22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Net Assets:</w:t>
            </w: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41"/>
        </w:trPr>
        <w:tc>
          <w:tcPr>
            <w:tcW w:w="8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386,575,223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300,580,268</w:t>
            </w:r>
          </w:p>
        </w:tc>
      </w:tr>
      <w:tr>
        <w:trPr>
          <w:trHeight w:val="30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504,939,091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345,266,050</w:t>
            </w:r>
          </w:p>
        </w:tc>
      </w:tr>
      <w:tr>
        <w:trPr>
          <w:trHeight w:val="23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Undistributed net investment income, end of period</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5,532,780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2,242,960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Capital Share Activity:</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Public offering</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9,200,000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6,190,000</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Reinvestment of dividends</w:t>
            </w: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222,312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left="340" w:right="2720"/>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CASH FLOWS (Unaudited)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Net increase in net assets resulting from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41,427,625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9,904,537</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Adjustments to reconcile net increase in net assets resulting from operations to net cash used for operating</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Net change in unrealized appreciation on investments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(7,050,560)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(32,332,123)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change in unrealized appreciation on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11,908,375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28,900,620</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Net realized (gain) loss on investments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(8,735,680)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16,644,556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accretion of discount and amortization of premium</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(5,325,234)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(3,155,823)</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Purchase of investments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(342,020,866)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(212,794,556)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Payment-in-kind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(4,495,644)</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Proceeds from dispositions of investments</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256,413,079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82,716,065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(Increase) in interest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6,555,830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(2,094,127)</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Decrease (Increase) in receivable for investments sold</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30,254,774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(546,905)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(Increase) in prepaid expenses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436,479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(542,757)</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(Decrease) in payable for investments purchased</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(10,104,730)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(814,525)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Increase in unfunded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(3,569,562)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15,989,003</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Increase in interest payable on credit facility and SBA debentures</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579,818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76,639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management fee payable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518,803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815,062</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Increase in performance-based incentive fee payable</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1,056,087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697,147</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accrued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(659,162)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(541,354)</w:t>
            </w:r>
          </w:p>
        </w:tc>
        <w:tc>
          <w:tcPr>
            <w:tcW w:w="0" w:type="dxa"/>
            <w:vAlign w:val="bottom"/>
          </w:tcPr>
          <w:p>
            <w:pPr>
              <w:spacing w:after="0"/>
              <w:rPr>
                <w:sz w:val="1"/>
                <w:szCs w:val="1"/>
                <w:color w:val="auto"/>
              </w:rPr>
            </w:pPr>
          </w:p>
        </w:tc>
      </w:tr>
      <w:tr>
        <w:trPr>
          <w:trHeight w:val="237"/>
        </w:trPr>
        <w:tc>
          <w:tcPr>
            <w:tcW w:w="8220" w:type="dxa"/>
            <w:vAlign w:val="bottom"/>
          </w:tcPr>
          <w:p>
            <w:pPr>
              <w:ind w:left="1140"/>
              <w:spacing w:after="0"/>
              <w:rPr>
                <w:sz w:val="20"/>
                <w:szCs w:val="20"/>
                <w:color w:val="auto"/>
              </w:rPr>
            </w:pPr>
            <w:r>
              <w:rPr>
                <w:rFonts w:ascii="Arial" w:cs="Arial" w:eastAsia="Arial" w:hAnsi="Arial"/>
                <w:sz w:val="18"/>
                <w:szCs w:val="18"/>
                <w:color w:val="auto"/>
              </w:rPr>
              <w:t>Net cash used for operating activities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(35,815,215)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(101,574,185)</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Public offering</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114,080,000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61,020,000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Offering costs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(5,743,800)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(3,376,000)</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Distributions paid to stockholders, net of dividends reinvested</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(28,494,345)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(19,713,979)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Borrowings under SBA debentures (See Note 10)</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Capitalized borrowing costs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(2,132,125)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Borrowings under credit facility (See Note 10)</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347,800,000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189,300,000</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Repayments under credit facility (See Note 10)</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(423,200,000)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(157,600,000)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62,809,730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69,630,021</w:t>
            </w:r>
          </w:p>
        </w:tc>
        <w:tc>
          <w:tcPr>
            <w:tcW w:w="0" w:type="dxa"/>
            <w:vAlign w:val="bottom"/>
          </w:tcPr>
          <w:p>
            <w:pPr>
              <w:spacing w:after="0"/>
              <w:rPr>
                <w:sz w:val="1"/>
                <w:szCs w:val="1"/>
                <w:color w:val="auto"/>
              </w:rPr>
            </w:pPr>
          </w:p>
        </w:tc>
      </w:tr>
      <w:tr>
        <w:trPr>
          <w:trHeight w:val="318"/>
        </w:trPr>
        <w:tc>
          <w:tcPr>
            <w:tcW w:w="8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26,994,515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(31,944,164)</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Cash equivalents, beginning of period</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1,814,451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33,247,666</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 end of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28,808,966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1,303,502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paid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2,476,198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2,304,517</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Income taxes paid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123,824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97,890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Dividends reinvested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2,611,494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Current</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Basis Points</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204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Maturity</w:t>
            </w: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22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Above</w:t>
            </w:r>
          </w:p>
        </w:tc>
        <w:tc>
          <w:tcPr>
            <w:tcW w:w="10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Par / Shares</w:t>
            </w:r>
          </w:p>
        </w:tc>
        <w:tc>
          <w:tcPr>
            <w:tcW w:w="240" w:type="dxa"/>
            <w:vAlign w:val="bottom"/>
            <w:vMerge w:val="restart"/>
          </w:tcPr>
          <w:p>
            <w:pPr>
              <w:spacing w:after="0"/>
              <w:rPr>
                <w:sz w:val="12"/>
                <w:szCs w:val="12"/>
                <w:color w:val="auto"/>
              </w:rPr>
            </w:pPr>
          </w:p>
        </w:tc>
        <w:tc>
          <w:tcPr>
            <w:tcW w:w="10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Cost</w:t>
            </w:r>
          </w:p>
        </w:tc>
        <w:tc>
          <w:tcPr>
            <w:tcW w:w="240" w:type="dxa"/>
            <w:vAlign w:val="bottom"/>
            <w:vMerge w:val="restart"/>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Coupon</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(4)</w:t>
            </w:r>
          </w:p>
        </w:tc>
        <w:tc>
          <w:tcPr>
            <w:tcW w:w="14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Investments in Non-Controlled, Non-Affiliated Portfolio Companies – 149.2 %</w:t>
      </w:r>
      <w:r>
        <w:rPr>
          <w:rFonts w:ascii="Arial" w:cs="Arial" w:eastAsia="Arial" w:hAnsi="Arial"/>
          <w:sz w:val="8"/>
          <w:szCs w:val="8"/>
          <w:b w:val="1"/>
          <w:bCs w:val="1"/>
          <w:color w:val="auto"/>
        </w:rPr>
        <w:t>(1),(2)</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580" w:type="dxa"/>
            <w:vAlign w:val="bottom"/>
          </w:tcPr>
          <w:p>
            <w:pPr>
              <w:spacing w:after="0"/>
              <w:rPr>
                <w:sz w:val="20"/>
                <w:szCs w:val="20"/>
                <w:color w:val="auto"/>
              </w:rPr>
            </w:pPr>
            <w:r>
              <w:rPr>
                <w:rFonts w:ascii="Arial" w:cs="Arial" w:eastAsia="Arial" w:hAnsi="Arial"/>
                <w:sz w:val="14"/>
                <w:szCs w:val="14"/>
                <w:b w:val="1"/>
                <w:bCs w:val="1"/>
                <w:color w:val="auto"/>
              </w:rPr>
              <w:t>First Lien Secured Debt – 57.6%</w:t>
            </w:r>
          </w:p>
        </w:tc>
        <w:tc>
          <w:tcPr>
            <w:tcW w:w="1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580" w:type="dxa"/>
            <w:vAlign w:val="bottom"/>
            <w:vMerge w:val="restart"/>
          </w:tcPr>
          <w:p>
            <w:pPr>
              <w:spacing w:after="0"/>
              <w:rPr>
                <w:sz w:val="20"/>
                <w:szCs w:val="20"/>
                <w:color w:val="auto"/>
              </w:rPr>
            </w:pPr>
            <w:r>
              <w:rPr>
                <w:rFonts w:ascii="Arial" w:cs="Arial" w:eastAsia="Arial" w:hAnsi="Arial"/>
                <w:sz w:val="14"/>
                <w:szCs w:val="14"/>
                <w:color w:val="auto"/>
              </w:rPr>
              <w:t>Affinity Group Holdings, Inc.</w:t>
            </w:r>
            <w:r>
              <w:rPr>
                <w:rFonts w:ascii="Arial" w:cs="Arial" w:eastAsia="Arial" w:hAnsi="Arial"/>
                <w:sz w:val="8"/>
                <w:szCs w:val="8"/>
                <w:color w:val="auto"/>
              </w:rPr>
              <w:t>(5)</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12/01/2016</w:t>
            </w:r>
          </w:p>
        </w:tc>
        <w:tc>
          <w:tcPr>
            <w:tcW w:w="1700" w:type="dxa"/>
            <w:vAlign w:val="bottom"/>
          </w:tcPr>
          <w:p>
            <w:pPr>
              <w:jc w:val="center"/>
              <w:spacing w:after="0"/>
              <w:rPr>
                <w:sz w:val="20"/>
                <w:szCs w:val="20"/>
                <w:color w:val="auto"/>
              </w:rPr>
            </w:pPr>
            <w:r>
              <w:rPr>
                <w:rFonts w:ascii="Arial" w:cs="Arial" w:eastAsia="Arial" w:hAnsi="Arial"/>
                <w:sz w:val="14"/>
                <w:szCs w:val="14"/>
                <w:color w:val="auto"/>
                <w:w w:val="90"/>
              </w:rPr>
              <w:t>Consumer Products</w:t>
            </w:r>
          </w:p>
        </w:tc>
        <w:tc>
          <w:tcPr>
            <w:tcW w:w="600" w:type="dxa"/>
            <w:vAlign w:val="bottom"/>
          </w:tcPr>
          <w:p>
            <w:pPr>
              <w:jc w:val="right"/>
              <w:spacing w:after="0"/>
              <w:rPr>
                <w:sz w:val="20"/>
                <w:szCs w:val="20"/>
                <w:color w:val="auto"/>
              </w:rPr>
            </w:pPr>
            <w:r>
              <w:rPr>
                <w:rFonts w:ascii="Arial" w:cs="Arial" w:eastAsia="Arial" w:hAnsi="Arial"/>
                <w:sz w:val="14"/>
                <w:szCs w:val="14"/>
                <w:color w:val="auto"/>
              </w:rPr>
              <w:t>11.50%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5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2580" w:type="dxa"/>
            <w:vAlign w:val="bottom"/>
          </w:tcPr>
          <w:p>
            <w:pPr>
              <w:spacing w:after="0"/>
              <w:rPr>
                <w:sz w:val="20"/>
                <w:szCs w:val="20"/>
                <w:color w:val="auto"/>
              </w:rPr>
            </w:pPr>
            <w:r>
              <w:rPr>
                <w:rFonts w:ascii="Arial" w:cs="Arial" w:eastAsia="Arial" w:hAnsi="Arial"/>
                <w:sz w:val="14"/>
                <w:szCs w:val="14"/>
                <w:color w:val="auto"/>
              </w:rPr>
              <w:t>American Surgical Holdings, Inc.</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03/23/2015</w:t>
            </w:r>
          </w:p>
        </w:tc>
        <w:tc>
          <w:tcPr>
            <w:tcW w:w="1700" w:type="dxa"/>
            <w:vAlign w:val="bottom"/>
          </w:tcPr>
          <w:p>
            <w:pPr>
              <w:jc w:val="center"/>
              <w:spacing w:after="0"/>
              <w:rPr>
                <w:sz w:val="20"/>
                <w:szCs w:val="20"/>
                <w:color w:val="auto"/>
              </w:rPr>
            </w:pPr>
            <w:r>
              <w:rPr>
                <w:rFonts w:ascii="Arial" w:cs="Arial" w:eastAsia="Arial" w:hAnsi="Arial"/>
                <w:sz w:val="14"/>
                <w:szCs w:val="14"/>
                <w:color w:val="auto"/>
                <w:w w:val="92"/>
              </w:rPr>
              <w:t>Healthcare, Education</w:t>
            </w:r>
          </w:p>
        </w:tc>
        <w:tc>
          <w:tcPr>
            <w:tcW w:w="600" w:type="dxa"/>
            <w:vAlign w:val="bottom"/>
          </w:tcPr>
          <w:p>
            <w:pPr>
              <w:jc w:val="right"/>
              <w:spacing w:after="0"/>
              <w:rPr>
                <w:sz w:val="20"/>
                <w:szCs w:val="20"/>
                <w:color w:val="auto"/>
              </w:rPr>
            </w:pPr>
            <w:r>
              <w:rPr>
                <w:rFonts w:ascii="Arial" w:cs="Arial" w:eastAsia="Arial" w:hAnsi="Arial"/>
                <w:sz w:val="14"/>
                <w:szCs w:val="14"/>
                <w:color w:val="auto"/>
              </w:rPr>
              <w:t>14.00%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2"/>
              </w:rPr>
              <w:t>and Childcare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80" w:type="dxa"/>
            <w:vAlign w:val="bottom"/>
            <w:vMerge w:val="restart"/>
          </w:tcPr>
          <w:p>
            <w:pPr>
              <w:spacing w:after="0"/>
              <w:rPr>
                <w:sz w:val="20"/>
                <w:szCs w:val="20"/>
                <w:color w:val="auto"/>
              </w:rPr>
            </w:pPr>
            <w:r>
              <w:rPr>
                <w:rFonts w:ascii="Arial" w:cs="Arial" w:eastAsia="Arial" w:hAnsi="Arial"/>
                <w:sz w:val="14"/>
                <w:szCs w:val="14"/>
                <w:color w:val="auto"/>
              </w:rPr>
              <w:t>CEVA Group PLC</w:t>
            </w:r>
            <w:r>
              <w:rPr>
                <w:rFonts w:ascii="Arial" w:cs="Arial" w:eastAsia="Arial" w:hAnsi="Arial"/>
                <w:sz w:val="8"/>
                <w:szCs w:val="8"/>
                <w:color w:val="auto"/>
              </w:rPr>
              <w:t>(5),(10)</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10/01/2016</w:t>
            </w:r>
          </w:p>
        </w:tc>
        <w:tc>
          <w:tcPr>
            <w:tcW w:w="1700" w:type="dxa"/>
            <w:vAlign w:val="bottom"/>
          </w:tcPr>
          <w:p>
            <w:pPr>
              <w:jc w:val="center"/>
              <w:spacing w:after="0"/>
              <w:rPr>
                <w:sz w:val="20"/>
                <w:szCs w:val="20"/>
                <w:color w:val="auto"/>
              </w:rPr>
            </w:pPr>
            <w:r>
              <w:rPr>
                <w:rFonts w:ascii="Arial" w:cs="Arial" w:eastAsia="Arial" w:hAnsi="Arial"/>
                <w:sz w:val="14"/>
                <w:szCs w:val="14"/>
                <w:color w:val="auto"/>
                <w:w w:val="95"/>
              </w:rPr>
              <w:t>Logistics</w:t>
            </w:r>
          </w:p>
        </w:tc>
        <w:tc>
          <w:tcPr>
            <w:tcW w:w="600" w:type="dxa"/>
            <w:vAlign w:val="bottom"/>
          </w:tcPr>
          <w:p>
            <w:pPr>
              <w:jc w:val="right"/>
              <w:spacing w:after="0"/>
              <w:rPr>
                <w:sz w:val="20"/>
                <w:szCs w:val="20"/>
                <w:color w:val="auto"/>
              </w:rPr>
            </w:pPr>
            <w:r>
              <w:rPr>
                <w:rFonts w:ascii="Arial" w:cs="Arial" w:eastAsia="Arial" w:hAnsi="Arial"/>
                <w:sz w:val="14"/>
                <w:szCs w:val="14"/>
                <w:color w:val="auto"/>
              </w:rPr>
              <w:t>11.63%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2580" w:type="dxa"/>
            <w:vAlign w:val="bottom"/>
            <w:vMerge w:val="restart"/>
          </w:tcPr>
          <w:p>
            <w:pPr>
              <w:spacing w:after="0"/>
              <w:rPr>
                <w:sz w:val="20"/>
                <w:szCs w:val="20"/>
                <w:color w:val="auto"/>
              </w:rPr>
            </w:pPr>
            <w:r>
              <w:rPr>
                <w:rFonts w:ascii="Arial" w:cs="Arial" w:eastAsia="Arial" w:hAnsi="Arial"/>
                <w:sz w:val="14"/>
                <w:szCs w:val="14"/>
                <w:color w:val="auto"/>
              </w:rPr>
              <w:t>CEVA Group PLC</w:t>
            </w:r>
            <w:r>
              <w:rPr>
                <w:rFonts w:ascii="Arial" w:cs="Arial" w:eastAsia="Arial" w:hAnsi="Arial"/>
                <w:sz w:val="8"/>
                <w:szCs w:val="8"/>
                <w:color w:val="auto"/>
              </w:rPr>
              <w:t>(5),(10)</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04/01/2018</w:t>
            </w:r>
          </w:p>
        </w:tc>
        <w:tc>
          <w:tcPr>
            <w:tcW w:w="1700" w:type="dxa"/>
            <w:vAlign w:val="bottom"/>
          </w:tcPr>
          <w:p>
            <w:pPr>
              <w:jc w:val="center"/>
              <w:spacing w:after="0"/>
              <w:rPr>
                <w:sz w:val="20"/>
                <w:szCs w:val="20"/>
                <w:color w:val="auto"/>
              </w:rPr>
            </w:pPr>
            <w:r>
              <w:rPr>
                <w:rFonts w:ascii="Arial" w:cs="Arial" w:eastAsia="Arial" w:hAnsi="Arial"/>
                <w:sz w:val="14"/>
                <w:szCs w:val="14"/>
                <w:color w:val="auto"/>
                <w:w w:val="95"/>
              </w:rPr>
              <w:t>Logistics</w:t>
            </w:r>
          </w:p>
        </w:tc>
        <w:tc>
          <w:tcPr>
            <w:tcW w:w="600" w:type="dxa"/>
            <w:vAlign w:val="bottom"/>
          </w:tcPr>
          <w:p>
            <w:pPr>
              <w:jc w:val="right"/>
              <w:spacing w:after="0"/>
              <w:rPr>
                <w:sz w:val="20"/>
                <w:szCs w:val="20"/>
                <w:color w:val="auto"/>
              </w:rPr>
            </w:pPr>
            <w:r>
              <w:rPr>
                <w:rFonts w:ascii="Arial" w:cs="Arial" w:eastAsia="Arial" w:hAnsi="Arial"/>
                <w:sz w:val="14"/>
                <w:szCs w:val="14"/>
                <w:color w:val="auto"/>
              </w:rPr>
              <w:t>11.50%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2580" w:type="dxa"/>
            <w:vAlign w:val="bottom"/>
          </w:tcPr>
          <w:p>
            <w:pPr>
              <w:spacing w:after="0"/>
              <w:rPr>
                <w:sz w:val="20"/>
                <w:szCs w:val="20"/>
                <w:color w:val="auto"/>
              </w:rPr>
            </w:pPr>
            <w:r>
              <w:rPr>
                <w:rFonts w:ascii="Arial" w:cs="Arial" w:eastAsia="Arial" w:hAnsi="Arial"/>
                <w:sz w:val="14"/>
                <w:szCs w:val="14"/>
                <w:color w:val="auto"/>
              </w:rPr>
              <w:t>Chester Downs and Marina, LLC</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07/31/2016</w:t>
            </w: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Hotels, Motels, Inns and</w:t>
            </w:r>
          </w:p>
        </w:tc>
        <w:tc>
          <w:tcPr>
            <w:tcW w:w="600" w:type="dxa"/>
            <w:vAlign w:val="bottom"/>
          </w:tcPr>
          <w:p>
            <w:pPr>
              <w:jc w:val="right"/>
              <w:spacing w:after="0"/>
              <w:rPr>
                <w:sz w:val="20"/>
                <w:szCs w:val="20"/>
                <w:color w:val="auto"/>
              </w:rPr>
            </w:pPr>
            <w:r>
              <w:rPr>
                <w:rFonts w:ascii="Arial" w:cs="Arial" w:eastAsia="Arial" w:hAnsi="Arial"/>
                <w:sz w:val="14"/>
                <w:szCs w:val="14"/>
                <w:color w:val="auto"/>
              </w:rPr>
              <w:t>12.38%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Gaming</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80" w:type="dxa"/>
            <w:vAlign w:val="bottom"/>
            <w:vMerge w:val="restart"/>
          </w:tcPr>
          <w:p>
            <w:pPr>
              <w:spacing w:after="0"/>
              <w:rPr>
                <w:sz w:val="20"/>
                <w:szCs w:val="20"/>
                <w:color w:val="auto"/>
              </w:rPr>
            </w:pPr>
            <w:r>
              <w:rPr>
                <w:rFonts w:ascii="Arial" w:cs="Arial" w:eastAsia="Arial" w:hAnsi="Arial"/>
                <w:sz w:val="14"/>
                <w:szCs w:val="14"/>
                <w:color w:val="auto"/>
              </w:rPr>
              <w:t>Columbus International, Inc.</w:t>
            </w:r>
            <w:r>
              <w:rPr>
                <w:rFonts w:ascii="Arial" w:cs="Arial" w:eastAsia="Arial" w:hAnsi="Arial"/>
                <w:sz w:val="8"/>
                <w:szCs w:val="8"/>
                <w:color w:val="auto"/>
              </w:rPr>
              <w:t>(5),(10)</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11/20/2014</w:t>
            </w: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Communications</w:t>
            </w:r>
          </w:p>
        </w:tc>
        <w:tc>
          <w:tcPr>
            <w:tcW w:w="600" w:type="dxa"/>
            <w:vAlign w:val="bottom"/>
          </w:tcPr>
          <w:p>
            <w:pPr>
              <w:jc w:val="right"/>
              <w:spacing w:after="0"/>
              <w:rPr>
                <w:sz w:val="20"/>
                <w:szCs w:val="20"/>
                <w:color w:val="auto"/>
              </w:rPr>
            </w:pPr>
            <w:r>
              <w:rPr>
                <w:rFonts w:ascii="Arial" w:cs="Arial" w:eastAsia="Arial" w:hAnsi="Arial"/>
                <w:sz w:val="14"/>
                <w:szCs w:val="14"/>
                <w:color w:val="auto"/>
              </w:rPr>
              <w:t>11.50%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2580" w:type="dxa"/>
            <w:vAlign w:val="bottom"/>
            <w:vMerge w:val="restart"/>
          </w:tcPr>
          <w:p>
            <w:pPr>
              <w:spacing w:after="0"/>
              <w:rPr>
                <w:sz w:val="20"/>
                <w:szCs w:val="20"/>
                <w:color w:val="auto"/>
              </w:rPr>
            </w:pPr>
            <w:r>
              <w:rPr>
                <w:rFonts w:ascii="Arial" w:cs="Arial" w:eastAsia="Arial" w:hAnsi="Arial"/>
                <w:sz w:val="14"/>
                <w:szCs w:val="14"/>
                <w:color w:val="auto"/>
              </w:rPr>
              <w:t>Covad Communications Group, Inc.</w:t>
            </w:r>
            <w:r>
              <w:rPr>
                <w:rFonts w:ascii="Arial" w:cs="Arial" w:eastAsia="Arial" w:hAnsi="Arial"/>
                <w:sz w:val="8"/>
                <w:szCs w:val="8"/>
                <w:color w:val="auto"/>
              </w:rPr>
              <w:t>(5)</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11/03/2015</w:t>
            </w: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Telecommunications</w:t>
            </w:r>
          </w:p>
        </w:tc>
        <w:tc>
          <w:tcPr>
            <w:tcW w:w="600" w:type="dxa"/>
            <w:vAlign w:val="bottom"/>
          </w:tcPr>
          <w:p>
            <w:pPr>
              <w:jc w:val="right"/>
              <w:spacing w:after="0"/>
              <w:rPr>
                <w:sz w:val="20"/>
                <w:szCs w:val="20"/>
                <w:color w:val="auto"/>
              </w:rPr>
            </w:pPr>
            <w:r>
              <w:rPr>
                <w:rFonts w:ascii="Arial" w:cs="Arial" w:eastAsia="Arial" w:hAnsi="Arial"/>
                <w:sz w:val="14"/>
                <w:szCs w:val="14"/>
                <w:color w:val="auto"/>
              </w:rPr>
              <w:t>12.00%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2580" w:type="dxa"/>
            <w:vAlign w:val="bottom"/>
            <w:vMerge w:val="restart"/>
          </w:tcPr>
          <w:p>
            <w:pPr>
              <w:spacing w:after="0"/>
              <w:rPr>
                <w:sz w:val="20"/>
                <w:szCs w:val="20"/>
                <w:color w:val="auto"/>
              </w:rPr>
            </w:pPr>
            <w:r>
              <w:rPr>
                <w:rFonts w:ascii="Arial" w:cs="Arial" w:eastAsia="Arial" w:hAnsi="Arial"/>
                <w:sz w:val="14"/>
                <w:szCs w:val="14"/>
                <w:color w:val="auto"/>
              </w:rPr>
              <w:t>EnviroSolutions, Inc.</w:t>
            </w:r>
            <w:r>
              <w:rPr>
                <w:rFonts w:ascii="Arial" w:cs="Arial" w:eastAsia="Arial" w:hAnsi="Arial"/>
                <w:sz w:val="8"/>
                <w:szCs w:val="8"/>
                <w:color w:val="auto"/>
              </w:rPr>
              <w:t>(9)</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07/29/2013</w:t>
            </w: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Environmental Services</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2580" w:type="dxa"/>
            <w:vAlign w:val="bottom"/>
          </w:tcPr>
          <w:p>
            <w:pPr>
              <w:spacing w:after="0"/>
              <w:rPr>
                <w:sz w:val="20"/>
                <w:szCs w:val="20"/>
                <w:color w:val="auto"/>
              </w:rPr>
            </w:pPr>
            <w:r>
              <w:rPr>
                <w:rFonts w:ascii="Arial" w:cs="Arial" w:eastAsia="Arial" w:hAnsi="Arial"/>
                <w:sz w:val="14"/>
                <w:szCs w:val="14"/>
                <w:color w:val="auto"/>
              </w:rPr>
              <w:t>Hanley-Wood, L.L.C.</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03/08/2014</w:t>
            </w:r>
          </w:p>
        </w:tc>
        <w:tc>
          <w:tcPr>
            <w:tcW w:w="1700" w:type="dxa"/>
            <w:vAlign w:val="bottom"/>
          </w:tcPr>
          <w:p>
            <w:pPr>
              <w:jc w:val="center"/>
              <w:spacing w:after="0"/>
              <w:rPr>
                <w:sz w:val="20"/>
                <w:szCs w:val="20"/>
                <w:color w:val="auto"/>
              </w:rPr>
            </w:pPr>
            <w:r>
              <w:rPr>
                <w:rFonts w:ascii="Arial" w:cs="Arial" w:eastAsia="Arial" w:hAnsi="Arial"/>
                <w:sz w:val="14"/>
                <w:szCs w:val="14"/>
                <w:color w:val="auto"/>
                <w:w w:val="96"/>
              </w:rPr>
              <w:t>Other Media</w:t>
            </w:r>
          </w:p>
        </w:tc>
        <w:tc>
          <w:tcPr>
            <w:tcW w:w="600" w:type="dxa"/>
            <w:vAlign w:val="bottom"/>
          </w:tcPr>
          <w:p>
            <w:pPr>
              <w:jc w:val="right"/>
              <w:spacing w:after="0"/>
              <w:rPr>
                <w:sz w:val="20"/>
                <w:szCs w:val="20"/>
                <w:color w:val="auto"/>
              </w:rPr>
            </w:pPr>
            <w:r>
              <w:rPr>
                <w:rFonts w:ascii="Arial" w:cs="Arial" w:eastAsia="Arial" w:hAnsi="Arial"/>
                <w:sz w:val="14"/>
                <w:szCs w:val="14"/>
                <w:color w:val="auto"/>
              </w:rPr>
              <w:t>2.56%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4"/>
                <w:szCs w:val="14"/>
                <w:color w:val="auto"/>
              </w:rPr>
              <w:t>Instant Web, Inc.</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08/07/2014</w:t>
            </w: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Printing and Publishing</w:t>
            </w:r>
          </w:p>
        </w:tc>
        <w:tc>
          <w:tcPr>
            <w:tcW w:w="600" w:type="dxa"/>
            <w:vAlign w:val="bottom"/>
          </w:tcPr>
          <w:p>
            <w:pPr>
              <w:jc w:val="right"/>
              <w:spacing w:after="0"/>
              <w:rPr>
                <w:sz w:val="20"/>
                <w:szCs w:val="20"/>
                <w:color w:val="auto"/>
              </w:rPr>
            </w:pPr>
            <w:r>
              <w:rPr>
                <w:rFonts w:ascii="Arial" w:cs="Arial" w:eastAsia="Arial" w:hAnsi="Arial"/>
                <w:sz w:val="14"/>
                <w:szCs w:val="14"/>
                <w:color w:val="auto"/>
              </w:rPr>
              <w:t>14.50%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580" w:type="dxa"/>
            <w:vAlign w:val="bottom"/>
          </w:tcPr>
          <w:p>
            <w:pPr>
              <w:spacing w:after="0"/>
              <w:rPr>
                <w:sz w:val="20"/>
                <w:szCs w:val="20"/>
                <w:color w:val="auto"/>
              </w:rPr>
            </w:pPr>
            <w:r>
              <w:rPr>
                <w:rFonts w:ascii="Arial" w:cs="Arial" w:eastAsia="Arial" w:hAnsi="Arial"/>
                <w:sz w:val="14"/>
                <w:szCs w:val="14"/>
                <w:color w:val="auto"/>
              </w:rPr>
              <w:t>Jacuzzi Brands Corp.</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02/07/2014</w:t>
            </w:r>
          </w:p>
        </w:tc>
        <w:tc>
          <w:tcPr>
            <w:tcW w:w="1700" w:type="dxa"/>
            <w:vAlign w:val="bottom"/>
          </w:tcPr>
          <w:p>
            <w:pPr>
              <w:jc w:val="center"/>
              <w:spacing w:after="0"/>
              <w:rPr>
                <w:sz w:val="20"/>
                <w:szCs w:val="20"/>
                <w:color w:val="auto"/>
              </w:rPr>
            </w:pPr>
            <w:r>
              <w:rPr>
                <w:rFonts w:ascii="Arial" w:cs="Arial" w:eastAsia="Arial" w:hAnsi="Arial"/>
                <w:sz w:val="14"/>
                <w:szCs w:val="14"/>
                <w:color w:val="auto"/>
                <w:w w:val="95"/>
              </w:rPr>
              <w:t>Home and Office</w:t>
            </w:r>
          </w:p>
        </w:tc>
        <w:tc>
          <w:tcPr>
            <w:tcW w:w="600" w:type="dxa"/>
            <w:vAlign w:val="bottom"/>
          </w:tcPr>
          <w:p>
            <w:pPr>
              <w:jc w:val="right"/>
              <w:spacing w:after="0"/>
              <w:rPr>
                <w:sz w:val="20"/>
                <w:szCs w:val="20"/>
                <w:color w:val="auto"/>
              </w:rPr>
            </w:pPr>
            <w:r>
              <w:rPr>
                <w:rFonts w:ascii="Arial" w:cs="Arial" w:eastAsia="Arial" w:hAnsi="Arial"/>
                <w:sz w:val="14"/>
                <w:szCs w:val="14"/>
                <w:color w:val="auto"/>
              </w:rPr>
              <w:t>2.50%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2"/>
              </w:rPr>
              <w:t>Furnishings, Housewares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2"/>
              </w:rPr>
              <w:t>and Durable Consumer</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0"/>
              </w:rPr>
              <w:t>Products</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Pr>
          <w:p>
            <w:pPr>
              <w:spacing w:after="0"/>
              <w:rPr>
                <w:sz w:val="20"/>
                <w:szCs w:val="20"/>
                <w:color w:val="auto"/>
              </w:rPr>
            </w:pPr>
            <w:r>
              <w:rPr>
                <w:rFonts w:ascii="Arial" w:cs="Arial" w:eastAsia="Arial" w:hAnsi="Arial"/>
                <w:sz w:val="14"/>
                <w:szCs w:val="14"/>
                <w:color w:val="auto"/>
              </w:rPr>
              <w:t>K2 Pure Solutions NoCal, L.P.</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09/10/2015</w:t>
            </w:r>
          </w:p>
        </w:tc>
        <w:tc>
          <w:tcPr>
            <w:tcW w:w="1700" w:type="dxa"/>
            <w:vAlign w:val="bottom"/>
          </w:tcPr>
          <w:p>
            <w:pPr>
              <w:jc w:val="center"/>
              <w:spacing w:after="0"/>
              <w:rPr>
                <w:sz w:val="20"/>
                <w:szCs w:val="20"/>
                <w:color w:val="auto"/>
              </w:rPr>
            </w:pPr>
            <w:r>
              <w:rPr>
                <w:rFonts w:ascii="Arial" w:cs="Arial" w:eastAsia="Arial" w:hAnsi="Arial"/>
                <w:sz w:val="14"/>
                <w:szCs w:val="14"/>
                <w:color w:val="auto"/>
                <w:w w:val="91"/>
              </w:rPr>
              <w:t>Chemicals, Plastics and</w:t>
            </w:r>
          </w:p>
        </w:tc>
        <w:tc>
          <w:tcPr>
            <w:tcW w:w="600" w:type="dxa"/>
            <w:vAlign w:val="bottom"/>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1"/>
              </w:rPr>
              <w:t>Rubber</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20"/>
                <w:szCs w:val="20"/>
                <w:color w:val="auto"/>
              </w:rPr>
            </w:pPr>
            <w:r>
              <w:rPr>
                <w:rFonts w:ascii="Arial" w:cs="Arial" w:eastAsia="Arial" w:hAnsi="Arial"/>
                <w:sz w:val="14"/>
                <w:szCs w:val="14"/>
                <w:color w:val="auto"/>
              </w:rPr>
              <w:t>Learning Care Group, Inc.</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04/27/2016</w:t>
            </w: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Education</w:t>
            </w:r>
          </w:p>
        </w:tc>
        <w:tc>
          <w:tcPr>
            <w:tcW w:w="600" w:type="dxa"/>
            <w:vAlign w:val="bottom"/>
          </w:tcPr>
          <w:p>
            <w:pPr>
              <w:jc w:val="right"/>
              <w:spacing w:after="0"/>
              <w:rPr>
                <w:sz w:val="20"/>
                <w:szCs w:val="20"/>
                <w:color w:val="auto"/>
              </w:rPr>
            </w:pPr>
            <w:r>
              <w:rPr>
                <w:rFonts w:ascii="Arial" w:cs="Arial" w:eastAsia="Arial" w:hAnsi="Arial"/>
                <w:sz w:val="14"/>
                <w:szCs w:val="14"/>
                <w:color w:val="auto"/>
              </w:rPr>
              <w:t>12.00%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580" w:type="dxa"/>
            <w:vAlign w:val="bottom"/>
          </w:tcPr>
          <w:p>
            <w:pPr>
              <w:spacing w:after="0"/>
              <w:rPr>
                <w:sz w:val="20"/>
                <w:szCs w:val="20"/>
                <w:color w:val="auto"/>
              </w:rPr>
            </w:pPr>
            <w:r>
              <w:rPr>
                <w:rFonts w:ascii="Arial" w:cs="Arial" w:eastAsia="Arial" w:hAnsi="Arial"/>
                <w:sz w:val="14"/>
                <w:szCs w:val="14"/>
                <w:color w:val="auto"/>
              </w:rPr>
              <w:t>Penton Media, Inc.</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08/01/2014</w:t>
            </w:r>
          </w:p>
        </w:tc>
        <w:tc>
          <w:tcPr>
            <w:tcW w:w="1700" w:type="dxa"/>
            <w:vAlign w:val="bottom"/>
          </w:tcPr>
          <w:p>
            <w:pPr>
              <w:jc w:val="center"/>
              <w:spacing w:after="0"/>
              <w:rPr>
                <w:sz w:val="20"/>
                <w:szCs w:val="20"/>
                <w:color w:val="auto"/>
              </w:rPr>
            </w:pPr>
            <w:r>
              <w:rPr>
                <w:rFonts w:ascii="Arial" w:cs="Arial" w:eastAsia="Arial" w:hAnsi="Arial"/>
                <w:sz w:val="14"/>
                <w:szCs w:val="14"/>
                <w:color w:val="auto"/>
                <w:w w:val="96"/>
              </w:rPr>
              <w:t>Other Media</w:t>
            </w:r>
          </w:p>
        </w:tc>
        <w:tc>
          <w:tcPr>
            <w:tcW w:w="600" w:type="dxa"/>
            <w:vAlign w:val="bottom"/>
          </w:tcPr>
          <w:p>
            <w:pPr>
              <w:jc w:val="right"/>
              <w:spacing w:after="0"/>
              <w:rPr>
                <w:sz w:val="20"/>
                <w:szCs w:val="20"/>
                <w:color w:val="auto"/>
              </w:rPr>
            </w:pPr>
            <w:r>
              <w:rPr>
                <w:rFonts w:ascii="Arial" w:cs="Arial" w:eastAsia="Arial" w:hAnsi="Arial"/>
                <w:sz w:val="14"/>
                <w:szCs w:val="14"/>
                <w:color w:val="auto"/>
              </w:rPr>
              <w:t>5.00%</w:t>
            </w:r>
          </w:p>
        </w:tc>
        <w:tc>
          <w:tcPr>
            <w:tcW w:w="140" w:type="dxa"/>
            <w:vAlign w:val="bottom"/>
          </w:tcPr>
          <w:p>
            <w:pPr>
              <w:jc w:val="right"/>
              <w:spacing w:after="0"/>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221"/>
        </w:trPr>
        <w:tc>
          <w:tcPr>
            <w:tcW w:w="2580" w:type="dxa"/>
            <w:vAlign w:val="bottom"/>
          </w:tcPr>
          <w:p>
            <w:pPr>
              <w:spacing w:after="0"/>
              <w:rPr>
                <w:sz w:val="20"/>
                <w:szCs w:val="20"/>
                <w:color w:val="auto"/>
              </w:rPr>
            </w:pPr>
            <w:r>
              <w:rPr>
                <w:rFonts w:ascii="Arial" w:cs="Arial" w:eastAsia="Arial" w:hAnsi="Arial"/>
                <w:sz w:val="14"/>
                <w:szCs w:val="14"/>
                <w:color w:val="auto"/>
              </w:rPr>
              <w:t>Pre-Paid Legal Services, Inc,.</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12/30/2016</w:t>
            </w:r>
          </w:p>
        </w:tc>
        <w:tc>
          <w:tcPr>
            <w:tcW w:w="1700" w:type="dxa"/>
            <w:vAlign w:val="bottom"/>
          </w:tcPr>
          <w:p>
            <w:pPr>
              <w:jc w:val="center"/>
              <w:spacing w:after="0"/>
              <w:rPr>
                <w:sz w:val="20"/>
                <w:szCs w:val="20"/>
                <w:color w:val="auto"/>
              </w:rPr>
            </w:pPr>
            <w:r>
              <w:rPr>
                <w:rFonts w:ascii="Arial" w:cs="Arial" w:eastAsia="Arial" w:hAnsi="Arial"/>
                <w:sz w:val="14"/>
                <w:szCs w:val="14"/>
                <w:color w:val="auto"/>
                <w:w w:val="89"/>
              </w:rPr>
              <w:t>Personal, Food and</w:t>
            </w:r>
          </w:p>
        </w:tc>
        <w:tc>
          <w:tcPr>
            <w:tcW w:w="600" w:type="dxa"/>
            <w:vAlign w:val="bottom"/>
          </w:tcPr>
          <w:p>
            <w:pPr>
              <w:jc w:val="right"/>
              <w:spacing w:after="0"/>
              <w:rPr>
                <w:sz w:val="20"/>
                <w:szCs w:val="20"/>
                <w:color w:val="auto"/>
              </w:rPr>
            </w:pPr>
            <w:r>
              <w:rPr>
                <w:rFonts w:ascii="Arial" w:cs="Arial" w:eastAsia="Arial" w:hAnsi="Arial"/>
                <w:sz w:val="14"/>
                <w:szCs w:val="14"/>
                <w:color w:val="auto"/>
              </w:rPr>
              <w:t>7.50%</w:t>
            </w:r>
          </w:p>
        </w:tc>
        <w:tc>
          <w:tcPr>
            <w:tcW w:w="140" w:type="dxa"/>
            <w:vAlign w:val="bottom"/>
          </w:tcPr>
          <w:p>
            <w:pPr>
              <w:jc w:val="right"/>
              <w:spacing w:after="0"/>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182"/>
        </w:trPr>
        <w:tc>
          <w:tcPr>
            <w:tcW w:w="2580" w:type="dxa"/>
            <w:vAlign w:val="bottom"/>
          </w:tcPr>
          <w:p>
            <w:pPr>
              <w:spacing w:after="0"/>
              <w:rPr>
                <w:sz w:val="20"/>
                <w:szCs w:val="20"/>
                <w:color w:val="auto"/>
              </w:rPr>
            </w:pPr>
            <w:r>
              <w:rPr>
                <w:rFonts w:ascii="Arial" w:cs="Arial" w:eastAsia="Arial" w:hAnsi="Arial"/>
                <w:sz w:val="14"/>
                <w:szCs w:val="14"/>
                <w:color w:val="auto"/>
              </w:rPr>
              <w:t>Tranche A</w:t>
            </w:r>
          </w:p>
        </w:tc>
        <w:tc>
          <w:tcPr>
            <w:tcW w:w="1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2"/>
              </w:rPr>
              <w:t>Miscellaneous Services</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Pr>
          <w:p>
            <w:pPr>
              <w:spacing w:after="0"/>
              <w:rPr>
                <w:sz w:val="20"/>
                <w:szCs w:val="20"/>
                <w:color w:val="auto"/>
              </w:rPr>
            </w:pPr>
            <w:r>
              <w:rPr>
                <w:rFonts w:ascii="Arial" w:cs="Arial" w:eastAsia="Arial" w:hAnsi="Arial"/>
                <w:sz w:val="14"/>
                <w:szCs w:val="14"/>
                <w:color w:val="auto"/>
              </w:rPr>
              <w:t>Pre-Paid Legal Services, Inc,.</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12/30/2016</w:t>
            </w:r>
          </w:p>
        </w:tc>
        <w:tc>
          <w:tcPr>
            <w:tcW w:w="1700" w:type="dxa"/>
            <w:vAlign w:val="bottom"/>
          </w:tcPr>
          <w:p>
            <w:pPr>
              <w:jc w:val="center"/>
              <w:spacing w:after="0"/>
              <w:rPr>
                <w:sz w:val="20"/>
                <w:szCs w:val="20"/>
                <w:color w:val="auto"/>
              </w:rPr>
            </w:pPr>
            <w:r>
              <w:rPr>
                <w:rFonts w:ascii="Arial" w:cs="Arial" w:eastAsia="Arial" w:hAnsi="Arial"/>
                <w:sz w:val="14"/>
                <w:szCs w:val="14"/>
                <w:color w:val="auto"/>
                <w:w w:val="89"/>
              </w:rPr>
              <w:t>Personal, Food and</w:t>
            </w:r>
          </w:p>
        </w:tc>
        <w:tc>
          <w:tcPr>
            <w:tcW w:w="600" w:type="dxa"/>
            <w:vAlign w:val="bottom"/>
          </w:tcPr>
          <w:p>
            <w:pPr>
              <w:jc w:val="right"/>
              <w:spacing w:after="0"/>
              <w:rPr>
                <w:sz w:val="20"/>
                <w:szCs w:val="20"/>
                <w:color w:val="auto"/>
              </w:rPr>
            </w:pPr>
            <w:r>
              <w:rPr>
                <w:rFonts w:ascii="Arial" w:cs="Arial" w:eastAsia="Arial" w:hAnsi="Arial"/>
                <w:sz w:val="14"/>
                <w:szCs w:val="14"/>
                <w:color w:val="auto"/>
              </w:rPr>
              <w:t>11.00%</w:t>
            </w:r>
          </w:p>
        </w:tc>
        <w:tc>
          <w:tcPr>
            <w:tcW w:w="140" w:type="dxa"/>
            <w:vAlign w:val="bottom"/>
          </w:tcPr>
          <w:p>
            <w:pPr>
              <w:jc w:val="right"/>
              <w:spacing w:after="0"/>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182"/>
        </w:trPr>
        <w:tc>
          <w:tcPr>
            <w:tcW w:w="2580" w:type="dxa"/>
            <w:vAlign w:val="bottom"/>
          </w:tcPr>
          <w:p>
            <w:pPr>
              <w:spacing w:after="0"/>
              <w:rPr>
                <w:sz w:val="20"/>
                <w:szCs w:val="20"/>
                <w:color w:val="auto"/>
              </w:rPr>
            </w:pPr>
            <w:r>
              <w:rPr>
                <w:rFonts w:ascii="Arial" w:cs="Arial" w:eastAsia="Arial" w:hAnsi="Arial"/>
                <w:sz w:val="14"/>
                <w:szCs w:val="14"/>
                <w:color w:val="auto"/>
              </w:rPr>
              <w:t>Tranche B</w:t>
            </w:r>
          </w:p>
        </w:tc>
        <w:tc>
          <w:tcPr>
            <w:tcW w:w="1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2"/>
              </w:rPr>
              <w:t>Miscellaneous Services</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80" w:type="dxa"/>
            <w:vAlign w:val="bottom"/>
            <w:vMerge w:val="restart"/>
          </w:tcPr>
          <w:p>
            <w:pPr>
              <w:spacing w:after="0"/>
              <w:rPr>
                <w:sz w:val="20"/>
                <w:szCs w:val="20"/>
                <w:color w:val="auto"/>
              </w:rPr>
            </w:pPr>
            <w:r>
              <w:rPr>
                <w:rFonts w:ascii="Arial" w:cs="Arial" w:eastAsia="Arial" w:hAnsi="Arial"/>
                <w:sz w:val="14"/>
                <w:szCs w:val="14"/>
                <w:color w:val="auto"/>
              </w:rPr>
              <w:t>Questex Media Group LLC</w:t>
            </w:r>
            <w:r>
              <w:rPr>
                <w:rFonts w:ascii="Arial" w:cs="Arial" w:eastAsia="Arial" w:hAnsi="Arial"/>
                <w:sz w:val="8"/>
                <w:szCs w:val="8"/>
                <w:color w:val="auto"/>
              </w:rPr>
              <w:t>(9)</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12/16/2012</w:t>
            </w:r>
          </w:p>
        </w:tc>
        <w:tc>
          <w:tcPr>
            <w:tcW w:w="1700" w:type="dxa"/>
            <w:vAlign w:val="bottom"/>
          </w:tcPr>
          <w:p>
            <w:pPr>
              <w:jc w:val="center"/>
              <w:spacing w:after="0"/>
              <w:rPr>
                <w:sz w:val="20"/>
                <w:szCs w:val="20"/>
                <w:color w:val="auto"/>
              </w:rPr>
            </w:pPr>
            <w:r>
              <w:rPr>
                <w:rFonts w:ascii="Arial" w:cs="Arial" w:eastAsia="Arial" w:hAnsi="Arial"/>
                <w:sz w:val="14"/>
                <w:szCs w:val="14"/>
                <w:color w:val="auto"/>
                <w:w w:val="96"/>
              </w:rPr>
              <w:t>Other Media</w:t>
            </w: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-4217670</wp:posOffset>
            </wp:positionV>
            <wp:extent cx="7132320"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-3695065</wp:posOffset>
            </wp:positionV>
            <wp:extent cx="7132320"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-3094990</wp:posOffset>
            </wp:positionV>
            <wp:extent cx="71323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-2571750</wp:posOffset>
            </wp:positionV>
            <wp:extent cx="713232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-1971675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-1628775</wp:posOffset>
            </wp:positionV>
            <wp:extent cx="713232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-995045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12,000,000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11,765,928</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12,600,000</w:t>
            </w:r>
          </w:p>
        </w:tc>
        <w:tc>
          <w:tcPr>
            <w:tcW w:w="0" w:type="dxa"/>
            <w:vAlign w:val="bottom"/>
          </w:tcPr>
          <w:p>
            <w:pPr>
              <w:spacing w:after="0"/>
              <w:rPr>
                <w:sz w:val="1"/>
                <w:szCs w:val="1"/>
                <w:color w:val="auto"/>
              </w:rPr>
            </w:pPr>
          </w:p>
        </w:tc>
      </w:tr>
      <w:tr>
        <w:trPr>
          <w:trHeight w:val="135"/>
        </w:trPr>
        <w:tc>
          <w:tcPr>
            <w:tcW w:w="5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5"/>
        </w:trPr>
        <w:tc>
          <w:tcPr>
            <w:tcW w:w="560" w:type="dxa"/>
            <w:vAlign w:val="bottom"/>
          </w:tcPr>
          <w:p>
            <w:pPr>
              <w:jc w:val="right"/>
              <w:ind w:right="8"/>
              <w:spacing w:after="0"/>
              <w:rPr>
                <w:sz w:val="20"/>
                <w:szCs w:val="20"/>
                <w:color w:val="auto"/>
              </w:rPr>
            </w:pPr>
            <w:r>
              <w:rPr>
                <w:rFonts w:ascii="Arial" w:cs="Arial" w:eastAsia="Arial" w:hAnsi="Arial"/>
                <w:sz w:val="14"/>
                <w:szCs w:val="14"/>
                <w:color w:val="auto"/>
                <w:w w:val="90"/>
              </w:rPr>
              <w:t>L+1,000</w:t>
            </w:r>
          </w:p>
        </w:tc>
        <w:tc>
          <w:tcPr>
            <w:tcW w:w="500" w:type="dxa"/>
            <w:vAlign w:val="bottom"/>
          </w:tcPr>
          <w:p>
            <w:pPr>
              <w:jc w:val="right"/>
              <w:ind w:right="292"/>
              <w:spacing w:after="0"/>
              <w:rPr>
                <w:sz w:val="20"/>
                <w:szCs w:val="20"/>
                <w:color w:val="auto"/>
              </w:rPr>
            </w:pPr>
            <w:r>
              <w:rPr>
                <w:rFonts w:ascii="Arial" w:cs="Arial" w:eastAsia="Arial" w:hAnsi="Arial"/>
                <w:sz w:val="9"/>
                <w:szCs w:val="9"/>
                <w:color w:val="auto"/>
              </w:rPr>
              <w:t>(8)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21,000,000</w:t>
            </w:r>
          </w:p>
        </w:tc>
        <w:tc>
          <w:tcPr>
            <w:tcW w:w="3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20,398,587</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21,000,000</w:t>
            </w:r>
          </w:p>
        </w:tc>
        <w:tc>
          <w:tcPr>
            <w:tcW w:w="0" w:type="dxa"/>
            <w:vAlign w:val="bottom"/>
          </w:tcPr>
          <w:p>
            <w:pPr>
              <w:spacing w:after="0"/>
              <w:rPr>
                <w:sz w:val="1"/>
                <w:szCs w:val="1"/>
                <w:color w:val="auto"/>
              </w:rPr>
            </w:pPr>
          </w:p>
        </w:tc>
      </w:tr>
      <w:tr>
        <w:trPr>
          <w:trHeight w:val="283"/>
        </w:trPr>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7,500,000</w:t>
            </w:r>
          </w:p>
        </w:tc>
        <w:tc>
          <w:tcPr>
            <w:tcW w:w="3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7,322,463</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8,156,250</w:t>
            </w:r>
          </w:p>
        </w:tc>
        <w:tc>
          <w:tcPr>
            <w:tcW w:w="0" w:type="dxa"/>
            <w:vAlign w:val="bottom"/>
          </w:tcPr>
          <w:p>
            <w:pPr>
              <w:spacing w:after="0"/>
              <w:rPr>
                <w:sz w:val="1"/>
                <w:szCs w:val="1"/>
                <w:color w:val="auto"/>
              </w:rPr>
            </w:pPr>
          </w:p>
        </w:tc>
      </w:tr>
      <w:tr>
        <w:trPr>
          <w:trHeight w:val="135"/>
        </w:trPr>
        <w:tc>
          <w:tcPr>
            <w:tcW w:w="5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1,000,000</w:t>
            </w:r>
          </w:p>
        </w:tc>
        <w:tc>
          <w:tcPr>
            <w:tcW w:w="3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988,583</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1,052,500</w:t>
            </w:r>
          </w:p>
        </w:tc>
        <w:tc>
          <w:tcPr>
            <w:tcW w:w="0" w:type="dxa"/>
            <w:vAlign w:val="bottom"/>
          </w:tcPr>
          <w:p>
            <w:pPr>
              <w:spacing w:after="0"/>
              <w:rPr>
                <w:sz w:val="1"/>
                <w:szCs w:val="1"/>
                <w:color w:val="auto"/>
              </w:rPr>
            </w:pPr>
          </w:p>
        </w:tc>
      </w:tr>
      <w:tr>
        <w:trPr>
          <w:trHeight w:val="135"/>
        </w:trPr>
        <w:tc>
          <w:tcPr>
            <w:tcW w:w="5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5"/>
        </w:trPr>
        <w:tc>
          <w:tcPr>
            <w:tcW w:w="560" w:type="dxa"/>
            <w:vAlign w:val="bottom"/>
          </w:tcPr>
          <w:p>
            <w:pPr>
              <w:jc w:val="right"/>
              <w:ind w:right="8"/>
              <w:spacing w:after="0"/>
              <w:rPr>
                <w:sz w:val="20"/>
                <w:szCs w:val="20"/>
                <w:color w:val="auto"/>
              </w:rPr>
            </w:pPr>
            <w:r>
              <w:rPr>
                <w:rFonts w:ascii="Arial" w:cs="Arial" w:eastAsia="Arial" w:hAnsi="Arial"/>
                <w:sz w:val="14"/>
                <w:szCs w:val="14"/>
                <w:color w:val="auto"/>
              </w:rPr>
              <w:t>L+988</w:t>
            </w:r>
          </w:p>
        </w:tc>
        <w:tc>
          <w:tcPr>
            <w:tcW w:w="500" w:type="dxa"/>
            <w:vAlign w:val="bottom"/>
          </w:tcPr>
          <w:p>
            <w:pPr>
              <w:jc w:val="right"/>
              <w:ind w:right="292"/>
              <w:spacing w:after="0"/>
              <w:rPr>
                <w:sz w:val="20"/>
                <w:szCs w:val="20"/>
                <w:color w:val="auto"/>
              </w:rPr>
            </w:pPr>
            <w:r>
              <w:rPr>
                <w:rFonts w:ascii="Arial" w:cs="Arial" w:eastAsia="Arial" w:hAnsi="Arial"/>
                <w:sz w:val="9"/>
                <w:szCs w:val="9"/>
                <w:color w:val="auto"/>
              </w:rPr>
              <w:t>(8)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11,671,853</w:t>
            </w:r>
          </w:p>
        </w:tc>
        <w:tc>
          <w:tcPr>
            <w:tcW w:w="3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11,325,615</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11,851,798</w:t>
            </w:r>
          </w:p>
        </w:tc>
        <w:tc>
          <w:tcPr>
            <w:tcW w:w="0" w:type="dxa"/>
            <w:vAlign w:val="bottom"/>
          </w:tcPr>
          <w:p>
            <w:pPr>
              <w:spacing w:after="0"/>
              <w:rPr>
                <w:sz w:val="1"/>
                <w:szCs w:val="1"/>
                <w:color w:val="auto"/>
              </w:rPr>
            </w:pPr>
          </w:p>
        </w:tc>
      </w:tr>
      <w:tr>
        <w:trPr>
          <w:trHeight w:val="283"/>
        </w:trPr>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10,000,000</w:t>
            </w:r>
          </w:p>
        </w:tc>
        <w:tc>
          <w:tcPr>
            <w:tcW w:w="3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10,000,000</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11,362,500</w:t>
            </w:r>
          </w:p>
        </w:tc>
        <w:tc>
          <w:tcPr>
            <w:tcW w:w="0" w:type="dxa"/>
            <w:vAlign w:val="bottom"/>
          </w:tcPr>
          <w:p>
            <w:pPr>
              <w:spacing w:after="0"/>
              <w:rPr>
                <w:sz w:val="1"/>
                <w:szCs w:val="1"/>
                <w:color w:val="auto"/>
              </w:rPr>
            </w:pPr>
          </w:p>
        </w:tc>
      </w:tr>
      <w:tr>
        <w:trPr>
          <w:trHeight w:val="135"/>
        </w:trPr>
        <w:tc>
          <w:tcPr>
            <w:tcW w:w="5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w w:val="90"/>
              </w:rPr>
              <w:t>L+1,000</w:t>
            </w:r>
          </w:p>
        </w:tc>
        <w:tc>
          <w:tcPr>
            <w:tcW w:w="500" w:type="dxa"/>
            <w:vAlign w:val="bottom"/>
            <w:vMerge w:val="restart"/>
          </w:tcPr>
          <w:p>
            <w:pPr>
              <w:jc w:val="right"/>
              <w:ind w:right="292"/>
              <w:spacing w:after="0"/>
              <w:rPr>
                <w:sz w:val="20"/>
                <w:szCs w:val="20"/>
                <w:color w:val="auto"/>
              </w:rPr>
            </w:pPr>
            <w:r>
              <w:rPr>
                <w:rFonts w:ascii="Arial" w:cs="Arial" w:eastAsia="Arial" w:hAnsi="Arial"/>
                <w:sz w:val="9"/>
                <w:szCs w:val="9"/>
                <w:color w:val="auto"/>
              </w:rPr>
              <w:t>(8)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6,650,000</w:t>
            </w:r>
          </w:p>
        </w:tc>
        <w:tc>
          <w:tcPr>
            <w:tcW w:w="3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6,529,167</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6,691,563</w:t>
            </w:r>
          </w:p>
        </w:tc>
        <w:tc>
          <w:tcPr>
            <w:tcW w:w="0" w:type="dxa"/>
            <w:vAlign w:val="bottom"/>
          </w:tcPr>
          <w:p>
            <w:pPr>
              <w:spacing w:after="0"/>
              <w:rPr>
                <w:sz w:val="1"/>
                <w:szCs w:val="1"/>
                <w:color w:val="auto"/>
              </w:rPr>
            </w:pPr>
          </w:p>
        </w:tc>
      </w:tr>
      <w:tr>
        <w:trPr>
          <w:trHeight w:val="135"/>
        </w:trPr>
        <w:tc>
          <w:tcPr>
            <w:tcW w:w="5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6,666,666</w:t>
            </w:r>
          </w:p>
        </w:tc>
        <w:tc>
          <w:tcPr>
            <w:tcW w:w="3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6,666,666</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6,666,666</w:t>
            </w:r>
          </w:p>
        </w:tc>
        <w:tc>
          <w:tcPr>
            <w:tcW w:w="0" w:type="dxa"/>
            <w:vAlign w:val="bottom"/>
          </w:tcPr>
          <w:p>
            <w:pPr>
              <w:spacing w:after="0"/>
              <w:rPr>
                <w:sz w:val="1"/>
                <w:szCs w:val="1"/>
                <w:color w:val="auto"/>
              </w:rPr>
            </w:pPr>
          </w:p>
        </w:tc>
      </w:tr>
      <w:tr>
        <w:trPr>
          <w:trHeight w:val="135"/>
        </w:trPr>
        <w:tc>
          <w:tcPr>
            <w:tcW w:w="5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5"/>
        </w:trPr>
        <w:tc>
          <w:tcPr>
            <w:tcW w:w="560" w:type="dxa"/>
            <w:vAlign w:val="bottom"/>
          </w:tcPr>
          <w:p>
            <w:pPr>
              <w:jc w:val="right"/>
              <w:ind w:right="8"/>
              <w:spacing w:after="0"/>
              <w:rPr>
                <w:sz w:val="20"/>
                <w:szCs w:val="20"/>
                <w:color w:val="auto"/>
              </w:rPr>
            </w:pPr>
            <w:r>
              <w:rPr>
                <w:rFonts w:ascii="Arial" w:cs="Arial" w:eastAsia="Arial" w:hAnsi="Arial"/>
                <w:sz w:val="14"/>
                <w:szCs w:val="14"/>
                <w:color w:val="auto"/>
              </w:rPr>
              <w:t>L+225</w:t>
            </w:r>
          </w:p>
        </w:tc>
        <w:tc>
          <w:tcPr>
            <w:tcW w:w="50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8,685,000</w:t>
            </w:r>
          </w:p>
        </w:tc>
        <w:tc>
          <w:tcPr>
            <w:tcW w:w="3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8,685,000</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4,769,515</w:t>
            </w:r>
          </w:p>
        </w:tc>
        <w:tc>
          <w:tcPr>
            <w:tcW w:w="0" w:type="dxa"/>
            <w:vAlign w:val="bottom"/>
          </w:tcPr>
          <w:p>
            <w:pPr>
              <w:spacing w:after="0"/>
              <w:rPr>
                <w:sz w:val="1"/>
                <w:szCs w:val="1"/>
                <w:color w:val="auto"/>
              </w:rPr>
            </w:pPr>
          </w:p>
        </w:tc>
      </w:tr>
      <w:tr>
        <w:trPr>
          <w:trHeight w:val="270"/>
        </w:trPr>
        <w:tc>
          <w:tcPr>
            <w:tcW w:w="560" w:type="dxa"/>
            <w:vAlign w:val="bottom"/>
          </w:tcPr>
          <w:p>
            <w:pPr>
              <w:jc w:val="right"/>
              <w:ind w:right="8"/>
              <w:spacing w:after="0"/>
              <w:rPr>
                <w:sz w:val="20"/>
                <w:szCs w:val="20"/>
                <w:color w:val="auto"/>
              </w:rPr>
            </w:pPr>
            <w:r>
              <w:rPr>
                <w:rFonts w:ascii="Arial" w:cs="Arial" w:eastAsia="Arial" w:hAnsi="Arial"/>
                <w:sz w:val="14"/>
                <w:szCs w:val="14"/>
                <w:color w:val="auto"/>
              </w:rPr>
              <w:t>L+950</w:t>
            </w:r>
          </w:p>
        </w:tc>
        <w:tc>
          <w:tcPr>
            <w:tcW w:w="500" w:type="dxa"/>
            <w:vAlign w:val="bottom"/>
          </w:tcPr>
          <w:p>
            <w:pPr>
              <w:jc w:val="right"/>
              <w:ind w:right="292"/>
              <w:spacing w:after="0"/>
              <w:rPr>
                <w:sz w:val="20"/>
                <w:szCs w:val="20"/>
                <w:color w:val="auto"/>
              </w:rPr>
            </w:pPr>
            <w:r>
              <w:rPr>
                <w:rFonts w:ascii="Arial" w:cs="Arial" w:eastAsia="Arial" w:hAnsi="Arial"/>
                <w:sz w:val="9"/>
                <w:szCs w:val="9"/>
                <w:color w:val="auto"/>
              </w:rPr>
              <w:t>(8)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24,687,500</w:t>
            </w:r>
          </w:p>
        </w:tc>
        <w:tc>
          <w:tcPr>
            <w:tcW w:w="3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24,268,164</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25,921,875</w:t>
            </w: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9,689,865</w:t>
            </w:r>
          </w:p>
        </w:tc>
        <w:tc>
          <w:tcPr>
            <w:tcW w:w="32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9,689,865</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7,396,594</w:t>
            </w:r>
          </w:p>
        </w:tc>
        <w:tc>
          <w:tcPr>
            <w:tcW w:w="0" w:type="dxa"/>
            <w:vAlign w:val="bottom"/>
          </w:tcPr>
          <w:p>
            <w:pPr>
              <w:spacing w:after="0"/>
              <w:rPr>
                <w:sz w:val="1"/>
                <w:szCs w:val="1"/>
                <w:color w:val="auto"/>
              </w:rPr>
            </w:pPr>
          </w:p>
        </w:tc>
      </w:tr>
      <w:tr>
        <w:trPr>
          <w:trHeight w:val="216"/>
        </w:trPr>
        <w:tc>
          <w:tcPr>
            <w:tcW w:w="560" w:type="dxa"/>
            <w:vAlign w:val="bottom"/>
          </w:tcPr>
          <w:p>
            <w:pPr>
              <w:jc w:val="right"/>
              <w:ind w:right="8"/>
              <w:spacing w:after="0"/>
              <w:rPr>
                <w:sz w:val="20"/>
                <w:szCs w:val="20"/>
                <w:color w:val="auto"/>
              </w:rPr>
            </w:pPr>
            <w:r>
              <w:rPr>
                <w:rFonts w:ascii="Arial" w:cs="Arial" w:eastAsia="Arial" w:hAnsi="Arial"/>
                <w:sz w:val="14"/>
                <w:szCs w:val="14"/>
                <w:color w:val="auto"/>
              </w:rPr>
              <w:t>L+225</w:t>
            </w: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60" w:type="dxa"/>
            <w:vAlign w:val="bottom"/>
          </w:tcPr>
          <w:p>
            <w:pPr>
              <w:jc w:val="right"/>
              <w:ind w:right="8"/>
              <w:spacing w:after="0"/>
              <w:rPr>
                <w:sz w:val="20"/>
                <w:szCs w:val="20"/>
                <w:color w:val="auto"/>
              </w:rPr>
            </w:pPr>
            <w:r>
              <w:rPr>
                <w:rFonts w:ascii="Arial" w:cs="Arial" w:eastAsia="Arial" w:hAnsi="Arial"/>
                <w:sz w:val="14"/>
                <w:szCs w:val="14"/>
                <w:color w:val="auto"/>
              </w:rPr>
              <w:t>P+675</w:t>
            </w:r>
          </w:p>
        </w:tc>
        <w:tc>
          <w:tcPr>
            <w:tcW w:w="500" w:type="dxa"/>
            <w:vAlign w:val="bottom"/>
          </w:tcPr>
          <w:p>
            <w:pPr>
              <w:jc w:val="right"/>
              <w:ind w:right="292"/>
              <w:spacing w:after="0"/>
              <w:rPr>
                <w:sz w:val="20"/>
                <w:szCs w:val="20"/>
                <w:color w:val="auto"/>
              </w:rPr>
            </w:pPr>
            <w:r>
              <w:rPr>
                <w:rFonts w:ascii="Arial" w:cs="Arial" w:eastAsia="Arial" w:hAnsi="Arial"/>
                <w:sz w:val="9"/>
                <w:szCs w:val="9"/>
                <w:color w:val="auto"/>
              </w:rPr>
              <w:t>(8)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18,952,500</w:t>
            </w:r>
          </w:p>
        </w:tc>
        <w:tc>
          <w:tcPr>
            <w:tcW w:w="3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17,957,971</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18,857,738</w:t>
            </w:r>
          </w:p>
        </w:tc>
        <w:tc>
          <w:tcPr>
            <w:tcW w:w="0" w:type="dxa"/>
            <w:vAlign w:val="bottom"/>
          </w:tcPr>
          <w:p>
            <w:pPr>
              <w:spacing w:after="0"/>
              <w:rPr>
                <w:sz w:val="1"/>
                <w:szCs w:val="1"/>
                <w:color w:val="auto"/>
              </w:rPr>
            </w:pPr>
          </w:p>
        </w:tc>
      </w:tr>
      <w:tr>
        <w:trPr>
          <w:trHeight w:val="310"/>
        </w:trPr>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26,052,632</w:t>
            </w:r>
          </w:p>
        </w:tc>
        <w:tc>
          <w:tcPr>
            <w:tcW w:w="3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25,538,529</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25,792,105</w:t>
            </w:r>
          </w:p>
        </w:tc>
        <w:tc>
          <w:tcPr>
            <w:tcW w:w="0" w:type="dxa"/>
            <w:vAlign w:val="bottom"/>
          </w:tcPr>
          <w:p>
            <w:pPr>
              <w:spacing w:after="0"/>
              <w:rPr>
                <w:sz w:val="1"/>
                <w:szCs w:val="1"/>
                <w:color w:val="auto"/>
              </w:rPr>
            </w:pPr>
          </w:p>
        </w:tc>
      </w:tr>
      <w:tr>
        <w:trPr>
          <w:trHeight w:val="270"/>
        </w:trPr>
        <w:tc>
          <w:tcPr>
            <w:tcW w:w="560" w:type="dxa"/>
            <w:vAlign w:val="bottom"/>
          </w:tcPr>
          <w:p>
            <w:pPr>
              <w:jc w:val="right"/>
              <w:ind w:right="8"/>
              <w:spacing w:after="0"/>
              <w:rPr>
                <w:sz w:val="20"/>
                <w:szCs w:val="20"/>
                <w:color w:val="auto"/>
              </w:rPr>
            </w:pPr>
            <w:r>
              <w:rPr>
                <w:rFonts w:ascii="Arial" w:cs="Arial" w:eastAsia="Arial" w:hAnsi="Arial"/>
                <w:sz w:val="14"/>
                <w:szCs w:val="14"/>
                <w:color w:val="auto"/>
              </w:rPr>
              <w:t>L+400</w:t>
            </w:r>
          </w:p>
        </w:tc>
        <w:tc>
          <w:tcPr>
            <w:tcW w:w="500" w:type="dxa"/>
            <w:vAlign w:val="bottom"/>
          </w:tcPr>
          <w:p>
            <w:pPr>
              <w:jc w:val="right"/>
              <w:ind w:right="292"/>
              <w:spacing w:after="0"/>
              <w:rPr>
                <w:sz w:val="20"/>
                <w:szCs w:val="20"/>
                <w:color w:val="auto"/>
              </w:rPr>
            </w:pPr>
            <w:r>
              <w:rPr>
                <w:rFonts w:ascii="Arial" w:cs="Arial" w:eastAsia="Arial" w:hAnsi="Arial"/>
                <w:sz w:val="9"/>
                <w:szCs w:val="9"/>
                <w:color w:val="auto"/>
              </w:rPr>
              <w:t>(8)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37,793,140</w:t>
            </w:r>
          </w:p>
        </w:tc>
        <w:tc>
          <w:tcPr>
            <w:tcW w:w="3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31,844,065</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30,021,925</w:t>
            </w:r>
          </w:p>
        </w:tc>
        <w:tc>
          <w:tcPr>
            <w:tcW w:w="0" w:type="dxa"/>
            <w:vAlign w:val="bottom"/>
          </w:tcPr>
          <w:p>
            <w:pPr>
              <w:spacing w:after="0"/>
              <w:rPr>
                <w:sz w:val="1"/>
                <w:szCs w:val="1"/>
                <w:color w:val="auto"/>
              </w:rPr>
            </w:pPr>
          </w:p>
        </w:tc>
      </w:tr>
      <w:tr>
        <w:trPr>
          <w:trHeight w:val="310"/>
        </w:trPr>
        <w:tc>
          <w:tcPr>
            <w:tcW w:w="560" w:type="dxa"/>
            <w:vAlign w:val="bottom"/>
          </w:tcPr>
          <w:p>
            <w:pPr>
              <w:jc w:val="right"/>
              <w:ind w:right="8"/>
              <w:spacing w:after="0"/>
              <w:rPr>
                <w:sz w:val="20"/>
                <w:szCs w:val="20"/>
                <w:color w:val="auto"/>
              </w:rPr>
            </w:pPr>
            <w:r>
              <w:rPr>
                <w:rFonts w:ascii="Arial" w:cs="Arial" w:eastAsia="Arial" w:hAnsi="Arial"/>
                <w:sz w:val="14"/>
                <w:szCs w:val="14"/>
                <w:color w:val="auto"/>
              </w:rPr>
              <w:t>L+600</w:t>
            </w:r>
          </w:p>
        </w:tc>
        <w:tc>
          <w:tcPr>
            <w:tcW w:w="500" w:type="dxa"/>
            <w:vAlign w:val="bottom"/>
          </w:tcPr>
          <w:p>
            <w:pPr>
              <w:jc w:val="right"/>
              <w:ind w:right="292"/>
              <w:spacing w:after="0"/>
              <w:rPr>
                <w:sz w:val="20"/>
                <w:szCs w:val="20"/>
                <w:color w:val="auto"/>
              </w:rPr>
            </w:pPr>
            <w:r>
              <w:rPr>
                <w:rFonts w:ascii="Arial" w:cs="Arial" w:eastAsia="Arial" w:hAnsi="Arial"/>
                <w:sz w:val="9"/>
                <w:szCs w:val="9"/>
                <w:color w:val="auto"/>
              </w:rPr>
              <w:t>(8)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2,000,000</w:t>
            </w:r>
          </w:p>
        </w:tc>
        <w:tc>
          <w:tcPr>
            <w:tcW w:w="3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1,970,000</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1,970,000</w:t>
            </w:r>
          </w:p>
        </w:tc>
        <w:tc>
          <w:tcPr>
            <w:tcW w:w="0" w:type="dxa"/>
            <w:vAlign w:val="bottom"/>
          </w:tcPr>
          <w:p>
            <w:pPr>
              <w:spacing w:after="0"/>
              <w:rPr>
                <w:sz w:val="1"/>
                <w:szCs w:val="1"/>
                <w:color w:val="auto"/>
              </w:rPr>
            </w:pPr>
          </w:p>
        </w:tc>
      </w:tr>
      <w:tr>
        <w:trPr>
          <w:trHeight w:val="351"/>
        </w:trPr>
        <w:tc>
          <w:tcPr>
            <w:tcW w:w="560" w:type="dxa"/>
            <w:vAlign w:val="bottom"/>
          </w:tcPr>
          <w:p>
            <w:pPr>
              <w:jc w:val="right"/>
              <w:ind w:right="8"/>
              <w:spacing w:after="0"/>
              <w:rPr>
                <w:sz w:val="20"/>
                <w:szCs w:val="20"/>
                <w:color w:val="auto"/>
              </w:rPr>
            </w:pPr>
            <w:r>
              <w:rPr>
                <w:rFonts w:ascii="Arial" w:cs="Arial" w:eastAsia="Arial" w:hAnsi="Arial"/>
                <w:sz w:val="14"/>
                <w:szCs w:val="14"/>
                <w:color w:val="auto"/>
              </w:rPr>
              <w:t>L+950</w:t>
            </w:r>
          </w:p>
        </w:tc>
        <w:tc>
          <w:tcPr>
            <w:tcW w:w="500" w:type="dxa"/>
            <w:vAlign w:val="bottom"/>
          </w:tcPr>
          <w:p>
            <w:pPr>
              <w:jc w:val="right"/>
              <w:ind w:right="292"/>
              <w:spacing w:after="0"/>
              <w:rPr>
                <w:sz w:val="20"/>
                <w:szCs w:val="20"/>
                <w:color w:val="auto"/>
              </w:rPr>
            </w:pPr>
            <w:r>
              <w:rPr>
                <w:rFonts w:ascii="Arial" w:cs="Arial" w:eastAsia="Arial" w:hAnsi="Arial"/>
                <w:sz w:val="9"/>
                <w:szCs w:val="9"/>
                <w:color w:val="auto"/>
              </w:rPr>
              <w:t>(8)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35,000,000</w:t>
            </w:r>
          </w:p>
        </w:tc>
        <w:tc>
          <w:tcPr>
            <w:tcW w:w="3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33,950,000</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33,950,000</w:t>
            </w:r>
          </w:p>
        </w:tc>
        <w:tc>
          <w:tcPr>
            <w:tcW w:w="0" w:type="dxa"/>
            <w:vAlign w:val="bottom"/>
          </w:tcPr>
          <w:p>
            <w:pPr>
              <w:spacing w:after="0"/>
              <w:rPr>
                <w:sz w:val="1"/>
                <w:szCs w:val="1"/>
                <w:color w:val="auto"/>
              </w:rPr>
            </w:pPr>
          </w:p>
        </w:tc>
      </w:tr>
      <w:tr>
        <w:trPr>
          <w:trHeight w:val="283"/>
        </w:trPr>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267,205</w:t>
            </w:r>
          </w:p>
        </w:tc>
        <w:tc>
          <w:tcPr>
            <w:tcW w:w="3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267,205</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267,205</w:t>
            </w:r>
          </w:p>
        </w:tc>
        <w:tc>
          <w:tcPr>
            <w:tcW w:w="0" w:type="dxa"/>
            <w:vAlign w:val="bottom"/>
          </w:tcPr>
          <w:p>
            <w:pPr>
              <w:spacing w:after="0"/>
              <w:rPr>
                <w:sz w:val="1"/>
                <w:szCs w:val="1"/>
                <w:color w:val="auto"/>
              </w:rPr>
            </w:pPr>
          </w:p>
        </w:tc>
      </w:tr>
      <w:tr>
        <w:trPr>
          <w:trHeight w:val="135"/>
        </w:trPr>
        <w:tc>
          <w:tcPr>
            <w:tcW w:w="5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ectPr>
          <w:pgSz w:w="11900" w:h="16838" w:orient="portrait"/>
          <w:cols w:equalWidth="0" w:num="2">
            <w:col w:w="6200" w:space="600"/>
            <w:col w:w="44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2640" w:type="dxa"/>
            <w:vAlign w:val="bottom"/>
          </w:tcPr>
          <w:p>
            <w:pPr>
              <w:ind w:left="40"/>
              <w:spacing w:after="0"/>
              <w:rPr>
                <w:sz w:val="20"/>
                <w:szCs w:val="20"/>
                <w:color w:val="auto"/>
              </w:rPr>
            </w:pPr>
            <w:r>
              <w:rPr>
                <w:rFonts w:ascii="Arial" w:cs="Arial" w:eastAsia="Arial" w:hAnsi="Arial"/>
                <w:sz w:val="14"/>
                <w:szCs w:val="14"/>
                <w:color w:val="auto"/>
              </w:rPr>
              <w:t>Survey Sampling International, L.L.C.</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12/31/2012</w:t>
            </w:r>
          </w:p>
        </w:tc>
        <w:tc>
          <w:tcPr>
            <w:tcW w:w="1660" w:type="dxa"/>
            <w:vAlign w:val="bottom"/>
          </w:tcPr>
          <w:p>
            <w:pPr>
              <w:jc w:val="center"/>
              <w:spacing w:after="0"/>
              <w:rPr>
                <w:sz w:val="20"/>
                <w:szCs w:val="20"/>
                <w:color w:val="auto"/>
              </w:rPr>
            </w:pPr>
            <w:r>
              <w:rPr>
                <w:rFonts w:ascii="Arial" w:cs="Arial" w:eastAsia="Arial" w:hAnsi="Arial"/>
                <w:sz w:val="14"/>
                <w:szCs w:val="14"/>
                <w:color w:val="auto"/>
                <w:w w:val="90"/>
              </w:rPr>
              <w:t>Business Services</w:t>
            </w:r>
          </w:p>
        </w:tc>
        <w:tc>
          <w:tcPr>
            <w:tcW w:w="620" w:type="dxa"/>
            <w:vAlign w:val="bottom"/>
          </w:tcPr>
          <w:p>
            <w:pPr>
              <w:jc w:val="right"/>
              <w:spacing w:after="0"/>
              <w:rPr>
                <w:sz w:val="20"/>
                <w:szCs w:val="20"/>
                <w:color w:val="auto"/>
              </w:rPr>
            </w:pPr>
            <w:r>
              <w:rPr>
                <w:rFonts w:ascii="Arial" w:cs="Arial" w:eastAsia="Arial" w:hAnsi="Arial"/>
                <w:sz w:val="14"/>
                <w:szCs w:val="14"/>
                <w:color w:val="auto"/>
              </w:rPr>
              <w:t>10.90%</w:t>
            </w:r>
          </w:p>
        </w:tc>
        <w:tc>
          <w:tcPr>
            <w:tcW w:w="440" w:type="dxa"/>
            <w:vAlign w:val="bottom"/>
          </w:tcPr>
          <w:p>
            <w:pPr>
              <w:jc w:val="right"/>
              <w:ind w:right="255"/>
              <w:spacing w:after="0"/>
              <w:rPr>
                <w:sz w:val="20"/>
                <w:szCs w:val="20"/>
                <w:color w:val="auto"/>
              </w:rPr>
            </w:pPr>
            <w:r>
              <w:rPr>
                <w:rFonts w:ascii="Arial" w:cs="Arial" w:eastAsia="Arial" w:hAnsi="Arial"/>
                <w:sz w:val="9"/>
                <w:szCs w:val="9"/>
                <w:color w:val="auto"/>
              </w:rPr>
              <w:t>(6)</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L+790</w:t>
            </w:r>
          </w:p>
        </w:tc>
        <w:tc>
          <w:tcPr>
            <w:tcW w:w="400" w:type="dxa"/>
            <w:vAlign w:val="bottom"/>
          </w:tcPr>
          <w:p>
            <w:pPr>
              <w:jc w:val="right"/>
              <w:ind w:right="195"/>
              <w:spacing w:after="0"/>
              <w:rPr>
                <w:sz w:val="20"/>
                <w:szCs w:val="20"/>
                <w:color w:val="auto"/>
              </w:rPr>
            </w:pPr>
            <w:r>
              <w:rPr>
                <w:rFonts w:ascii="Arial" w:cs="Arial" w:eastAsia="Arial" w:hAnsi="Arial"/>
                <w:sz w:val="9"/>
                <w:szCs w:val="9"/>
                <w:color w:val="auto"/>
              </w:rPr>
              <w:t>(8)</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8,365,396</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6,951,937</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8,365,396</w:t>
            </w:r>
          </w:p>
        </w:tc>
        <w:tc>
          <w:tcPr>
            <w:tcW w:w="0" w:type="dxa"/>
            <w:vAlign w:val="bottom"/>
          </w:tcPr>
          <w:p>
            <w:pPr>
              <w:spacing w:after="0"/>
              <w:rPr>
                <w:sz w:val="1"/>
                <w:szCs w:val="1"/>
                <w:color w:val="auto"/>
              </w:rPr>
            </w:pPr>
          </w:p>
        </w:tc>
      </w:tr>
      <w:tr>
        <w:trPr>
          <w:trHeight w:val="53"/>
        </w:trPr>
        <w:tc>
          <w:tcPr>
            <w:tcW w:w="2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Three Rivers Pharmaceutical, L.L.C.</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10/22/2012</w:t>
            </w: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Healthcare, Education</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L+1,300</w:t>
            </w: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9"/>
                <w:szCs w:val="9"/>
                <w:color w:val="auto"/>
              </w:rPr>
              <w:t>(8)</w:t>
            </w:r>
          </w:p>
        </w:tc>
        <w:tc>
          <w:tcPr>
            <w:tcW w:w="12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30,000,000</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28,563,955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31,800,000</w:t>
            </w:r>
          </w:p>
        </w:tc>
        <w:tc>
          <w:tcPr>
            <w:tcW w:w="0" w:type="dxa"/>
            <w:vAlign w:val="bottom"/>
          </w:tcPr>
          <w:p>
            <w:pPr>
              <w:spacing w:after="0"/>
              <w:rPr>
                <w:sz w:val="1"/>
                <w:szCs w:val="1"/>
                <w:color w:val="auto"/>
              </w:rPr>
            </w:pPr>
          </w:p>
        </w:tc>
      </w:tr>
      <w:tr>
        <w:trPr>
          <w:trHeight w:val="182"/>
        </w:trPr>
        <w:tc>
          <w:tcPr>
            <w:tcW w:w="26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640" w:type="dxa"/>
            <w:vAlign w:val="bottom"/>
          </w:tcPr>
          <w:p>
            <w:pPr>
              <w:ind w:left="40"/>
              <w:spacing w:after="0"/>
              <w:rPr>
                <w:sz w:val="20"/>
                <w:szCs w:val="20"/>
                <w:color w:val="auto"/>
              </w:rPr>
            </w:pPr>
            <w:r>
              <w:rPr>
                <w:rFonts w:ascii="Arial" w:cs="Arial" w:eastAsia="Arial" w:hAnsi="Arial"/>
                <w:sz w:val="14"/>
                <w:szCs w:val="14"/>
                <w:color w:val="auto"/>
              </w:rPr>
              <w:t>VPSI, Inc.</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12/23/2015</w:t>
            </w:r>
          </w:p>
        </w:tc>
        <w:tc>
          <w:tcPr>
            <w:tcW w:w="1660" w:type="dxa"/>
            <w:vAlign w:val="bottom"/>
          </w:tcPr>
          <w:p>
            <w:pPr>
              <w:jc w:val="center"/>
              <w:spacing w:after="0"/>
              <w:rPr>
                <w:sz w:val="20"/>
                <w:szCs w:val="20"/>
                <w:color w:val="auto"/>
              </w:rPr>
            </w:pPr>
            <w:r>
              <w:rPr>
                <w:rFonts w:ascii="Arial" w:cs="Arial" w:eastAsia="Arial" w:hAnsi="Arial"/>
                <w:sz w:val="14"/>
                <w:szCs w:val="14"/>
                <w:color w:val="auto"/>
                <w:w w:val="91"/>
              </w:rPr>
              <w:t>Personal Transportation</w:t>
            </w:r>
          </w:p>
        </w:tc>
        <w:tc>
          <w:tcPr>
            <w:tcW w:w="620" w:type="dxa"/>
            <w:vAlign w:val="bottom"/>
          </w:tcPr>
          <w:p>
            <w:pPr>
              <w:jc w:val="right"/>
              <w:spacing w:after="0"/>
              <w:rPr>
                <w:sz w:val="20"/>
                <w:szCs w:val="20"/>
                <w:color w:val="auto"/>
              </w:rPr>
            </w:pPr>
            <w:r>
              <w:rPr>
                <w:rFonts w:ascii="Arial" w:cs="Arial" w:eastAsia="Arial" w:hAnsi="Arial"/>
                <w:sz w:val="14"/>
                <w:szCs w:val="14"/>
                <w:color w:val="auto"/>
              </w:rPr>
              <w:t>12.00%</w:t>
            </w:r>
          </w:p>
        </w:tc>
        <w:tc>
          <w:tcPr>
            <w:tcW w:w="4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L+1,000</w:t>
            </w:r>
          </w:p>
        </w:tc>
        <w:tc>
          <w:tcPr>
            <w:tcW w:w="400" w:type="dxa"/>
            <w:vAlign w:val="bottom"/>
          </w:tcPr>
          <w:p>
            <w:pPr>
              <w:jc w:val="right"/>
              <w:ind w:right="195"/>
              <w:spacing w:after="0"/>
              <w:rPr>
                <w:sz w:val="20"/>
                <w:szCs w:val="20"/>
                <w:color w:val="auto"/>
              </w:rPr>
            </w:pPr>
            <w:r>
              <w:rPr>
                <w:rFonts w:ascii="Arial" w:cs="Arial" w:eastAsia="Arial" w:hAnsi="Arial"/>
                <w:sz w:val="9"/>
                <w:szCs w:val="9"/>
                <w:color w:val="auto"/>
              </w:rPr>
              <w:t>(8)</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17,645,833</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17,374,091</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17,645,833</w:t>
            </w:r>
          </w:p>
        </w:tc>
        <w:tc>
          <w:tcPr>
            <w:tcW w:w="0" w:type="dxa"/>
            <w:vAlign w:val="bottom"/>
          </w:tcPr>
          <w:p>
            <w:pPr>
              <w:spacing w:after="0"/>
              <w:rPr>
                <w:sz w:val="1"/>
                <w:szCs w:val="1"/>
                <w:color w:val="auto"/>
              </w:rPr>
            </w:pPr>
          </w:p>
        </w:tc>
      </w:tr>
      <w:tr>
        <w:trPr>
          <w:trHeight w:val="80"/>
        </w:trPr>
        <w:tc>
          <w:tcPr>
            <w:tcW w:w="2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6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Yonkers Racing Corp.</w:t>
            </w:r>
            <w:r>
              <w:rPr>
                <w:rFonts w:ascii="Arial" w:cs="Arial" w:eastAsia="Arial" w:hAnsi="Arial"/>
                <w:sz w:val="8"/>
                <w:szCs w:val="8"/>
                <w:color w:val="auto"/>
              </w:rPr>
              <w:t>(5)</w:t>
            </w:r>
          </w:p>
        </w:tc>
        <w:tc>
          <w:tcPr>
            <w:tcW w:w="11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07/15/2016</w:t>
            </w:r>
          </w:p>
        </w:tc>
        <w:tc>
          <w:tcPr>
            <w:tcW w:w="16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Hotels, Motels, Inns and</w:t>
            </w: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11.38%</w:t>
            </w: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88"/>
              <w:spacing w:after="0" w:line="157" w:lineRule="exact"/>
              <w:rPr>
                <w:sz w:val="20"/>
                <w:szCs w:val="20"/>
                <w:color w:val="auto"/>
              </w:rPr>
            </w:pPr>
            <w:r>
              <w:rPr>
                <w:rFonts w:ascii="Arial" w:cs="Arial" w:eastAsia="Arial" w:hAnsi="Arial"/>
                <w:sz w:val="14"/>
                <w:szCs w:val="14"/>
                <w:color w:val="auto"/>
              </w:rPr>
              <w:t>4,500,000</w:t>
            </w:r>
          </w:p>
        </w:tc>
        <w:tc>
          <w:tcPr>
            <w:tcW w:w="10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4,388,745</w:t>
            </w:r>
          </w:p>
        </w:tc>
        <w:tc>
          <w:tcPr>
            <w:tcW w:w="12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4,882,500</w:t>
            </w:r>
          </w:p>
        </w:tc>
        <w:tc>
          <w:tcPr>
            <w:tcW w:w="0" w:type="dxa"/>
            <w:vAlign w:val="bottom"/>
          </w:tcPr>
          <w:p>
            <w:pPr>
              <w:spacing w:after="0"/>
              <w:rPr>
                <w:sz w:val="1"/>
                <w:szCs w:val="1"/>
                <w:color w:val="auto"/>
              </w:rPr>
            </w:pPr>
          </w:p>
        </w:tc>
      </w:tr>
      <w:tr>
        <w:trPr>
          <w:trHeight w:val="182"/>
        </w:trPr>
        <w:tc>
          <w:tcPr>
            <w:tcW w:w="2640" w:type="dxa"/>
            <w:vAlign w:val="bottom"/>
            <w:vMerge w:val="continue"/>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Gaming</w:t>
            </w: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6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Total First Lien Secured Debt</w:t>
            </w:r>
          </w:p>
        </w:tc>
        <w:tc>
          <w:tcPr>
            <w:tcW w:w="1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286,446,536</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   291,021,963</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020"/>
          </w:cols>
          <w:pgMar w:left="320" w:top="12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Issuer Name</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Second Lien Secured Debt – 23.7%</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3"/>
          <w:szCs w:val="13"/>
          <w:color w:val="auto"/>
        </w:rPr>
        <w:t>Brand Energy and Infrastructure Services, Inc.</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Brand Energy and Infrastructure Services, Inc.</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DirectBuy Holdings, Inc.</w:t>
      </w:r>
      <w:r>
        <w:rPr>
          <w:rFonts w:ascii="Arial" w:cs="Arial" w:eastAsia="Arial" w:hAnsi="Arial"/>
          <w:sz w:val="8"/>
          <w:szCs w:val="8"/>
          <w:color w:val="auto"/>
        </w:rPr>
        <w:t>(5)</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EnviroSolutions, Inc.</w:t>
      </w:r>
    </w:p>
    <w:p>
      <w:pPr>
        <w:spacing w:after="0" w:line="109" w:lineRule="exact"/>
        <w:rPr>
          <w:sz w:val="20"/>
          <w:szCs w:val="20"/>
          <w:color w:val="auto"/>
        </w:rPr>
      </w:pPr>
    </w:p>
    <w:p>
      <w:pPr>
        <w:ind w:left="40" w:right="340"/>
        <w:spacing w:after="0" w:line="402" w:lineRule="auto"/>
        <w:rPr>
          <w:sz w:val="20"/>
          <w:szCs w:val="20"/>
          <w:color w:val="auto"/>
        </w:rPr>
      </w:pPr>
      <w:r>
        <w:rPr>
          <w:rFonts w:ascii="Arial" w:cs="Arial" w:eastAsia="Arial" w:hAnsi="Arial"/>
          <w:sz w:val="14"/>
          <w:szCs w:val="14"/>
          <w:color w:val="auto"/>
        </w:rPr>
        <w:t>Greatwide Logistics Services, L.L.C. Questex Media Group LLC, Term Loan A Questex Media Group LLC, Term Loan B RAM Energy Resources, Inc. Realogy Corp.</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Sheridan Holdings, Inc.</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Specialized Technology Resources, Inc.</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TransFirst Holdings, Inc.</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Second Lien Secured Debt</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Subordinated Debt/Corporate Notes – 54.8%</w:t>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Affinion Group Holdings, Inc.</w:t>
      </w:r>
      <w:r>
        <w:rPr>
          <w:rFonts w:ascii="Arial" w:cs="Arial" w:eastAsia="Arial" w:hAnsi="Arial"/>
          <w:sz w:val="8"/>
          <w:szCs w:val="8"/>
          <w:color w:val="auto"/>
        </w:rPr>
        <w:t>(5)</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Aquilex Holdings, LLC</w:t>
      </w:r>
      <w:r>
        <w:rPr>
          <w:rFonts w:ascii="Arial" w:cs="Arial" w:eastAsia="Arial" w:hAnsi="Arial"/>
          <w:sz w:val="8"/>
          <w:szCs w:val="8"/>
          <w:color w:val="auto"/>
        </w:rPr>
        <w:t>(5)</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Consolidated Foundries, Inc.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Escort Inc.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Last Mile Funding, Corp. (3PD, Inc.)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Learning Care Group (US) Inc.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MailSouth, Inc.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MedQuist, Inc.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PAS Technologies, Inc.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Prince Mineral Holding Corp.</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Realogy Corp.</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TRAK Acquisition Corp.</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UP Support Services, Inc.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Veritext Corp.</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Veritext Corp.</w:t>
      </w:r>
      <w:r>
        <w:rPr>
          <w:rFonts w:ascii="Arial" w:cs="Arial" w:eastAsia="Arial" w:hAnsi="Arial"/>
          <w:sz w:val="8"/>
          <w:szCs w:val="8"/>
          <w:color w:val="auto"/>
        </w:rPr>
        <w:t>(9)</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Subordinated Debt/Corporate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Maturity</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0" w:type="dxa"/>
            <w:vAlign w:val="bottom"/>
          </w:tcPr>
          <w:p>
            <w:pPr>
              <w:spacing w:after="0"/>
              <w:rPr>
                <w:sz w:val="1"/>
                <w:szCs w:val="1"/>
                <w:color w:val="auto"/>
              </w:rPr>
            </w:pPr>
          </w:p>
        </w:tc>
      </w:tr>
      <w:tr>
        <w:trPr>
          <w:trHeight w:val="460"/>
        </w:trPr>
        <w:tc>
          <w:tcPr>
            <w:tcW w:w="88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w w:val="94"/>
              </w:rPr>
              <w:t>02/07/2015</w:t>
            </w:r>
          </w:p>
        </w:tc>
        <w:tc>
          <w:tcPr>
            <w:tcW w:w="100" w:type="dxa"/>
            <w:vAlign w:val="bottom"/>
          </w:tcPr>
          <w:p>
            <w:pPr>
              <w:spacing w:after="0"/>
              <w:rPr>
                <w:sz w:val="24"/>
                <w:szCs w:val="24"/>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Energy/Utilities</w:t>
            </w:r>
          </w:p>
        </w:tc>
        <w:tc>
          <w:tcPr>
            <w:tcW w:w="0" w:type="dxa"/>
            <w:vAlign w:val="bottom"/>
          </w:tcPr>
          <w:p>
            <w:pPr>
              <w:spacing w:after="0"/>
              <w:rPr>
                <w:sz w:val="1"/>
                <w:szCs w:val="1"/>
                <w:color w:val="auto"/>
              </w:rPr>
            </w:pPr>
          </w:p>
        </w:tc>
      </w:tr>
      <w:tr>
        <w:trPr>
          <w:trHeight w:val="270"/>
        </w:trPr>
        <w:tc>
          <w:tcPr>
            <w:tcW w:w="880" w:type="dxa"/>
            <w:vAlign w:val="bottom"/>
          </w:tcPr>
          <w:p>
            <w:pPr>
              <w:ind w:left="200"/>
              <w:spacing w:after="0"/>
              <w:rPr>
                <w:sz w:val="20"/>
                <w:szCs w:val="20"/>
                <w:color w:val="auto"/>
              </w:rPr>
            </w:pPr>
            <w:r>
              <w:rPr>
                <w:rFonts w:ascii="Arial" w:cs="Arial" w:eastAsia="Arial" w:hAnsi="Arial"/>
                <w:sz w:val="14"/>
                <w:szCs w:val="14"/>
                <w:color w:val="auto"/>
                <w:w w:val="94"/>
              </w:rPr>
              <w:t>02/07/2015</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8"/>
              </w:rPr>
              <w:t>Energy/Utilities</w:t>
            </w:r>
          </w:p>
        </w:tc>
        <w:tc>
          <w:tcPr>
            <w:tcW w:w="0" w:type="dxa"/>
            <w:vAlign w:val="bottom"/>
          </w:tcPr>
          <w:p>
            <w:pPr>
              <w:spacing w:after="0"/>
              <w:rPr>
                <w:sz w:val="1"/>
                <w:szCs w:val="1"/>
                <w:color w:val="auto"/>
              </w:rPr>
            </w:pPr>
          </w:p>
        </w:tc>
      </w:tr>
      <w:tr>
        <w:trPr>
          <w:trHeight w:val="270"/>
        </w:trPr>
        <w:tc>
          <w:tcPr>
            <w:tcW w:w="880" w:type="dxa"/>
            <w:vAlign w:val="bottom"/>
          </w:tcPr>
          <w:p>
            <w:pPr>
              <w:ind w:left="200"/>
              <w:spacing w:after="0"/>
              <w:rPr>
                <w:sz w:val="20"/>
                <w:szCs w:val="20"/>
                <w:color w:val="auto"/>
              </w:rPr>
            </w:pPr>
            <w:r>
              <w:rPr>
                <w:rFonts w:ascii="Arial" w:cs="Arial" w:eastAsia="Arial" w:hAnsi="Arial"/>
                <w:sz w:val="14"/>
                <w:szCs w:val="14"/>
                <w:color w:val="auto"/>
                <w:w w:val="94"/>
              </w:rPr>
              <w:t>02/01/2017</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0"/>
              </w:rPr>
              <w:t>Consumer Products</w:t>
            </w:r>
          </w:p>
        </w:tc>
        <w:tc>
          <w:tcPr>
            <w:tcW w:w="0" w:type="dxa"/>
            <w:vAlign w:val="bottom"/>
          </w:tcPr>
          <w:p>
            <w:pPr>
              <w:spacing w:after="0"/>
              <w:rPr>
                <w:sz w:val="1"/>
                <w:szCs w:val="1"/>
                <w:color w:val="auto"/>
              </w:rPr>
            </w:pPr>
          </w:p>
        </w:tc>
      </w:tr>
      <w:tr>
        <w:trPr>
          <w:trHeight w:val="499"/>
        </w:trPr>
        <w:tc>
          <w:tcPr>
            <w:tcW w:w="880" w:type="dxa"/>
            <w:vAlign w:val="bottom"/>
          </w:tcPr>
          <w:p>
            <w:pPr>
              <w:ind w:left="200"/>
              <w:spacing w:after="0"/>
              <w:rPr>
                <w:sz w:val="20"/>
                <w:szCs w:val="20"/>
                <w:color w:val="auto"/>
              </w:rPr>
            </w:pPr>
            <w:r>
              <w:rPr>
                <w:rFonts w:ascii="Arial" w:cs="Arial" w:eastAsia="Arial" w:hAnsi="Arial"/>
                <w:sz w:val="14"/>
                <w:szCs w:val="14"/>
                <w:color w:val="auto"/>
                <w:w w:val="94"/>
              </w:rPr>
              <w:t>07/29/2014</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2"/>
              </w:rPr>
              <w:t>Environmental Services</w:t>
            </w:r>
          </w:p>
        </w:tc>
        <w:tc>
          <w:tcPr>
            <w:tcW w:w="0" w:type="dxa"/>
            <w:vAlign w:val="bottom"/>
          </w:tcPr>
          <w:p>
            <w:pPr>
              <w:spacing w:after="0"/>
              <w:rPr>
                <w:sz w:val="1"/>
                <w:szCs w:val="1"/>
                <w:color w:val="auto"/>
              </w:rPr>
            </w:pPr>
          </w:p>
        </w:tc>
      </w:tr>
      <w:tr>
        <w:trPr>
          <w:trHeight w:val="270"/>
        </w:trPr>
        <w:tc>
          <w:tcPr>
            <w:tcW w:w="880" w:type="dxa"/>
            <w:vAlign w:val="bottom"/>
          </w:tcPr>
          <w:p>
            <w:pPr>
              <w:ind w:left="200"/>
              <w:spacing w:after="0"/>
              <w:rPr>
                <w:sz w:val="20"/>
                <w:szCs w:val="20"/>
                <w:color w:val="auto"/>
              </w:rPr>
            </w:pPr>
            <w:r>
              <w:rPr>
                <w:rFonts w:ascii="Arial" w:cs="Arial" w:eastAsia="Arial" w:hAnsi="Arial"/>
                <w:sz w:val="14"/>
                <w:szCs w:val="14"/>
                <w:color w:val="auto"/>
                <w:w w:val="94"/>
              </w:rPr>
              <w:t>03/01/2014</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0"/>
              </w:rPr>
              <w:t>Cargo Transport</w:t>
            </w:r>
          </w:p>
        </w:tc>
        <w:tc>
          <w:tcPr>
            <w:tcW w:w="0" w:type="dxa"/>
            <w:vAlign w:val="bottom"/>
          </w:tcPr>
          <w:p>
            <w:pPr>
              <w:spacing w:after="0"/>
              <w:rPr>
                <w:sz w:val="1"/>
                <w:szCs w:val="1"/>
                <w:color w:val="auto"/>
              </w:rPr>
            </w:pPr>
          </w:p>
        </w:tc>
      </w:tr>
      <w:tr>
        <w:trPr>
          <w:trHeight w:val="270"/>
        </w:trPr>
        <w:tc>
          <w:tcPr>
            <w:tcW w:w="880" w:type="dxa"/>
            <w:vAlign w:val="bottom"/>
          </w:tcPr>
          <w:p>
            <w:pPr>
              <w:ind w:left="200"/>
              <w:spacing w:after="0"/>
              <w:rPr>
                <w:sz w:val="20"/>
                <w:szCs w:val="20"/>
                <w:color w:val="auto"/>
              </w:rPr>
            </w:pPr>
            <w:r>
              <w:rPr>
                <w:rFonts w:ascii="Arial" w:cs="Arial" w:eastAsia="Arial" w:hAnsi="Arial"/>
                <w:sz w:val="14"/>
                <w:szCs w:val="14"/>
                <w:color w:val="auto"/>
                <w:w w:val="94"/>
              </w:rPr>
              <w:t>12/15/2014</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Other Media</w:t>
            </w:r>
          </w:p>
        </w:tc>
        <w:tc>
          <w:tcPr>
            <w:tcW w:w="0" w:type="dxa"/>
            <w:vAlign w:val="bottom"/>
          </w:tcPr>
          <w:p>
            <w:pPr>
              <w:spacing w:after="0"/>
              <w:rPr>
                <w:sz w:val="1"/>
                <w:szCs w:val="1"/>
                <w:color w:val="auto"/>
              </w:rPr>
            </w:pPr>
          </w:p>
        </w:tc>
      </w:tr>
      <w:tr>
        <w:trPr>
          <w:trHeight w:val="270"/>
        </w:trPr>
        <w:tc>
          <w:tcPr>
            <w:tcW w:w="880" w:type="dxa"/>
            <w:vAlign w:val="bottom"/>
          </w:tcPr>
          <w:p>
            <w:pPr>
              <w:ind w:left="200"/>
              <w:spacing w:after="0"/>
              <w:rPr>
                <w:sz w:val="20"/>
                <w:szCs w:val="20"/>
                <w:color w:val="auto"/>
              </w:rPr>
            </w:pPr>
            <w:r>
              <w:rPr>
                <w:rFonts w:ascii="Arial" w:cs="Arial" w:eastAsia="Arial" w:hAnsi="Arial"/>
                <w:sz w:val="14"/>
                <w:szCs w:val="14"/>
                <w:color w:val="auto"/>
                <w:w w:val="94"/>
              </w:rPr>
              <w:t>12/15/2015</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Other Media</w:t>
            </w:r>
          </w:p>
        </w:tc>
        <w:tc>
          <w:tcPr>
            <w:tcW w:w="0" w:type="dxa"/>
            <w:vAlign w:val="bottom"/>
          </w:tcPr>
          <w:p>
            <w:pPr>
              <w:spacing w:after="0"/>
              <w:rPr>
                <w:sz w:val="1"/>
                <w:szCs w:val="1"/>
                <w:color w:val="auto"/>
              </w:rPr>
            </w:pPr>
          </w:p>
        </w:tc>
      </w:tr>
      <w:tr>
        <w:trPr>
          <w:trHeight w:val="270"/>
        </w:trPr>
        <w:tc>
          <w:tcPr>
            <w:tcW w:w="880" w:type="dxa"/>
            <w:vAlign w:val="bottom"/>
          </w:tcPr>
          <w:p>
            <w:pPr>
              <w:ind w:left="200"/>
              <w:spacing w:after="0"/>
              <w:rPr>
                <w:sz w:val="20"/>
                <w:szCs w:val="20"/>
                <w:color w:val="auto"/>
              </w:rPr>
            </w:pPr>
            <w:r>
              <w:rPr>
                <w:rFonts w:ascii="Arial" w:cs="Arial" w:eastAsia="Arial" w:hAnsi="Arial"/>
                <w:sz w:val="14"/>
                <w:szCs w:val="14"/>
                <w:color w:val="auto"/>
                <w:w w:val="94"/>
              </w:rPr>
              <w:t>09/13/2016</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Oil and Gas</w:t>
            </w:r>
          </w:p>
        </w:tc>
        <w:tc>
          <w:tcPr>
            <w:tcW w:w="0" w:type="dxa"/>
            <w:vAlign w:val="bottom"/>
          </w:tcPr>
          <w:p>
            <w:pPr>
              <w:spacing w:after="0"/>
              <w:rPr>
                <w:sz w:val="1"/>
                <w:szCs w:val="1"/>
                <w:color w:val="auto"/>
              </w:rPr>
            </w:pPr>
          </w:p>
        </w:tc>
      </w:tr>
      <w:tr>
        <w:trPr>
          <w:trHeight w:val="243"/>
        </w:trPr>
        <w:tc>
          <w:tcPr>
            <w:tcW w:w="2540" w:type="dxa"/>
            <w:vAlign w:val="bottom"/>
            <w:gridSpan w:val="3"/>
          </w:tcPr>
          <w:p>
            <w:pPr>
              <w:ind w:left="200"/>
              <w:spacing w:after="0"/>
              <w:rPr>
                <w:sz w:val="20"/>
                <w:szCs w:val="20"/>
                <w:color w:val="auto"/>
              </w:rPr>
            </w:pPr>
            <w:r>
              <w:rPr>
                <w:rFonts w:ascii="Arial" w:cs="Arial" w:eastAsia="Arial" w:hAnsi="Arial"/>
                <w:sz w:val="14"/>
                <w:szCs w:val="14"/>
                <w:color w:val="auto"/>
                <w:w w:val="95"/>
              </w:rPr>
              <w:t>10/15/2017   Buildings and Real Estate</w:t>
            </w:r>
          </w:p>
        </w:tc>
        <w:tc>
          <w:tcPr>
            <w:tcW w:w="0" w:type="dxa"/>
            <w:vAlign w:val="bottom"/>
          </w:tcPr>
          <w:p>
            <w:pPr>
              <w:spacing w:after="0"/>
              <w:rPr>
                <w:sz w:val="1"/>
                <w:szCs w:val="1"/>
                <w:color w:val="auto"/>
              </w:rPr>
            </w:pPr>
          </w:p>
        </w:tc>
      </w:tr>
      <w:tr>
        <w:trPr>
          <w:trHeight w:val="236"/>
        </w:trPr>
        <w:tc>
          <w:tcPr>
            <w:tcW w:w="880" w:type="dxa"/>
            <w:vAlign w:val="bottom"/>
            <w:vMerge w:val="restart"/>
          </w:tcPr>
          <w:p>
            <w:pPr>
              <w:ind w:left="200"/>
              <w:spacing w:after="0"/>
              <w:rPr>
                <w:sz w:val="20"/>
                <w:szCs w:val="20"/>
                <w:color w:val="auto"/>
              </w:rPr>
            </w:pPr>
            <w:r>
              <w:rPr>
                <w:rFonts w:ascii="Arial" w:cs="Arial" w:eastAsia="Arial" w:hAnsi="Arial"/>
                <w:sz w:val="14"/>
                <w:szCs w:val="14"/>
                <w:color w:val="auto"/>
                <w:w w:val="94"/>
              </w:rPr>
              <w:t>06/15/2015</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2"/>
              </w:rPr>
              <w:t>Healthcare, Education</w:t>
            </w:r>
          </w:p>
        </w:tc>
        <w:tc>
          <w:tcPr>
            <w:tcW w:w="0" w:type="dxa"/>
            <w:vAlign w:val="bottom"/>
          </w:tcPr>
          <w:p>
            <w:pPr>
              <w:spacing w:after="0"/>
              <w:rPr>
                <w:sz w:val="1"/>
                <w:szCs w:val="1"/>
                <w:color w:val="auto"/>
              </w:rPr>
            </w:pPr>
          </w:p>
        </w:tc>
      </w:tr>
      <w:tr>
        <w:trPr>
          <w:trHeight w:val="101"/>
        </w:trPr>
        <w:tc>
          <w:tcPr>
            <w:tcW w:w="8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2"/>
              </w:rPr>
              <w:t>and Childcare</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80" w:type="dxa"/>
            <w:vAlign w:val="bottom"/>
            <w:vMerge w:val="restart"/>
          </w:tcPr>
          <w:p>
            <w:pPr>
              <w:ind w:left="200"/>
              <w:spacing w:after="0"/>
              <w:rPr>
                <w:sz w:val="20"/>
                <w:szCs w:val="20"/>
                <w:color w:val="auto"/>
              </w:rPr>
            </w:pPr>
            <w:r>
              <w:rPr>
                <w:rFonts w:ascii="Arial" w:cs="Arial" w:eastAsia="Arial" w:hAnsi="Arial"/>
                <w:sz w:val="14"/>
                <w:szCs w:val="14"/>
                <w:color w:val="auto"/>
                <w:w w:val="94"/>
              </w:rPr>
              <w:t>12/15/2014</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Chemicals, Plastics and</w:t>
            </w:r>
          </w:p>
        </w:tc>
        <w:tc>
          <w:tcPr>
            <w:tcW w:w="0" w:type="dxa"/>
            <w:vAlign w:val="bottom"/>
          </w:tcPr>
          <w:p>
            <w:pPr>
              <w:spacing w:after="0"/>
              <w:rPr>
                <w:sz w:val="1"/>
                <w:szCs w:val="1"/>
                <w:color w:val="auto"/>
              </w:rPr>
            </w:pPr>
          </w:p>
        </w:tc>
      </w:tr>
      <w:tr>
        <w:trPr>
          <w:trHeight w:val="101"/>
        </w:trPr>
        <w:tc>
          <w:tcPr>
            <w:tcW w:w="8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5"/>
              </w:rPr>
              <w:t>Rubber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200"/>
              <w:spacing w:after="0"/>
              <w:rPr>
                <w:sz w:val="20"/>
                <w:szCs w:val="20"/>
                <w:color w:val="auto"/>
              </w:rPr>
            </w:pPr>
            <w:r>
              <w:rPr>
                <w:rFonts w:ascii="Arial" w:cs="Arial" w:eastAsia="Arial" w:hAnsi="Arial"/>
                <w:sz w:val="14"/>
                <w:szCs w:val="14"/>
                <w:color w:val="auto"/>
                <w:w w:val="94"/>
              </w:rPr>
              <w:t>06/15/2015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Financial Services</w:t>
            </w:r>
          </w:p>
        </w:tc>
        <w:tc>
          <w:tcPr>
            <w:tcW w:w="0" w:type="dxa"/>
            <w:vAlign w:val="bottom"/>
          </w:tcPr>
          <w:p>
            <w:pPr>
              <w:spacing w:after="0"/>
              <w:rPr>
                <w:sz w:val="1"/>
                <w:szCs w:val="1"/>
                <w:color w:val="auto"/>
              </w:rPr>
            </w:pPr>
          </w:p>
        </w:tc>
      </w:tr>
      <w:tr>
        <w:trPr>
          <w:trHeight w:val="797"/>
        </w:trPr>
        <w:tc>
          <w:tcPr>
            <w:tcW w:w="880" w:type="dxa"/>
            <w:vAlign w:val="bottom"/>
          </w:tcPr>
          <w:p>
            <w:pPr>
              <w:ind w:left="200"/>
              <w:spacing w:after="0"/>
              <w:rPr>
                <w:sz w:val="20"/>
                <w:szCs w:val="20"/>
                <w:color w:val="auto"/>
              </w:rPr>
            </w:pPr>
            <w:r>
              <w:rPr>
                <w:rFonts w:ascii="Arial" w:cs="Arial" w:eastAsia="Arial" w:hAnsi="Arial"/>
                <w:sz w:val="14"/>
                <w:szCs w:val="14"/>
                <w:color w:val="auto"/>
                <w:w w:val="94"/>
              </w:rPr>
              <w:t>11/15/2015</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0"/>
              </w:rPr>
              <w:t>Consumer Products</w:t>
            </w:r>
          </w:p>
        </w:tc>
        <w:tc>
          <w:tcPr>
            <w:tcW w:w="0" w:type="dxa"/>
            <w:vAlign w:val="bottom"/>
          </w:tcPr>
          <w:p>
            <w:pPr>
              <w:spacing w:after="0"/>
              <w:rPr>
                <w:sz w:val="1"/>
                <w:szCs w:val="1"/>
                <w:color w:val="auto"/>
              </w:rPr>
            </w:pPr>
          </w:p>
        </w:tc>
      </w:tr>
      <w:tr>
        <w:trPr>
          <w:trHeight w:val="439"/>
        </w:trPr>
        <w:tc>
          <w:tcPr>
            <w:tcW w:w="880" w:type="dxa"/>
            <w:vAlign w:val="bottom"/>
          </w:tcPr>
          <w:p>
            <w:pPr>
              <w:ind w:left="200"/>
              <w:spacing w:after="0"/>
              <w:rPr>
                <w:sz w:val="20"/>
                <w:szCs w:val="20"/>
                <w:color w:val="auto"/>
              </w:rPr>
            </w:pPr>
            <w:r>
              <w:rPr>
                <w:rFonts w:ascii="Arial" w:cs="Arial" w:eastAsia="Arial" w:hAnsi="Arial"/>
                <w:sz w:val="14"/>
                <w:szCs w:val="14"/>
                <w:color w:val="auto"/>
                <w:w w:val="94"/>
              </w:rPr>
              <w:t>12/15/2016</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8"/>
              </w:rPr>
              <w:t>Diversified /</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0"/>
              </w:rPr>
              <w:t>Conglomerate Services</w:t>
            </w:r>
          </w:p>
        </w:tc>
        <w:tc>
          <w:tcPr>
            <w:tcW w:w="0" w:type="dxa"/>
            <w:vAlign w:val="bottom"/>
          </w:tcPr>
          <w:p>
            <w:pPr>
              <w:spacing w:after="0"/>
              <w:rPr>
                <w:sz w:val="1"/>
                <w:szCs w:val="1"/>
                <w:color w:val="auto"/>
              </w:rPr>
            </w:pPr>
          </w:p>
        </w:tc>
      </w:tr>
      <w:tr>
        <w:trPr>
          <w:trHeight w:val="351"/>
        </w:trPr>
        <w:tc>
          <w:tcPr>
            <w:tcW w:w="880" w:type="dxa"/>
            <w:vAlign w:val="bottom"/>
          </w:tcPr>
          <w:p>
            <w:pPr>
              <w:ind w:left="200"/>
              <w:spacing w:after="0"/>
              <w:rPr>
                <w:sz w:val="20"/>
                <w:szCs w:val="20"/>
                <w:color w:val="auto"/>
              </w:rPr>
            </w:pPr>
            <w:r>
              <w:rPr>
                <w:rFonts w:ascii="Arial" w:cs="Arial" w:eastAsia="Arial" w:hAnsi="Arial"/>
                <w:sz w:val="14"/>
                <w:szCs w:val="14"/>
                <w:color w:val="auto"/>
                <w:w w:val="94"/>
              </w:rPr>
              <w:t>04/17/2015</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0"/>
              </w:rPr>
              <w:t>Aerospace and Defense</w:t>
            </w:r>
          </w:p>
        </w:tc>
        <w:tc>
          <w:tcPr>
            <w:tcW w:w="0" w:type="dxa"/>
            <w:vAlign w:val="bottom"/>
          </w:tcPr>
          <w:p>
            <w:pPr>
              <w:spacing w:after="0"/>
              <w:rPr>
                <w:sz w:val="1"/>
                <w:szCs w:val="1"/>
                <w:color w:val="auto"/>
              </w:rPr>
            </w:pPr>
          </w:p>
        </w:tc>
      </w:tr>
      <w:tr>
        <w:trPr>
          <w:trHeight w:val="270"/>
        </w:trPr>
        <w:tc>
          <w:tcPr>
            <w:tcW w:w="880" w:type="dxa"/>
            <w:vAlign w:val="bottom"/>
          </w:tcPr>
          <w:p>
            <w:pPr>
              <w:ind w:left="200"/>
              <w:spacing w:after="0"/>
              <w:rPr>
                <w:sz w:val="20"/>
                <w:szCs w:val="20"/>
                <w:color w:val="auto"/>
              </w:rPr>
            </w:pPr>
            <w:r>
              <w:rPr>
                <w:rFonts w:ascii="Arial" w:cs="Arial" w:eastAsia="Arial" w:hAnsi="Arial"/>
                <w:sz w:val="14"/>
                <w:szCs w:val="14"/>
                <w:color w:val="auto"/>
                <w:w w:val="94"/>
              </w:rPr>
              <w:t>06/01/2016</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Electronics</w:t>
            </w:r>
          </w:p>
        </w:tc>
        <w:tc>
          <w:tcPr>
            <w:tcW w:w="0" w:type="dxa"/>
            <w:vAlign w:val="bottom"/>
          </w:tcPr>
          <w:p>
            <w:pPr>
              <w:spacing w:after="0"/>
              <w:rPr>
                <w:sz w:val="1"/>
                <w:szCs w:val="1"/>
                <w:color w:val="auto"/>
              </w:rPr>
            </w:pPr>
          </w:p>
        </w:tc>
      </w:tr>
      <w:tr>
        <w:trPr>
          <w:trHeight w:val="270"/>
        </w:trPr>
        <w:tc>
          <w:tcPr>
            <w:tcW w:w="880" w:type="dxa"/>
            <w:vAlign w:val="bottom"/>
          </w:tcPr>
          <w:p>
            <w:pPr>
              <w:ind w:left="200"/>
              <w:spacing w:after="0"/>
              <w:rPr>
                <w:sz w:val="20"/>
                <w:szCs w:val="20"/>
                <w:color w:val="auto"/>
              </w:rPr>
            </w:pPr>
            <w:r>
              <w:rPr>
                <w:rFonts w:ascii="Arial" w:cs="Arial" w:eastAsia="Arial" w:hAnsi="Arial"/>
                <w:sz w:val="14"/>
                <w:szCs w:val="14"/>
                <w:color w:val="auto"/>
                <w:w w:val="94"/>
              </w:rPr>
              <w:t>06/30/2016</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0"/>
              </w:rPr>
              <w:t>Cargo Transport</w:t>
            </w:r>
          </w:p>
        </w:tc>
        <w:tc>
          <w:tcPr>
            <w:tcW w:w="0" w:type="dxa"/>
            <w:vAlign w:val="bottom"/>
          </w:tcPr>
          <w:p>
            <w:pPr>
              <w:spacing w:after="0"/>
              <w:rPr>
                <w:sz w:val="1"/>
                <w:szCs w:val="1"/>
                <w:color w:val="auto"/>
              </w:rPr>
            </w:pPr>
          </w:p>
        </w:tc>
      </w:tr>
      <w:tr>
        <w:trPr>
          <w:trHeight w:val="270"/>
        </w:trPr>
        <w:tc>
          <w:tcPr>
            <w:tcW w:w="880" w:type="dxa"/>
            <w:vAlign w:val="bottom"/>
          </w:tcPr>
          <w:p>
            <w:pPr>
              <w:ind w:left="200"/>
              <w:spacing w:after="0"/>
              <w:rPr>
                <w:sz w:val="20"/>
                <w:szCs w:val="20"/>
                <w:color w:val="auto"/>
              </w:rPr>
            </w:pPr>
            <w:r>
              <w:rPr>
                <w:rFonts w:ascii="Arial" w:cs="Arial" w:eastAsia="Arial" w:hAnsi="Arial"/>
                <w:sz w:val="14"/>
                <w:szCs w:val="14"/>
                <w:color w:val="auto"/>
                <w:w w:val="94"/>
              </w:rPr>
              <w:t>06/30/2016</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6"/>
              </w:rPr>
              <w:t>Education</w:t>
            </w:r>
          </w:p>
        </w:tc>
        <w:tc>
          <w:tcPr>
            <w:tcW w:w="0" w:type="dxa"/>
            <w:vAlign w:val="bottom"/>
          </w:tcPr>
          <w:p>
            <w:pPr>
              <w:spacing w:after="0"/>
              <w:rPr>
                <w:sz w:val="1"/>
                <w:szCs w:val="1"/>
                <w:color w:val="auto"/>
              </w:rPr>
            </w:pPr>
          </w:p>
        </w:tc>
      </w:tr>
      <w:tr>
        <w:trPr>
          <w:trHeight w:val="243"/>
        </w:trPr>
        <w:tc>
          <w:tcPr>
            <w:tcW w:w="880" w:type="dxa"/>
            <w:vAlign w:val="bottom"/>
          </w:tcPr>
          <w:p>
            <w:pPr>
              <w:ind w:left="200"/>
              <w:spacing w:after="0"/>
              <w:rPr>
                <w:sz w:val="20"/>
                <w:szCs w:val="20"/>
                <w:color w:val="auto"/>
              </w:rPr>
            </w:pPr>
            <w:r>
              <w:rPr>
                <w:rFonts w:ascii="Arial" w:cs="Arial" w:eastAsia="Arial" w:hAnsi="Arial"/>
                <w:sz w:val="14"/>
                <w:szCs w:val="14"/>
                <w:color w:val="auto"/>
                <w:w w:val="94"/>
              </w:rPr>
              <w:t>05/15/2018</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Printing and Publishing</w:t>
            </w:r>
          </w:p>
        </w:tc>
        <w:tc>
          <w:tcPr>
            <w:tcW w:w="0" w:type="dxa"/>
            <w:vAlign w:val="bottom"/>
          </w:tcPr>
          <w:p>
            <w:pPr>
              <w:spacing w:after="0"/>
              <w:rPr>
                <w:sz w:val="1"/>
                <w:szCs w:val="1"/>
                <w:color w:val="auto"/>
              </w:rPr>
            </w:pPr>
          </w:p>
        </w:tc>
      </w:tr>
      <w:tr>
        <w:trPr>
          <w:trHeight w:val="297"/>
        </w:trPr>
        <w:tc>
          <w:tcPr>
            <w:tcW w:w="880" w:type="dxa"/>
            <w:vAlign w:val="bottom"/>
          </w:tcPr>
          <w:p>
            <w:pPr>
              <w:ind w:left="200"/>
              <w:spacing w:after="0"/>
              <w:rPr>
                <w:sz w:val="20"/>
                <w:szCs w:val="20"/>
                <w:color w:val="auto"/>
              </w:rPr>
            </w:pPr>
            <w:r>
              <w:rPr>
                <w:rFonts w:ascii="Arial" w:cs="Arial" w:eastAsia="Arial" w:hAnsi="Arial"/>
                <w:sz w:val="14"/>
                <w:szCs w:val="14"/>
                <w:color w:val="auto"/>
                <w:w w:val="94"/>
              </w:rPr>
              <w:t>10/15/2016</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0"/>
              </w:rPr>
              <w:t>Business Services</w:t>
            </w:r>
          </w:p>
        </w:tc>
        <w:tc>
          <w:tcPr>
            <w:tcW w:w="0" w:type="dxa"/>
            <w:vAlign w:val="bottom"/>
          </w:tcPr>
          <w:p>
            <w:pPr>
              <w:spacing w:after="0"/>
              <w:rPr>
                <w:sz w:val="1"/>
                <w:szCs w:val="1"/>
                <w:color w:val="auto"/>
              </w:rPr>
            </w:pPr>
          </w:p>
        </w:tc>
      </w:tr>
      <w:tr>
        <w:trPr>
          <w:trHeight w:val="270"/>
        </w:trPr>
        <w:tc>
          <w:tcPr>
            <w:tcW w:w="880" w:type="dxa"/>
            <w:vAlign w:val="bottom"/>
          </w:tcPr>
          <w:p>
            <w:pPr>
              <w:ind w:left="200"/>
              <w:spacing w:after="0"/>
              <w:rPr>
                <w:sz w:val="20"/>
                <w:szCs w:val="20"/>
                <w:color w:val="auto"/>
              </w:rPr>
            </w:pPr>
            <w:r>
              <w:rPr>
                <w:rFonts w:ascii="Arial" w:cs="Arial" w:eastAsia="Arial" w:hAnsi="Arial"/>
                <w:sz w:val="14"/>
                <w:szCs w:val="14"/>
                <w:color w:val="auto"/>
                <w:w w:val="94"/>
              </w:rPr>
              <w:t>05/12/2017</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0"/>
              </w:rPr>
              <w:t>Aerospace and Defense</w:t>
            </w:r>
          </w:p>
        </w:tc>
        <w:tc>
          <w:tcPr>
            <w:tcW w:w="0" w:type="dxa"/>
            <w:vAlign w:val="bottom"/>
          </w:tcPr>
          <w:p>
            <w:pPr>
              <w:spacing w:after="0"/>
              <w:rPr>
                <w:sz w:val="1"/>
                <w:szCs w:val="1"/>
                <w:color w:val="auto"/>
              </w:rPr>
            </w:pPr>
          </w:p>
        </w:tc>
      </w:tr>
      <w:tr>
        <w:trPr>
          <w:trHeight w:val="209"/>
        </w:trPr>
        <w:tc>
          <w:tcPr>
            <w:tcW w:w="880" w:type="dxa"/>
            <w:vAlign w:val="bottom"/>
            <w:vMerge w:val="restart"/>
          </w:tcPr>
          <w:p>
            <w:pPr>
              <w:ind w:left="200"/>
              <w:spacing w:after="0"/>
              <w:rPr>
                <w:sz w:val="20"/>
                <w:szCs w:val="20"/>
                <w:color w:val="auto"/>
              </w:rPr>
            </w:pPr>
            <w:r>
              <w:rPr>
                <w:rFonts w:ascii="Arial" w:cs="Arial" w:eastAsia="Arial" w:hAnsi="Arial"/>
                <w:sz w:val="14"/>
                <w:szCs w:val="14"/>
                <w:color w:val="auto"/>
                <w:w w:val="94"/>
              </w:rPr>
              <w:t>12/03/2016</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Mining, Steel, Iron and</w:t>
            </w:r>
          </w:p>
        </w:tc>
        <w:tc>
          <w:tcPr>
            <w:tcW w:w="0" w:type="dxa"/>
            <w:vAlign w:val="bottom"/>
          </w:tcPr>
          <w:p>
            <w:pPr>
              <w:spacing w:after="0"/>
              <w:rPr>
                <w:sz w:val="1"/>
                <w:szCs w:val="1"/>
                <w:color w:val="auto"/>
              </w:rPr>
            </w:pPr>
          </w:p>
        </w:tc>
      </w:tr>
      <w:tr>
        <w:trPr>
          <w:trHeight w:val="101"/>
        </w:trPr>
        <w:tc>
          <w:tcPr>
            <w:tcW w:w="8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2"/>
              </w:rPr>
              <w:t>Non-Precious Metals</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40" w:type="dxa"/>
            <w:vAlign w:val="bottom"/>
            <w:gridSpan w:val="3"/>
          </w:tcPr>
          <w:p>
            <w:pPr>
              <w:ind w:left="200"/>
              <w:spacing w:after="0"/>
              <w:rPr>
                <w:sz w:val="20"/>
                <w:szCs w:val="20"/>
                <w:color w:val="auto"/>
              </w:rPr>
            </w:pPr>
            <w:r>
              <w:rPr>
                <w:rFonts w:ascii="Arial" w:cs="Arial" w:eastAsia="Arial" w:hAnsi="Arial"/>
                <w:sz w:val="14"/>
                <w:szCs w:val="14"/>
                <w:color w:val="auto"/>
                <w:w w:val="95"/>
              </w:rPr>
              <w:t>04/15/2018   Buildings and Real Estate</w:t>
            </w:r>
          </w:p>
        </w:tc>
        <w:tc>
          <w:tcPr>
            <w:tcW w:w="0" w:type="dxa"/>
            <w:vAlign w:val="bottom"/>
          </w:tcPr>
          <w:p>
            <w:pPr>
              <w:spacing w:after="0"/>
              <w:rPr>
                <w:sz w:val="1"/>
                <w:szCs w:val="1"/>
                <w:color w:val="auto"/>
              </w:rPr>
            </w:pPr>
          </w:p>
        </w:tc>
      </w:tr>
      <w:tr>
        <w:trPr>
          <w:trHeight w:val="297"/>
        </w:trPr>
        <w:tc>
          <w:tcPr>
            <w:tcW w:w="880" w:type="dxa"/>
            <w:vAlign w:val="bottom"/>
          </w:tcPr>
          <w:p>
            <w:pPr>
              <w:ind w:left="200"/>
              <w:spacing w:after="0"/>
              <w:rPr>
                <w:sz w:val="20"/>
                <w:szCs w:val="20"/>
                <w:color w:val="auto"/>
              </w:rPr>
            </w:pPr>
            <w:r>
              <w:rPr>
                <w:rFonts w:ascii="Arial" w:cs="Arial" w:eastAsia="Arial" w:hAnsi="Arial"/>
                <w:sz w:val="14"/>
                <w:szCs w:val="14"/>
                <w:color w:val="auto"/>
                <w:w w:val="94"/>
              </w:rPr>
              <w:t>12/29/2015</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0"/>
              </w:rPr>
              <w:t>Business Services</w:t>
            </w:r>
          </w:p>
        </w:tc>
        <w:tc>
          <w:tcPr>
            <w:tcW w:w="0" w:type="dxa"/>
            <w:vAlign w:val="bottom"/>
          </w:tcPr>
          <w:p>
            <w:pPr>
              <w:spacing w:after="0"/>
              <w:rPr>
                <w:sz w:val="1"/>
                <w:szCs w:val="1"/>
                <w:color w:val="auto"/>
              </w:rPr>
            </w:pPr>
          </w:p>
        </w:tc>
      </w:tr>
      <w:tr>
        <w:trPr>
          <w:trHeight w:val="270"/>
        </w:trPr>
        <w:tc>
          <w:tcPr>
            <w:tcW w:w="880" w:type="dxa"/>
            <w:vAlign w:val="bottom"/>
          </w:tcPr>
          <w:p>
            <w:pPr>
              <w:ind w:left="200"/>
              <w:spacing w:after="0"/>
              <w:rPr>
                <w:sz w:val="20"/>
                <w:szCs w:val="20"/>
                <w:color w:val="auto"/>
              </w:rPr>
            </w:pPr>
            <w:r>
              <w:rPr>
                <w:rFonts w:ascii="Arial" w:cs="Arial" w:eastAsia="Arial" w:hAnsi="Arial"/>
                <w:sz w:val="14"/>
                <w:szCs w:val="14"/>
                <w:color w:val="auto"/>
                <w:w w:val="94"/>
              </w:rPr>
              <w:t>02/08/2015</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Oil and Gas</w:t>
            </w:r>
          </w:p>
        </w:tc>
        <w:tc>
          <w:tcPr>
            <w:tcW w:w="0" w:type="dxa"/>
            <w:vAlign w:val="bottom"/>
          </w:tcPr>
          <w:p>
            <w:pPr>
              <w:spacing w:after="0"/>
              <w:rPr>
                <w:sz w:val="1"/>
                <w:szCs w:val="1"/>
                <w:color w:val="auto"/>
              </w:rPr>
            </w:pPr>
          </w:p>
        </w:tc>
      </w:tr>
      <w:tr>
        <w:trPr>
          <w:trHeight w:val="270"/>
        </w:trPr>
        <w:tc>
          <w:tcPr>
            <w:tcW w:w="880" w:type="dxa"/>
            <w:vAlign w:val="bottom"/>
          </w:tcPr>
          <w:p>
            <w:pPr>
              <w:ind w:left="200"/>
              <w:spacing w:after="0"/>
              <w:rPr>
                <w:sz w:val="20"/>
                <w:szCs w:val="20"/>
                <w:color w:val="auto"/>
              </w:rPr>
            </w:pPr>
            <w:r>
              <w:rPr>
                <w:rFonts w:ascii="Arial" w:cs="Arial" w:eastAsia="Arial" w:hAnsi="Arial"/>
                <w:sz w:val="14"/>
                <w:szCs w:val="14"/>
                <w:color w:val="auto"/>
                <w:w w:val="94"/>
              </w:rPr>
              <w:t>12/31/2015</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0"/>
              </w:rPr>
              <w:t>Business Services</w:t>
            </w:r>
          </w:p>
        </w:tc>
        <w:tc>
          <w:tcPr>
            <w:tcW w:w="0" w:type="dxa"/>
            <w:vAlign w:val="bottom"/>
          </w:tcPr>
          <w:p>
            <w:pPr>
              <w:spacing w:after="0"/>
              <w:rPr>
                <w:sz w:val="1"/>
                <w:szCs w:val="1"/>
                <w:color w:val="auto"/>
              </w:rPr>
            </w:pPr>
          </w:p>
        </w:tc>
      </w:tr>
      <w:tr>
        <w:trPr>
          <w:trHeight w:val="243"/>
        </w:trPr>
        <w:tc>
          <w:tcPr>
            <w:tcW w:w="880" w:type="dxa"/>
            <w:vAlign w:val="bottom"/>
          </w:tcPr>
          <w:p>
            <w:pPr>
              <w:ind w:left="200"/>
              <w:spacing w:after="0"/>
              <w:rPr>
                <w:sz w:val="20"/>
                <w:szCs w:val="20"/>
                <w:color w:val="auto"/>
              </w:rPr>
            </w:pPr>
            <w:r>
              <w:rPr>
                <w:rFonts w:ascii="Arial" w:cs="Arial" w:eastAsia="Arial" w:hAnsi="Arial"/>
                <w:sz w:val="14"/>
                <w:szCs w:val="14"/>
                <w:color w:val="auto"/>
                <w:w w:val="94"/>
              </w:rPr>
              <w:t>12/31/2012</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0"/>
              </w:rPr>
              <w:t>Business Services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-5297805</wp:posOffset>
            </wp:positionV>
            <wp:extent cx="698627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-4826635</wp:posOffset>
            </wp:positionV>
            <wp:extent cx="698627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-4483735</wp:posOffset>
            </wp:positionV>
            <wp:extent cx="698627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-4140835</wp:posOffset>
            </wp:positionV>
            <wp:extent cx="698627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-3797935</wp:posOffset>
            </wp:positionV>
            <wp:extent cx="698627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86270" cy="22288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-3352165</wp:posOffset>
            </wp:positionV>
            <wp:extent cx="698627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-3009265</wp:posOffset>
            </wp:positionV>
            <wp:extent cx="698627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6270" cy="17970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-2529205</wp:posOffset>
            </wp:positionV>
            <wp:extent cx="698627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86270" cy="30035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-2058035</wp:posOffset>
            </wp:positionV>
            <wp:extent cx="698627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-1715135</wp:posOffset>
            </wp:positionV>
            <wp:extent cx="698627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-1372235</wp:posOffset>
            </wp:positionV>
            <wp:extent cx="698627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-1029335</wp:posOffset>
            </wp:positionV>
            <wp:extent cx="698627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86270" cy="22288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-635000</wp:posOffset>
            </wp:positionV>
            <wp:extent cx="698627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-292100</wp:posOffset>
            </wp:positionV>
            <wp:extent cx="698627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179070</wp:posOffset>
            </wp:positionV>
            <wp:extent cx="698627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-5649595</wp:posOffset>
            </wp:positionV>
            <wp:extent cx="698627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8627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Current</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Basis Points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gridSpan w:val="3"/>
            <w:vMerge w:val="continue"/>
          </w:tcPr>
          <w:p>
            <w:pPr>
              <w:spacing w:after="0"/>
              <w:rPr>
                <w:sz w:val="12"/>
                <w:szCs w:val="12"/>
                <w:color w:val="auto"/>
              </w:rPr>
            </w:pPr>
          </w:p>
        </w:tc>
        <w:tc>
          <w:tcPr>
            <w:tcW w:w="860" w:type="dxa"/>
            <w:vAlign w:val="bottom"/>
            <w:gridSpan w:val="2"/>
          </w:tcPr>
          <w:p>
            <w:pPr>
              <w:jc w:val="right"/>
              <w:ind w:right="175"/>
              <w:spacing w:after="0" w:line="149" w:lineRule="exact"/>
              <w:rPr>
                <w:sz w:val="20"/>
                <w:szCs w:val="20"/>
                <w:color w:val="auto"/>
              </w:rPr>
            </w:pPr>
            <w:r>
              <w:rPr>
                <w:rFonts w:ascii="Arial" w:cs="Arial" w:eastAsia="Arial" w:hAnsi="Arial"/>
                <w:sz w:val="14"/>
                <w:szCs w:val="14"/>
                <w:b w:val="1"/>
                <w:bCs w:val="1"/>
                <w:color w:val="auto"/>
              </w:rPr>
              <w:t>Above</w:t>
            </w:r>
          </w:p>
        </w:tc>
        <w:tc>
          <w:tcPr>
            <w:tcW w:w="140" w:type="dxa"/>
            <w:vAlign w:val="bottom"/>
          </w:tcPr>
          <w:p>
            <w:pPr>
              <w:spacing w:after="0"/>
              <w:rPr>
                <w:sz w:val="12"/>
                <w:szCs w:val="12"/>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Par / Shares</w:t>
            </w:r>
          </w:p>
        </w:tc>
        <w:tc>
          <w:tcPr>
            <w:tcW w:w="240" w:type="dxa"/>
            <w:vAlign w:val="bottom"/>
          </w:tcPr>
          <w:p>
            <w:pPr>
              <w:spacing w:after="0"/>
              <w:rPr>
                <w:sz w:val="12"/>
                <w:szCs w:val="12"/>
                <w:color w:val="auto"/>
              </w:rPr>
            </w:pPr>
          </w:p>
        </w:tc>
        <w:tc>
          <w:tcPr>
            <w:tcW w:w="8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2"/>
                <w:szCs w:val="12"/>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rPr>
              <w:t>Coupon</w:t>
            </w:r>
          </w:p>
        </w:tc>
        <w:tc>
          <w:tcPr>
            <w:tcW w:w="12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rPr>
              <w:t>Index</w:t>
            </w:r>
            <w:r>
              <w:rPr>
                <w:rFonts w:ascii="Arial" w:cs="Arial" w:eastAsia="Arial" w:hAnsi="Arial"/>
                <w:sz w:val="8"/>
                <w:szCs w:val="8"/>
                <w:b w:val="1"/>
                <w:bCs w:val="1"/>
                <w:color w:val="auto"/>
              </w:rPr>
              <w:t>(4)</w:t>
            </w:r>
          </w:p>
        </w:tc>
        <w:tc>
          <w:tcPr>
            <w:tcW w:w="14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60"/>
        </w:trPr>
        <w:tc>
          <w:tcPr>
            <w:tcW w:w="580" w:type="dxa"/>
            <w:vAlign w:val="bottom"/>
          </w:tcPr>
          <w:p>
            <w:pPr>
              <w:jc w:val="right"/>
              <w:spacing w:after="0"/>
              <w:rPr>
                <w:sz w:val="20"/>
                <w:szCs w:val="20"/>
                <w:color w:val="auto"/>
              </w:rPr>
            </w:pPr>
            <w:r>
              <w:rPr>
                <w:rFonts w:ascii="Arial" w:cs="Arial" w:eastAsia="Arial" w:hAnsi="Arial"/>
                <w:sz w:val="14"/>
                <w:szCs w:val="14"/>
                <w:color w:val="auto"/>
              </w:rPr>
              <w:t>6.31%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L+600</w:t>
            </w:r>
          </w:p>
        </w:tc>
        <w:tc>
          <w:tcPr>
            <w:tcW w:w="3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13,600,000</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  13,276,669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12,240,000</w:t>
            </w:r>
          </w:p>
        </w:tc>
        <w:tc>
          <w:tcPr>
            <w:tcW w:w="0" w:type="dxa"/>
            <w:vAlign w:val="bottom"/>
          </w:tcPr>
          <w:p>
            <w:pPr>
              <w:spacing w:after="0"/>
              <w:rPr>
                <w:sz w:val="1"/>
                <w:szCs w:val="1"/>
                <w:color w:val="auto"/>
              </w:rPr>
            </w:pPr>
          </w:p>
        </w:tc>
      </w:tr>
      <w:tr>
        <w:trPr>
          <w:trHeight w:val="270"/>
        </w:trPr>
        <w:tc>
          <w:tcPr>
            <w:tcW w:w="580" w:type="dxa"/>
            <w:vAlign w:val="bottom"/>
          </w:tcPr>
          <w:p>
            <w:pPr>
              <w:jc w:val="right"/>
              <w:spacing w:after="0"/>
              <w:rPr>
                <w:sz w:val="20"/>
                <w:szCs w:val="20"/>
                <w:color w:val="auto"/>
              </w:rPr>
            </w:pPr>
            <w:r>
              <w:rPr>
                <w:rFonts w:ascii="Arial" w:cs="Arial" w:eastAsia="Arial" w:hAnsi="Arial"/>
                <w:sz w:val="14"/>
                <w:szCs w:val="14"/>
                <w:color w:val="auto"/>
              </w:rPr>
              <w:t>7.31%</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L+700</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12,000,000</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11,806,946</w:t>
            </w: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10,800,000</w:t>
            </w:r>
          </w:p>
        </w:tc>
        <w:tc>
          <w:tcPr>
            <w:tcW w:w="0" w:type="dxa"/>
            <w:vAlign w:val="bottom"/>
          </w:tcPr>
          <w:p>
            <w:pPr>
              <w:spacing w:after="0"/>
              <w:rPr>
                <w:sz w:val="1"/>
                <w:szCs w:val="1"/>
                <w:color w:val="auto"/>
              </w:rPr>
            </w:pPr>
          </w:p>
        </w:tc>
      </w:tr>
      <w:tr>
        <w:trPr>
          <w:trHeight w:val="270"/>
        </w:trPr>
        <w:tc>
          <w:tcPr>
            <w:tcW w:w="580" w:type="dxa"/>
            <w:vAlign w:val="bottom"/>
          </w:tcPr>
          <w:p>
            <w:pPr>
              <w:jc w:val="right"/>
              <w:spacing w:after="0"/>
              <w:rPr>
                <w:sz w:val="20"/>
                <w:szCs w:val="20"/>
                <w:color w:val="auto"/>
              </w:rPr>
            </w:pPr>
            <w:r>
              <w:rPr>
                <w:rFonts w:ascii="Arial" w:cs="Arial" w:eastAsia="Arial" w:hAnsi="Arial"/>
                <w:sz w:val="14"/>
                <w:szCs w:val="14"/>
                <w:color w:val="auto"/>
              </w:rPr>
              <w:t>12.00%</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34,000,000</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31,883,227</w:t>
            </w: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13,260,000</w:t>
            </w:r>
          </w:p>
        </w:tc>
        <w:tc>
          <w:tcPr>
            <w:tcW w:w="0" w:type="dxa"/>
            <w:vAlign w:val="bottom"/>
          </w:tcPr>
          <w:p>
            <w:pPr>
              <w:spacing w:after="0"/>
              <w:rPr>
                <w:sz w:val="1"/>
                <w:szCs w:val="1"/>
                <w:color w:val="auto"/>
              </w:rPr>
            </w:pPr>
          </w:p>
        </w:tc>
      </w:tr>
      <w:tr>
        <w:trPr>
          <w:trHeight w:val="499"/>
        </w:trPr>
        <w:tc>
          <w:tcPr>
            <w:tcW w:w="580" w:type="dxa"/>
            <w:vAlign w:val="bottom"/>
          </w:tcPr>
          <w:p>
            <w:pPr>
              <w:jc w:val="right"/>
              <w:spacing w:after="0"/>
              <w:rPr>
                <w:sz w:val="20"/>
                <w:szCs w:val="20"/>
                <w:color w:val="auto"/>
              </w:rPr>
            </w:pPr>
            <w:r>
              <w:rPr>
                <w:rFonts w:ascii="Arial" w:cs="Arial" w:eastAsia="Arial" w:hAnsi="Arial"/>
                <w:sz w:val="14"/>
                <w:szCs w:val="14"/>
                <w:color w:val="auto"/>
              </w:rPr>
              <w:t>8.00%</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L+600</w:t>
            </w:r>
          </w:p>
        </w:tc>
        <w:tc>
          <w:tcPr>
            <w:tcW w:w="360" w:type="dxa"/>
            <w:vAlign w:val="bottom"/>
          </w:tcPr>
          <w:p>
            <w:pPr>
              <w:jc w:val="right"/>
              <w:ind w:right="155"/>
              <w:spacing w:after="0"/>
              <w:rPr>
                <w:sz w:val="20"/>
                <w:szCs w:val="20"/>
                <w:color w:val="auto"/>
              </w:rPr>
            </w:pPr>
            <w:r>
              <w:rPr>
                <w:rFonts w:ascii="Arial" w:cs="Arial" w:eastAsia="Arial" w:hAnsi="Arial"/>
                <w:sz w:val="9"/>
                <w:szCs w:val="9"/>
                <w:color w:val="auto"/>
              </w:rPr>
              <w:t>(8)</w:t>
            </w: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5,870,416</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5,870,416</w:t>
            </w:r>
          </w:p>
        </w:tc>
        <w:tc>
          <w:tcPr>
            <w:tcW w:w="2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5,870,416</w:t>
            </w:r>
          </w:p>
        </w:tc>
        <w:tc>
          <w:tcPr>
            <w:tcW w:w="0" w:type="dxa"/>
            <w:vAlign w:val="bottom"/>
          </w:tcPr>
          <w:p>
            <w:pPr>
              <w:spacing w:after="0"/>
              <w:rPr>
                <w:sz w:val="1"/>
                <w:szCs w:val="1"/>
                <w:color w:val="auto"/>
              </w:rPr>
            </w:pPr>
          </w:p>
        </w:tc>
      </w:tr>
      <w:tr>
        <w:trPr>
          <w:trHeight w:val="270"/>
        </w:trPr>
        <w:tc>
          <w:tcPr>
            <w:tcW w:w="580" w:type="dxa"/>
            <w:vAlign w:val="bottom"/>
          </w:tcPr>
          <w:p>
            <w:pPr>
              <w:jc w:val="right"/>
              <w:spacing w:after="0"/>
              <w:rPr>
                <w:sz w:val="20"/>
                <w:szCs w:val="20"/>
                <w:color w:val="auto"/>
              </w:rPr>
            </w:pPr>
            <w:r>
              <w:rPr>
                <w:rFonts w:ascii="Arial" w:cs="Arial" w:eastAsia="Arial" w:hAnsi="Arial"/>
                <w:sz w:val="14"/>
                <w:szCs w:val="14"/>
                <w:color w:val="auto"/>
              </w:rPr>
              <w:t>11.00%</w:t>
            </w:r>
          </w:p>
        </w:tc>
        <w:tc>
          <w:tcPr>
            <w:tcW w:w="320" w:type="dxa"/>
            <w:vAlign w:val="bottom"/>
          </w:tcPr>
          <w:p>
            <w:pPr>
              <w:jc w:val="right"/>
              <w:ind w:right="135"/>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L+700</w:t>
            </w:r>
          </w:p>
        </w:tc>
        <w:tc>
          <w:tcPr>
            <w:tcW w:w="360" w:type="dxa"/>
            <w:vAlign w:val="bottom"/>
          </w:tcPr>
          <w:p>
            <w:pPr>
              <w:jc w:val="right"/>
              <w:ind w:right="155"/>
              <w:spacing w:after="0"/>
              <w:rPr>
                <w:sz w:val="20"/>
                <w:szCs w:val="20"/>
                <w:color w:val="auto"/>
              </w:rPr>
            </w:pPr>
            <w:r>
              <w:rPr>
                <w:rFonts w:ascii="Arial" w:cs="Arial" w:eastAsia="Arial" w:hAnsi="Arial"/>
                <w:sz w:val="9"/>
                <w:szCs w:val="9"/>
                <w:color w:val="auto"/>
              </w:rPr>
              <w:t>(8)</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2,711,726</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2,711,727</w:t>
            </w: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2,738,841</w:t>
            </w:r>
          </w:p>
        </w:tc>
        <w:tc>
          <w:tcPr>
            <w:tcW w:w="0" w:type="dxa"/>
            <w:vAlign w:val="bottom"/>
          </w:tcPr>
          <w:p>
            <w:pPr>
              <w:spacing w:after="0"/>
              <w:rPr>
                <w:sz w:val="1"/>
                <w:szCs w:val="1"/>
                <w:color w:val="auto"/>
              </w:rPr>
            </w:pPr>
          </w:p>
        </w:tc>
      </w:tr>
      <w:tr>
        <w:trPr>
          <w:trHeight w:val="270"/>
        </w:trPr>
        <w:tc>
          <w:tcPr>
            <w:tcW w:w="580" w:type="dxa"/>
            <w:vAlign w:val="bottom"/>
          </w:tcPr>
          <w:p>
            <w:pPr>
              <w:jc w:val="right"/>
              <w:spacing w:after="0"/>
              <w:rPr>
                <w:sz w:val="20"/>
                <w:szCs w:val="20"/>
                <w:color w:val="auto"/>
              </w:rPr>
            </w:pPr>
            <w:r>
              <w:rPr>
                <w:rFonts w:ascii="Arial" w:cs="Arial" w:eastAsia="Arial" w:hAnsi="Arial"/>
                <w:sz w:val="14"/>
                <w:szCs w:val="14"/>
                <w:color w:val="auto"/>
              </w:rPr>
              <w:t>9.50%</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L+650</w:t>
            </w:r>
          </w:p>
        </w:tc>
        <w:tc>
          <w:tcPr>
            <w:tcW w:w="360" w:type="dxa"/>
            <w:vAlign w:val="bottom"/>
          </w:tcPr>
          <w:p>
            <w:pPr>
              <w:jc w:val="right"/>
              <w:ind w:right="155"/>
              <w:spacing w:after="0"/>
              <w:rPr>
                <w:sz w:val="20"/>
                <w:szCs w:val="20"/>
                <w:color w:val="auto"/>
              </w:rPr>
            </w:pPr>
            <w:r>
              <w:rPr>
                <w:rFonts w:ascii="Arial" w:cs="Arial" w:eastAsia="Arial" w:hAnsi="Arial"/>
                <w:sz w:val="9"/>
                <w:szCs w:val="9"/>
                <w:color w:val="auto"/>
              </w:rPr>
              <w:t>(8)</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2,979,559</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2,979,559</w:t>
            </w: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2,753,113</w:t>
            </w:r>
          </w:p>
        </w:tc>
        <w:tc>
          <w:tcPr>
            <w:tcW w:w="0" w:type="dxa"/>
            <w:vAlign w:val="bottom"/>
          </w:tcPr>
          <w:p>
            <w:pPr>
              <w:spacing w:after="0"/>
              <w:rPr>
                <w:sz w:val="1"/>
                <w:szCs w:val="1"/>
                <w:color w:val="auto"/>
              </w:rPr>
            </w:pPr>
          </w:p>
        </w:tc>
      </w:tr>
      <w:tr>
        <w:trPr>
          <w:trHeight w:val="270"/>
        </w:trPr>
        <w:tc>
          <w:tcPr>
            <w:tcW w:w="580" w:type="dxa"/>
            <w:vAlign w:val="bottom"/>
          </w:tcPr>
          <w:p>
            <w:pPr>
              <w:jc w:val="right"/>
              <w:spacing w:after="0"/>
              <w:rPr>
                <w:sz w:val="20"/>
                <w:szCs w:val="20"/>
                <w:color w:val="auto"/>
              </w:rPr>
            </w:pPr>
            <w:r>
              <w:rPr>
                <w:rFonts w:ascii="Arial" w:cs="Arial" w:eastAsia="Arial" w:hAnsi="Arial"/>
                <w:sz w:val="14"/>
                <w:szCs w:val="14"/>
                <w:color w:val="auto"/>
              </w:rPr>
              <w:t>11.50%</w:t>
            </w:r>
          </w:p>
        </w:tc>
        <w:tc>
          <w:tcPr>
            <w:tcW w:w="320" w:type="dxa"/>
            <w:vAlign w:val="bottom"/>
          </w:tcPr>
          <w:p>
            <w:pPr>
              <w:jc w:val="right"/>
              <w:ind w:right="135"/>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L+750</w:t>
            </w:r>
          </w:p>
        </w:tc>
        <w:tc>
          <w:tcPr>
            <w:tcW w:w="360" w:type="dxa"/>
            <w:vAlign w:val="bottom"/>
          </w:tcPr>
          <w:p>
            <w:pPr>
              <w:jc w:val="right"/>
              <w:ind w:right="155"/>
              <w:spacing w:after="0"/>
              <w:rPr>
                <w:sz w:val="20"/>
                <w:szCs w:val="20"/>
                <w:color w:val="auto"/>
              </w:rPr>
            </w:pPr>
            <w:r>
              <w:rPr>
                <w:rFonts w:ascii="Arial" w:cs="Arial" w:eastAsia="Arial" w:hAnsi="Arial"/>
                <w:sz w:val="9"/>
                <w:szCs w:val="9"/>
                <w:color w:val="auto"/>
              </w:rPr>
              <w:t>(8)</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1,933,775</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1,933,775</w:t>
            </w: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1,736,530</w:t>
            </w:r>
          </w:p>
        </w:tc>
        <w:tc>
          <w:tcPr>
            <w:tcW w:w="0" w:type="dxa"/>
            <w:vAlign w:val="bottom"/>
          </w:tcPr>
          <w:p>
            <w:pPr>
              <w:spacing w:after="0"/>
              <w:rPr>
                <w:sz w:val="1"/>
                <w:szCs w:val="1"/>
                <w:color w:val="auto"/>
              </w:rPr>
            </w:pPr>
          </w:p>
        </w:tc>
      </w:tr>
      <w:tr>
        <w:trPr>
          <w:trHeight w:val="270"/>
        </w:trPr>
        <w:tc>
          <w:tcPr>
            <w:tcW w:w="580" w:type="dxa"/>
            <w:vAlign w:val="bottom"/>
          </w:tcPr>
          <w:p>
            <w:pPr>
              <w:jc w:val="right"/>
              <w:spacing w:after="0"/>
              <w:rPr>
                <w:sz w:val="20"/>
                <w:szCs w:val="20"/>
                <w:color w:val="auto"/>
              </w:rPr>
            </w:pPr>
            <w:r>
              <w:rPr>
                <w:rFonts w:ascii="Arial" w:cs="Arial" w:eastAsia="Arial" w:hAnsi="Arial"/>
                <w:sz w:val="14"/>
                <w:szCs w:val="14"/>
                <w:color w:val="auto"/>
              </w:rPr>
              <w:t>11.00%</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L+900</w:t>
            </w:r>
          </w:p>
        </w:tc>
        <w:tc>
          <w:tcPr>
            <w:tcW w:w="360" w:type="dxa"/>
            <w:vAlign w:val="bottom"/>
          </w:tcPr>
          <w:p>
            <w:pPr>
              <w:jc w:val="right"/>
              <w:ind w:right="155"/>
              <w:spacing w:after="0"/>
              <w:rPr>
                <w:sz w:val="20"/>
                <w:szCs w:val="20"/>
                <w:color w:val="auto"/>
              </w:rPr>
            </w:pPr>
            <w:r>
              <w:rPr>
                <w:rFonts w:ascii="Arial" w:cs="Arial" w:eastAsia="Arial" w:hAnsi="Arial"/>
                <w:sz w:val="9"/>
                <w:szCs w:val="9"/>
                <w:color w:val="auto"/>
              </w:rPr>
              <w:t>(8)</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17,000,000</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16,671,937</w:t>
            </w: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16,830,000</w:t>
            </w:r>
          </w:p>
        </w:tc>
        <w:tc>
          <w:tcPr>
            <w:tcW w:w="0" w:type="dxa"/>
            <w:vAlign w:val="bottom"/>
          </w:tcPr>
          <w:p>
            <w:pPr>
              <w:spacing w:after="0"/>
              <w:rPr>
                <w:sz w:val="1"/>
                <w:szCs w:val="1"/>
                <w:color w:val="auto"/>
              </w:rPr>
            </w:pPr>
          </w:p>
        </w:tc>
      </w:tr>
      <w:tr>
        <w:trPr>
          <w:trHeight w:val="243"/>
        </w:trPr>
        <w:tc>
          <w:tcPr>
            <w:tcW w:w="580" w:type="dxa"/>
            <w:vAlign w:val="bottom"/>
          </w:tcPr>
          <w:p>
            <w:pPr>
              <w:jc w:val="right"/>
              <w:spacing w:after="0"/>
              <w:rPr>
                <w:sz w:val="20"/>
                <w:szCs w:val="20"/>
                <w:color w:val="auto"/>
              </w:rPr>
            </w:pPr>
            <w:r>
              <w:rPr>
                <w:rFonts w:ascii="Arial" w:cs="Arial" w:eastAsia="Arial" w:hAnsi="Arial"/>
                <w:sz w:val="14"/>
                <w:szCs w:val="14"/>
                <w:color w:val="auto"/>
              </w:rPr>
              <w:t>13.50%</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10,000,000</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10,000,000</w:t>
            </w:r>
          </w:p>
        </w:tc>
        <w:tc>
          <w:tcPr>
            <w:tcW w:w="24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10,550,000</w:t>
            </w:r>
          </w:p>
        </w:tc>
        <w:tc>
          <w:tcPr>
            <w:tcW w:w="0" w:type="dxa"/>
            <w:vAlign w:val="bottom"/>
          </w:tcPr>
          <w:p>
            <w:pPr>
              <w:spacing w:after="0"/>
              <w:rPr>
                <w:sz w:val="1"/>
                <w:szCs w:val="1"/>
                <w:color w:val="auto"/>
              </w:rPr>
            </w:pPr>
          </w:p>
        </w:tc>
      </w:tr>
      <w:tr>
        <w:trPr>
          <w:trHeight w:val="337"/>
        </w:trPr>
        <w:tc>
          <w:tcPr>
            <w:tcW w:w="580" w:type="dxa"/>
            <w:vAlign w:val="bottom"/>
          </w:tcPr>
          <w:p>
            <w:pPr>
              <w:jc w:val="right"/>
              <w:spacing w:after="0"/>
              <w:rPr>
                <w:sz w:val="20"/>
                <w:szCs w:val="20"/>
                <w:color w:val="auto"/>
              </w:rPr>
            </w:pPr>
            <w:r>
              <w:rPr>
                <w:rFonts w:ascii="Arial" w:cs="Arial" w:eastAsia="Arial" w:hAnsi="Arial"/>
                <w:sz w:val="14"/>
                <w:szCs w:val="14"/>
                <w:color w:val="auto"/>
              </w:rPr>
              <w:t>6.00%</w:t>
            </w:r>
          </w:p>
        </w:tc>
        <w:tc>
          <w:tcPr>
            <w:tcW w:w="320" w:type="dxa"/>
            <w:vAlign w:val="bottom"/>
          </w:tcPr>
          <w:p>
            <w:pPr>
              <w:jc w:val="right"/>
              <w:ind w:right="135"/>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L+575</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13,500,000</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11,771,408</w:t>
            </w:r>
          </w:p>
        </w:tc>
        <w:tc>
          <w:tcPr>
            <w:tcW w:w="2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13,297,500</w:t>
            </w:r>
          </w:p>
        </w:tc>
        <w:tc>
          <w:tcPr>
            <w:tcW w:w="0" w:type="dxa"/>
            <w:vAlign w:val="bottom"/>
          </w:tcPr>
          <w:p>
            <w:pPr>
              <w:spacing w:after="0"/>
              <w:rPr>
                <w:sz w:val="1"/>
                <w:szCs w:val="1"/>
                <w:color w:val="auto"/>
              </w:rPr>
            </w:pPr>
          </w:p>
        </w:tc>
      </w:tr>
      <w:tr>
        <w:trPr>
          <w:trHeight w:val="351"/>
        </w:trPr>
        <w:tc>
          <w:tcPr>
            <w:tcW w:w="580" w:type="dxa"/>
            <w:vAlign w:val="bottom"/>
          </w:tcPr>
          <w:p>
            <w:pPr>
              <w:jc w:val="right"/>
              <w:spacing w:after="0"/>
              <w:rPr>
                <w:sz w:val="20"/>
                <w:szCs w:val="20"/>
                <w:color w:val="auto"/>
              </w:rPr>
            </w:pPr>
            <w:r>
              <w:rPr>
                <w:rFonts w:ascii="Arial" w:cs="Arial" w:eastAsia="Arial" w:hAnsi="Arial"/>
                <w:sz w:val="14"/>
                <w:szCs w:val="14"/>
                <w:color w:val="auto"/>
              </w:rPr>
              <w:t>7.19%</w:t>
            </w:r>
          </w:p>
        </w:tc>
        <w:tc>
          <w:tcPr>
            <w:tcW w:w="320" w:type="dxa"/>
            <w:vAlign w:val="bottom"/>
          </w:tcPr>
          <w:p>
            <w:pPr>
              <w:jc w:val="right"/>
              <w:ind w:right="135"/>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L+700</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22,500,000</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22,491,671</w:t>
            </w:r>
          </w:p>
        </w:tc>
        <w:tc>
          <w:tcPr>
            <w:tcW w:w="2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22,500,000</w:t>
            </w:r>
          </w:p>
        </w:tc>
        <w:tc>
          <w:tcPr>
            <w:tcW w:w="0" w:type="dxa"/>
            <w:vAlign w:val="bottom"/>
          </w:tcPr>
          <w:p>
            <w:pPr>
              <w:spacing w:after="0"/>
              <w:rPr>
                <w:sz w:val="1"/>
                <w:szCs w:val="1"/>
                <w:color w:val="auto"/>
              </w:rPr>
            </w:pPr>
          </w:p>
        </w:tc>
      </w:tr>
      <w:tr>
        <w:trPr>
          <w:trHeight w:val="310"/>
        </w:trPr>
        <w:tc>
          <w:tcPr>
            <w:tcW w:w="580" w:type="dxa"/>
            <w:vAlign w:val="bottom"/>
          </w:tcPr>
          <w:p>
            <w:pPr>
              <w:jc w:val="right"/>
              <w:spacing w:after="0"/>
              <w:rPr>
                <w:sz w:val="20"/>
                <w:szCs w:val="20"/>
                <w:color w:val="auto"/>
              </w:rPr>
            </w:pPr>
            <w:r>
              <w:rPr>
                <w:rFonts w:ascii="Arial" w:cs="Arial" w:eastAsia="Arial" w:hAnsi="Arial"/>
                <w:sz w:val="14"/>
                <w:szCs w:val="14"/>
                <w:color w:val="auto"/>
              </w:rPr>
              <w:t>6.25%</w:t>
            </w:r>
          </w:p>
        </w:tc>
        <w:tc>
          <w:tcPr>
            <w:tcW w:w="320" w:type="dxa"/>
            <w:vAlign w:val="bottom"/>
          </w:tcPr>
          <w:p>
            <w:pPr>
              <w:jc w:val="right"/>
              <w:ind w:right="135"/>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L+600</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7,811,488</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7,399,220</w:t>
            </w:r>
          </w:p>
        </w:tc>
        <w:tc>
          <w:tcPr>
            <w:tcW w:w="2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7,293,977</w:t>
            </w:r>
          </w:p>
        </w:tc>
        <w:tc>
          <w:tcPr>
            <w:tcW w:w="0" w:type="dxa"/>
            <w:vAlign w:val="bottom"/>
          </w:tcPr>
          <w:p>
            <w:pPr>
              <w:spacing w:after="0"/>
              <w:rPr>
                <w:sz w:val="1"/>
                <w:szCs w:val="1"/>
                <w:color w:val="auto"/>
              </w:rPr>
            </w:pPr>
          </w:p>
        </w:tc>
      </w:tr>
      <w:tr>
        <w:trPr>
          <w:trHeight w:val="53"/>
        </w:trPr>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138,796,555</w:t>
            </w:r>
          </w:p>
        </w:tc>
        <w:tc>
          <w:tcPr>
            <w:tcW w:w="24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119,870,377</w:t>
            </w:r>
          </w:p>
        </w:tc>
        <w:tc>
          <w:tcPr>
            <w:tcW w:w="0" w:type="dxa"/>
            <w:vAlign w:val="bottom"/>
          </w:tcPr>
          <w:p>
            <w:pPr>
              <w:spacing w:after="0"/>
              <w:rPr>
                <w:sz w:val="1"/>
                <w:szCs w:val="1"/>
                <w:color w:val="auto"/>
              </w:rPr>
            </w:pPr>
          </w:p>
        </w:tc>
      </w:tr>
      <w:tr>
        <w:trPr>
          <w:trHeight w:val="39"/>
        </w:trPr>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4"/>
        </w:trPr>
        <w:tc>
          <w:tcPr>
            <w:tcW w:w="580" w:type="dxa"/>
            <w:vAlign w:val="bottom"/>
          </w:tcPr>
          <w:p>
            <w:pPr>
              <w:jc w:val="right"/>
              <w:spacing w:after="0"/>
              <w:rPr>
                <w:sz w:val="20"/>
                <w:szCs w:val="20"/>
                <w:color w:val="auto"/>
              </w:rPr>
            </w:pPr>
            <w:r>
              <w:rPr>
                <w:rFonts w:ascii="Arial" w:cs="Arial" w:eastAsia="Arial" w:hAnsi="Arial"/>
                <w:sz w:val="14"/>
                <w:szCs w:val="14"/>
                <w:color w:val="auto"/>
              </w:rPr>
              <w:t>11.63%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26,345,000</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26,391,650</w:t>
            </w:r>
          </w:p>
        </w:tc>
        <w:tc>
          <w:tcPr>
            <w:tcW w:w="2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26,345,000</w:t>
            </w:r>
          </w:p>
        </w:tc>
        <w:tc>
          <w:tcPr>
            <w:tcW w:w="0" w:type="dxa"/>
            <w:vAlign w:val="bottom"/>
          </w:tcPr>
          <w:p>
            <w:pPr>
              <w:spacing w:after="0"/>
              <w:rPr>
                <w:sz w:val="1"/>
                <w:szCs w:val="1"/>
                <w:color w:val="auto"/>
              </w:rPr>
            </w:pPr>
          </w:p>
        </w:tc>
      </w:tr>
      <w:tr>
        <w:trPr>
          <w:trHeight w:val="473"/>
        </w:trPr>
        <w:tc>
          <w:tcPr>
            <w:tcW w:w="580" w:type="dxa"/>
            <w:vAlign w:val="bottom"/>
          </w:tcPr>
          <w:p>
            <w:pPr>
              <w:jc w:val="right"/>
              <w:spacing w:after="0"/>
              <w:rPr>
                <w:sz w:val="20"/>
                <w:szCs w:val="20"/>
                <w:color w:val="auto"/>
              </w:rPr>
            </w:pPr>
            <w:r>
              <w:rPr>
                <w:rFonts w:ascii="Arial" w:cs="Arial" w:eastAsia="Arial" w:hAnsi="Arial"/>
                <w:sz w:val="14"/>
                <w:szCs w:val="14"/>
                <w:color w:val="auto"/>
              </w:rPr>
              <w:t>11.13%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18,885,000</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18,424,350</w:t>
            </w:r>
          </w:p>
        </w:tc>
        <w:tc>
          <w:tcPr>
            <w:tcW w:w="2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18,365,663</w:t>
            </w:r>
          </w:p>
        </w:tc>
        <w:tc>
          <w:tcPr>
            <w:tcW w:w="0" w:type="dxa"/>
            <w:vAlign w:val="bottom"/>
          </w:tcPr>
          <w:p>
            <w:pPr>
              <w:spacing w:after="0"/>
              <w:rPr>
                <w:sz w:val="1"/>
                <w:szCs w:val="1"/>
                <w:color w:val="auto"/>
              </w:rPr>
            </w:pPr>
          </w:p>
        </w:tc>
      </w:tr>
      <w:tr>
        <w:trPr>
          <w:trHeight w:val="500"/>
        </w:trPr>
        <w:tc>
          <w:tcPr>
            <w:tcW w:w="580" w:type="dxa"/>
            <w:vAlign w:val="bottom"/>
          </w:tcPr>
          <w:p>
            <w:pPr>
              <w:jc w:val="right"/>
              <w:spacing w:after="0"/>
              <w:rPr>
                <w:sz w:val="20"/>
                <w:szCs w:val="20"/>
                <w:color w:val="auto"/>
              </w:rPr>
            </w:pPr>
            <w:r>
              <w:rPr>
                <w:rFonts w:ascii="Arial" w:cs="Arial" w:eastAsia="Arial" w:hAnsi="Arial"/>
                <w:sz w:val="14"/>
                <w:szCs w:val="14"/>
                <w:color w:val="auto"/>
              </w:rPr>
              <w:t>14.25%</w:t>
            </w:r>
          </w:p>
        </w:tc>
        <w:tc>
          <w:tcPr>
            <w:tcW w:w="320" w:type="dxa"/>
            <w:vAlign w:val="bottom"/>
          </w:tcPr>
          <w:p>
            <w:pPr>
              <w:jc w:val="right"/>
              <w:ind w:right="135"/>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8,109,468</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7,991,436</w:t>
            </w:r>
          </w:p>
        </w:tc>
        <w:tc>
          <w:tcPr>
            <w:tcW w:w="2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8,190,563</w:t>
            </w:r>
          </w:p>
        </w:tc>
        <w:tc>
          <w:tcPr>
            <w:tcW w:w="0" w:type="dxa"/>
            <w:vAlign w:val="bottom"/>
          </w:tcPr>
          <w:p>
            <w:pPr>
              <w:spacing w:after="0"/>
              <w:rPr>
                <w:sz w:val="1"/>
                <w:szCs w:val="1"/>
                <w:color w:val="auto"/>
              </w:rPr>
            </w:pPr>
          </w:p>
        </w:tc>
      </w:tr>
      <w:tr>
        <w:trPr>
          <w:trHeight w:val="270"/>
        </w:trPr>
        <w:tc>
          <w:tcPr>
            <w:tcW w:w="580" w:type="dxa"/>
            <w:vAlign w:val="bottom"/>
          </w:tcPr>
          <w:p>
            <w:pPr>
              <w:jc w:val="right"/>
              <w:spacing w:after="0"/>
              <w:rPr>
                <w:sz w:val="20"/>
                <w:szCs w:val="20"/>
                <w:color w:val="auto"/>
              </w:rPr>
            </w:pPr>
            <w:r>
              <w:rPr>
                <w:rFonts w:ascii="Arial" w:cs="Arial" w:eastAsia="Arial" w:hAnsi="Arial"/>
                <w:sz w:val="14"/>
                <w:szCs w:val="14"/>
                <w:color w:val="auto"/>
              </w:rPr>
              <w:t>14.75%</w:t>
            </w:r>
          </w:p>
        </w:tc>
        <w:tc>
          <w:tcPr>
            <w:tcW w:w="320" w:type="dxa"/>
            <w:vAlign w:val="bottom"/>
          </w:tcPr>
          <w:p>
            <w:pPr>
              <w:jc w:val="right"/>
              <w:ind w:right="135"/>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24,388,743</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23,771,939</w:t>
            </w: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24,388,743</w:t>
            </w:r>
          </w:p>
        </w:tc>
        <w:tc>
          <w:tcPr>
            <w:tcW w:w="0" w:type="dxa"/>
            <w:vAlign w:val="bottom"/>
          </w:tcPr>
          <w:p>
            <w:pPr>
              <w:spacing w:after="0"/>
              <w:rPr>
                <w:sz w:val="1"/>
                <w:szCs w:val="1"/>
                <w:color w:val="auto"/>
              </w:rPr>
            </w:pPr>
          </w:p>
        </w:tc>
      </w:tr>
      <w:tr>
        <w:trPr>
          <w:trHeight w:val="270"/>
        </w:trPr>
        <w:tc>
          <w:tcPr>
            <w:tcW w:w="580" w:type="dxa"/>
            <w:vAlign w:val="bottom"/>
          </w:tcPr>
          <w:p>
            <w:pPr>
              <w:jc w:val="right"/>
              <w:spacing w:after="0"/>
              <w:rPr>
                <w:sz w:val="20"/>
                <w:szCs w:val="20"/>
                <w:color w:val="auto"/>
              </w:rPr>
            </w:pPr>
            <w:r>
              <w:rPr>
                <w:rFonts w:ascii="Arial" w:cs="Arial" w:eastAsia="Arial" w:hAnsi="Arial"/>
                <w:sz w:val="14"/>
                <w:szCs w:val="14"/>
                <w:color w:val="auto"/>
              </w:rPr>
              <w:t>14.50%</w:t>
            </w:r>
          </w:p>
        </w:tc>
        <w:tc>
          <w:tcPr>
            <w:tcW w:w="320" w:type="dxa"/>
            <w:vAlign w:val="bottom"/>
          </w:tcPr>
          <w:p>
            <w:pPr>
              <w:jc w:val="right"/>
              <w:ind w:right="135"/>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44,174,167</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43,090,630</w:t>
            </w: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44,174,167</w:t>
            </w:r>
          </w:p>
        </w:tc>
        <w:tc>
          <w:tcPr>
            <w:tcW w:w="0" w:type="dxa"/>
            <w:vAlign w:val="bottom"/>
          </w:tcPr>
          <w:p>
            <w:pPr>
              <w:spacing w:after="0"/>
              <w:rPr>
                <w:sz w:val="1"/>
                <w:szCs w:val="1"/>
                <w:color w:val="auto"/>
              </w:rPr>
            </w:pPr>
          </w:p>
        </w:tc>
      </w:tr>
      <w:tr>
        <w:trPr>
          <w:trHeight w:val="270"/>
        </w:trPr>
        <w:tc>
          <w:tcPr>
            <w:tcW w:w="580" w:type="dxa"/>
            <w:vAlign w:val="bottom"/>
          </w:tcPr>
          <w:p>
            <w:pPr>
              <w:jc w:val="right"/>
              <w:spacing w:after="0"/>
              <w:rPr>
                <w:sz w:val="20"/>
                <w:szCs w:val="20"/>
                <w:color w:val="auto"/>
              </w:rPr>
            </w:pPr>
            <w:r>
              <w:rPr>
                <w:rFonts w:ascii="Arial" w:cs="Arial" w:eastAsia="Arial" w:hAnsi="Arial"/>
                <w:sz w:val="14"/>
                <w:szCs w:val="14"/>
                <w:color w:val="auto"/>
              </w:rPr>
              <w:t>15.00%</w:t>
            </w:r>
          </w:p>
        </w:tc>
        <w:tc>
          <w:tcPr>
            <w:tcW w:w="320" w:type="dxa"/>
            <w:vAlign w:val="bottom"/>
          </w:tcPr>
          <w:p>
            <w:pPr>
              <w:jc w:val="right"/>
              <w:ind w:right="135"/>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4,566,982</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3,871,161</w:t>
            </w: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4,190,206</w:t>
            </w:r>
          </w:p>
        </w:tc>
        <w:tc>
          <w:tcPr>
            <w:tcW w:w="0" w:type="dxa"/>
            <w:vAlign w:val="bottom"/>
          </w:tcPr>
          <w:p>
            <w:pPr>
              <w:spacing w:after="0"/>
              <w:rPr>
                <w:sz w:val="1"/>
                <w:szCs w:val="1"/>
                <w:color w:val="auto"/>
              </w:rPr>
            </w:pPr>
          </w:p>
        </w:tc>
      </w:tr>
      <w:tr>
        <w:trPr>
          <w:trHeight w:val="243"/>
        </w:trPr>
        <w:tc>
          <w:tcPr>
            <w:tcW w:w="580" w:type="dxa"/>
            <w:vAlign w:val="bottom"/>
          </w:tcPr>
          <w:p>
            <w:pPr>
              <w:jc w:val="right"/>
              <w:spacing w:after="0"/>
              <w:rPr>
                <w:sz w:val="20"/>
                <w:szCs w:val="20"/>
                <w:color w:val="auto"/>
              </w:rPr>
            </w:pPr>
            <w:r>
              <w:rPr>
                <w:rFonts w:ascii="Arial" w:cs="Arial" w:eastAsia="Arial" w:hAnsi="Arial"/>
                <w:sz w:val="14"/>
                <w:szCs w:val="14"/>
                <w:color w:val="auto"/>
              </w:rPr>
              <w:t>14.50%</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15,000,000</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14,575,142</w:t>
            </w:r>
          </w:p>
        </w:tc>
        <w:tc>
          <w:tcPr>
            <w:tcW w:w="24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4"/>
                <w:szCs w:val="14"/>
                <w:color w:val="auto"/>
              </w:rPr>
              <w:t>13.00%</w:t>
            </w:r>
          </w:p>
        </w:tc>
        <w:tc>
          <w:tcPr>
            <w:tcW w:w="320" w:type="dxa"/>
            <w:vAlign w:val="bottom"/>
          </w:tcPr>
          <w:p>
            <w:pPr>
              <w:jc w:val="right"/>
              <w:ind w:right="135"/>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19,000,000</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18,480,575</w:t>
            </w:r>
          </w:p>
        </w:tc>
        <w:tc>
          <w:tcPr>
            <w:tcW w:w="2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19,522,500</w:t>
            </w:r>
          </w:p>
        </w:tc>
        <w:tc>
          <w:tcPr>
            <w:tcW w:w="0" w:type="dxa"/>
            <w:vAlign w:val="bottom"/>
          </w:tcPr>
          <w:p>
            <w:pPr>
              <w:spacing w:after="0"/>
              <w:rPr>
                <w:sz w:val="1"/>
                <w:szCs w:val="1"/>
                <w:color w:val="auto"/>
              </w:rPr>
            </w:pPr>
          </w:p>
        </w:tc>
      </w:tr>
      <w:tr>
        <w:trPr>
          <w:trHeight w:val="270"/>
        </w:trPr>
        <w:tc>
          <w:tcPr>
            <w:tcW w:w="580" w:type="dxa"/>
            <w:vAlign w:val="bottom"/>
          </w:tcPr>
          <w:p>
            <w:pPr>
              <w:jc w:val="right"/>
              <w:spacing w:after="0"/>
              <w:rPr>
                <w:sz w:val="20"/>
                <w:szCs w:val="20"/>
                <w:color w:val="auto"/>
              </w:rPr>
            </w:pPr>
            <w:r>
              <w:rPr>
                <w:rFonts w:ascii="Arial" w:cs="Arial" w:eastAsia="Arial" w:hAnsi="Arial"/>
                <w:sz w:val="14"/>
                <w:szCs w:val="14"/>
                <w:color w:val="auto"/>
              </w:rPr>
              <w:t>14.02%</w:t>
            </w:r>
          </w:p>
        </w:tc>
        <w:tc>
          <w:tcPr>
            <w:tcW w:w="320" w:type="dxa"/>
            <w:vAlign w:val="bottom"/>
          </w:tcPr>
          <w:p>
            <w:pPr>
              <w:jc w:val="right"/>
              <w:ind w:right="135"/>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16,785,000</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16,389,126</w:t>
            </w: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16,785,000</w:t>
            </w:r>
          </w:p>
        </w:tc>
        <w:tc>
          <w:tcPr>
            <w:tcW w:w="0" w:type="dxa"/>
            <w:vAlign w:val="bottom"/>
          </w:tcPr>
          <w:p>
            <w:pPr>
              <w:spacing w:after="0"/>
              <w:rPr>
                <w:sz w:val="1"/>
                <w:szCs w:val="1"/>
                <w:color w:val="auto"/>
              </w:rPr>
            </w:pPr>
          </w:p>
        </w:tc>
      </w:tr>
      <w:tr>
        <w:trPr>
          <w:trHeight w:val="310"/>
        </w:trPr>
        <w:tc>
          <w:tcPr>
            <w:tcW w:w="580" w:type="dxa"/>
            <w:vAlign w:val="bottom"/>
          </w:tcPr>
          <w:p>
            <w:pPr>
              <w:jc w:val="right"/>
              <w:spacing w:after="0"/>
              <w:rPr>
                <w:sz w:val="20"/>
                <w:szCs w:val="20"/>
                <w:color w:val="auto"/>
              </w:rPr>
            </w:pPr>
            <w:r>
              <w:rPr>
                <w:rFonts w:ascii="Arial" w:cs="Arial" w:eastAsia="Arial" w:hAnsi="Arial"/>
                <w:sz w:val="14"/>
                <w:szCs w:val="14"/>
                <w:color w:val="auto"/>
              </w:rPr>
              <w:t>13.50%</w:t>
            </w:r>
          </w:p>
        </w:tc>
        <w:tc>
          <w:tcPr>
            <w:tcW w:w="320" w:type="dxa"/>
            <w:vAlign w:val="bottom"/>
          </w:tcPr>
          <w:p>
            <w:pPr>
              <w:jc w:val="right"/>
              <w:ind w:right="135"/>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26,039,000</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25,520,831</w:t>
            </w:r>
          </w:p>
        </w:tc>
        <w:tc>
          <w:tcPr>
            <w:tcW w:w="2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25,518,220</w:t>
            </w:r>
          </w:p>
        </w:tc>
        <w:tc>
          <w:tcPr>
            <w:tcW w:w="0" w:type="dxa"/>
            <w:vAlign w:val="bottom"/>
          </w:tcPr>
          <w:p>
            <w:pPr>
              <w:spacing w:after="0"/>
              <w:rPr>
                <w:sz w:val="1"/>
                <w:szCs w:val="1"/>
                <w:color w:val="auto"/>
              </w:rPr>
            </w:pPr>
          </w:p>
        </w:tc>
      </w:tr>
      <w:tr>
        <w:trPr>
          <w:trHeight w:val="284"/>
        </w:trPr>
        <w:tc>
          <w:tcPr>
            <w:tcW w:w="580" w:type="dxa"/>
            <w:vAlign w:val="bottom"/>
          </w:tcPr>
          <w:p>
            <w:pPr>
              <w:jc w:val="right"/>
              <w:spacing w:after="0"/>
              <w:rPr>
                <w:sz w:val="20"/>
                <w:szCs w:val="20"/>
                <w:color w:val="auto"/>
              </w:rPr>
            </w:pPr>
            <w:r>
              <w:rPr>
                <w:rFonts w:ascii="Arial" w:cs="Arial" w:eastAsia="Arial" w:hAnsi="Arial"/>
                <w:sz w:val="14"/>
                <w:szCs w:val="14"/>
                <w:color w:val="auto"/>
              </w:rPr>
              <w:t>11.00%</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10,000,000</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9,138,488</w:t>
            </w:r>
          </w:p>
        </w:tc>
        <w:tc>
          <w:tcPr>
            <w:tcW w:w="2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10,500,000</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4"/>
                <w:szCs w:val="14"/>
                <w:color w:val="auto"/>
              </w:rPr>
              <w:t>15.00%</w:t>
            </w:r>
          </w:p>
        </w:tc>
        <w:tc>
          <w:tcPr>
            <w:tcW w:w="320" w:type="dxa"/>
            <w:vAlign w:val="bottom"/>
          </w:tcPr>
          <w:p>
            <w:pPr>
              <w:jc w:val="right"/>
              <w:ind w:right="135"/>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11,944,637</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11,603,723</w:t>
            </w:r>
          </w:p>
        </w:tc>
        <w:tc>
          <w:tcPr>
            <w:tcW w:w="2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11,896,858</w:t>
            </w:r>
          </w:p>
        </w:tc>
        <w:tc>
          <w:tcPr>
            <w:tcW w:w="0" w:type="dxa"/>
            <w:vAlign w:val="bottom"/>
          </w:tcPr>
          <w:p>
            <w:pPr>
              <w:spacing w:after="0"/>
              <w:rPr>
                <w:sz w:val="1"/>
                <w:szCs w:val="1"/>
                <w:color w:val="auto"/>
              </w:rPr>
            </w:pPr>
          </w:p>
        </w:tc>
      </w:tr>
      <w:tr>
        <w:trPr>
          <w:trHeight w:val="270"/>
        </w:trPr>
        <w:tc>
          <w:tcPr>
            <w:tcW w:w="580" w:type="dxa"/>
            <w:vAlign w:val="bottom"/>
          </w:tcPr>
          <w:p>
            <w:pPr>
              <w:jc w:val="right"/>
              <w:spacing w:after="0"/>
              <w:rPr>
                <w:sz w:val="20"/>
                <w:szCs w:val="20"/>
                <w:color w:val="auto"/>
              </w:rPr>
            </w:pPr>
            <w:r>
              <w:rPr>
                <w:rFonts w:ascii="Arial" w:cs="Arial" w:eastAsia="Arial" w:hAnsi="Arial"/>
                <w:sz w:val="14"/>
                <w:szCs w:val="14"/>
                <w:color w:val="auto"/>
              </w:rPr>
              <w:t>17.00%</w:t>
            </w:r>
          </w:p>
        </w:tc>
        <w:tc>
          <w:tcPr>
            <w:tcW w:w="320" w:type="dxa"/>
            <w:vAlign w:val="bottom"/>
          </w:tcPr>
          <w:p>
            <w:pPr>
              <w:jc w:val="right"/>
              <w:ind w:right="135"/>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25,084,554</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24,808,385</w:t>
            </w: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24,708,286</w:t>
            </w:r>
          </w:p>
        </w:tc>
        <w:tc>
          <w:tcPr>
            <w:tcW w:w="0" w:type="dxa"/>
            <w:vAlign w:val="bottom"/>
          </w:tcPr>
          <w:p>
            <w:pPr>
              <w:spacing w:after="0"/>
              <w:rPr>
                <w:sz w:val="1"/>
                <w:szCs w:val="1"/>
                <w:color w:val="auto"/>
              </w:rPr>
            </w:pPr>
          </w:p>
        </w:tc>
      </w:tr>
      <w:tr>
        <w:trPr>
          <w:trHeight w:val="270"/>
        </w:trPr>
        <w:tc>
          <w:tcPr>
            <w:tcW w:w="580" w:type="dxa"/>
            <w:vAlign w:val="bottom"/>
          </w:tcPr>
          <w:p>
            <w:pPr>
              <w:jc w:val="right"/>
              <w:spacing w:after="0"/>
              <w:rPr>
                <w:sz w:val="20"/>
                <w:szCs w:val="20"/>
                <w:color w:val="auto"/>
              </w:rPr>
            </w:pPr>
            <w:r>
              <w:rPr>
                <w:rFonts w:ascii="Arial" w:cs="Arial" w:eastAsia="Arial" w:hAnsi="Arial"/>
                <w:sz w:val="14"/>
                <w:szCs w:val="14"/>
                <w:color w:val="auto"/>
              </w:rPr>
              <w:t>14.00%</w:t>
            </w:r>
          </w:p>
        </w:tc>
        <w:tc>
          <w:tcPr>
            <w:tcW w:w="320" w:type="dxa"/>
            <w:vAlign w:val="bottom"/>
          </w:tcPr>
          <w:p>
            <w:pPr>
              <w:jc w:val="right"/>
              <w:ind w:right="135"/>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15,000,000</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14,673,029</w:t>
            </w: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243"/>
        </w:trPr>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12,000,000</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11,700,000</w:t>
            </w:r>
          </w:p>
        </w:tc>
        <w:tc>
          <w:tcPr>
            <w:tcW w:w="24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12,000,000</w:t>
            </w:r>
          </w:p>
        </w:tc>
        <w:tc>
          <w:tcPr>
            <w:tcW w:w="0" w:type="dxa"/>
            <w:vAlign w:val="bottom"/>
          </w:tcPr>
          <w:p>
            <w:pPr>
              <w:spacing w:after="0"/>
              <w:rPr>
                <w:sz w:val="1"/>
                <w:szCs w:val="1"/>
                <w:color w:val="auto"/>
              </w:rPr>
            </w:pPr>
          </w:p>
        </w:tc>
      </w:tr>
      <w:tr>
        <w:trPr>
          <w:trHeight w:val="282"/>
        </w:trPr>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270,430,465</w:t>
            </w:r>
          </w:p>
        </w:tc>
        <w:tc>
          <w:tcPr>
            <w:tcW w:w="24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276,585,206</w:t>
            </w:r>
          </w:p>
        </w:tc>
        <w:tc>
          <w:tcPr>
            <w:tcW w:w="0" w:type="dxa"/>
            <w:vAlign w:val="bottom"/>
          </w:tcPr>
          <w:p>
            <w:pPr>
              <w:spacing w:after="0"/>
              <w:rPr>
                <w:sz w:val="1"/>
                <w:szCs w:val="1"/>
                <w:color w:val="auto"/>
              </w:rPr>
            </w:pPr>
          </w:p>
        </w:tc>
      </w:tr>
      <w:tr>
        <w:trPr>
          <w:trHeight w:val="39"/>
        </w:trPr>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2800" w:space="220"/>
            <w:col w:w="2540" w:space="100"/>
            <w:col w:w="5360"/>
          </w:cols>
          <w:pgMar w:left="320" w:top="125"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SEE NOTES TO CONSOLIDATED FINANCIAL STATEMENTS</w:t>
      </w: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320" w:top="125" w:right="5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Basis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Points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2"/>
                <w:szCs w:val="12"/>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00" w:type="dxa"/>
            <w:vAlign w:val="bottom"/>
            <w:vMerge w:val="restart"/>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Above</w:t>
            </w:r>
          </w:p>
        </w:tc>
        <w:tc>
          <w:tcPr>
            <w:tcW w:w="120" w:type="dxa"/>
            <w:vAlign w:val="bottom"/>
          </w:tcPr>
          <w:p>
            <w:pPr>
              <w:spacing w:after="0"/>
              <w:rPr>
                <w:sz w:val="12"/>
                <w:szCs w:val="12"/>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Par/Shares</w:t>
            </w:r>
          </w:p>
        </w:tc>
        <w:tc>
          <w:tcPr>
            <w:tcW w:w="240" w:type="dxa"/>
            <w:vAlign w:val="bottom"/>
          </w:tcPr>
          <w:p>
            <w:pPr>
              <w:spacing w:after="0"/>
              <w:rPr>
                <w:sz w:val="12"/>
                <w:szCs w:val="12"/>
                <w:color w:val="auto"/>
              </w:rPr>
            </w:pP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2"/>
                <w:szCs w:val="12"/>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Coupon</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38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Preferred Equity Partnership Interests – 2.9%</w:t>
            </w:r>
            <w:r>
              <w:rPr>
                <w:rFonts w:ascii="Arial" w:cs="Arial" w:eastAsia="Arial" w:hAnsi="Arial"/>
                <w:sz w:val="12"/>
                <w:szCs w:val="12"/>
                <w:b w:val="1"/>
                <w:bCs w:val="1"/>
                <w:color w:val="auto"/>
              </w:rPr>
              <w:t>(7)</w:t>
            </w:r>
          </w:p>
        </w:tc>
        <w:tc>
          <w:tcPr>
            <w:tcW w:w="1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860" w:type="dxa"/>
            <w:vAlign w:val="bottom"/>
          </w:tcPr>
          <w:p>
            <w:pPr>
              <w:ind w:left="40"/>
              <w:spacing w:after="0" w:line="157" w:lineRule="exact"/>
              <w:rPr>
                <w:sz w:val="20"/>
                <w:szCs w:val="20"/>
                <w:color w:val="auto"/>
              </w:rPr>
            </w:pPr>
            <w:r>
              <w:rPr>
                <w:rFonts w:ascii="Arial" w:cs="Arial" w:eastAsia="Arial" w:hAnsi="Arial"/>
                <w:sz w:val="14"/>
                <w:szCs w:val="14"/>
                <w:color w:val="auto"/>
              </w:rPr>
              <w:t>AH Holdings, Inc. (American Surgical</w:t>
            </w:r>
          </w:p>
        </w:tc>
        <w:tc>
          <w:tcPr>
            <w:tcW w:w="9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98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2"/>
              </w:rPr>
              <w:t>Healthcare, Education and</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6.00%</w:t>
            </w:r>
          </w:p>
        </w:tc>
        <w:tc>
          <w:tcPr>
            <w:tcW w:w="120" w:type="dxa"/>
            <w:vAlign w:val="bottom"/>
          </w:tcPr>
          <w:p>
            <w:pPr>
              <w:spacing w:after="0"/>
              <w:rPr>
                <w:sz w:val="13"/>
                <w:szCs w:val="13"/>
                <w:color w:val="auto"/>
              </w:rPr>
            </w:pPr>
          </w:p>
        </w:tc>
        <w:tc>
          <w:tcPr>
            <w:tcW w:w="76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211</w:t>
            </w:r>
          </w:p>
        </w:tc>
        <w:tc>
          <w:tcPr>
            <w:tcW w:w="2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500,000</w:t>
            </w:r>
          </w:p>
        </w:tc>
        <w:tc>
          <w:tcPr>
            <w:tcW w:w="2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508,345</w:t>
            </w:r>
          </w:p>
        </w:tc>
        <w:tc>
          <w:tcPr>
            <w:tcW w:w="0" w:type="dxa"/>
            <w:vAlign w:val="bottom"/>
          </w:tcPr>
          <w:p>
            <w:pPr>
              <w:spacing w:after="0"/>
              <w:rPr>
                <w:sz w:val="1"/>
                <w:szCs w:val="1"/>
                <w:color w:val="auto"/>
              </w:rPr>
            </w:pPr>
          </w:p>
        </w:tc>
      </w:tr>
      <w:tr>
        <w:trPr>
          <w:trHeight w:val="188"/>
        </w:trPr>
        <w:tc>
          <w:tcPr>
            <w:tcW w:w="2860" w:type="dxa"/>
            <w:vAlign w:val="bottom"/>
          </w:tcPr>
          <w:p>
            <w:pPr>
              <w:ind w:left="40"/>
              <w:spacing w:after="0"/>
              <w:rPr>
                <w:sz w:val="20"/>
                <w:szCs w:val="20"/>
                <w:color w:val="auto"/>
              </w:rPr>
            </w:pPr>
            <w:r>
              <w:rPr>
                <w:rFonts w:ascii="Arial" w:cs="Arial" w:eastAsia="Arial" w:hAnsi="Arial"/>
                <w:sz w:val="14"/>
                <w:szCs w:val="14"/>
                <w:color w:val="auto"/>
              </w:rPr>
              <w:t>Holdings, Inc.)</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Childcare</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AHC Mezzanine, LLC (Advanstar Inc.)</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Other Media</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7,505</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318,896</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28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860" w:type="dxa"/>
            <w:vAlign w:val="bottom"/>
          </w:tcPr>
          <w:p>
            <w:pPr>
              <w:ind w:left="40"/>
              <w:spacing w:after="0" w:line="157" w:lineRule="exact"/>
              <w:rPr>
                <w:sz w:val="20"/>
                <w:szCs w:val="20"/>
                <w:color w:val="auto"/>
              </w:rPr>
            </w:pPr>
            <w:r>
              <w:rPr>
                <w:rFonts w:ascii="Arial" w:cs="Arial" w:eastAsia="Arial" w:hAnsi="Arial"/>
                <w:sz w:val="14"/>
                <w:szCs w:val="14"/>
                <w:color w:val="auto"/>
              </w:rPr>
              <w:t>CFHC Holdings, Inc., Class A (Consolidated</w:t>
            </w:r>
          </w:p>
        </w:tc>
        <w:tc>
          <w:tcPr>
            <w:tcW w:w="9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98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0"/>
              </w:rPr>
              <w:t>Aerospace and Defense</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12.00%</w:t>
            </w:r>
          </w:p>
        </w:tc>
        <w:tc>
          <w:tcPr>
            <w:tcW w:w="120" w:type="dxa"/>
            <w:vAlign w:val="bottom"/>
          </w:tcPr>
          <w:p>
            <w:pPr>
              <w:spacing w:after="0"/>
              <w:rPr>
                <w:sz w:val="13"/>
                <w:szCs w:val="13"/>
                <w:color w:val="auto"/>
              </w:rPr>
            </w:pPr>
          </w:p>
        </w:tc>
        <w:tc>
          <w:tcPr>
            <w:tcW w:w="76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909</w:t>
            </w:r>
          </w:p>
        </w:tc>
        <w:tc>
          <w:tcPr>
            <w:tcW w:w="240" w:type="dxa"/>
            <w:vAlign w:val="bottom"/>
          </w:tcPr>
          <w:p>
            <w:pPr>
              <w:spacing w:after="0"/>
              <w:rPr>
                <w:sz w:val="13"/>
                <w:szCs w:val="13"/>
                <w:color w:val="auto"/>
              </w:rPr>
            </w:pPr>
          </w:p>
        </w:tc>
        <w:tc>
          <w:tcPr>
            <w:tcW w:w="10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909,248</w:t>
            </w:r>
          </w:p>
        </w:tc>
        <w:tc>
          <w:tcPr>
            <w:tcW w:w="240" w:type="dxa"/>
            <w:vAlign w:val="bottom"/>
          </w:tcPr>
          <w:p>
            <w:pPr>
              <w:spacing w:after="0"/>
              <w:rPr>
                <w:sz w:val="13"/>
                <w:szCs w:val="13"/>
                <w:color w:val="auto"/>
              </w:rPr>
            </w:pPr>
          </w:p>
        </w:tc>
        <w:tc>
          <w:tcPr>
            <w:tcW w:w="11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1,289,388</w:t>
            </w:r>
          </w:p>
        </w:tc>
        <w:tc>
          <w:tcPr>
            <w:tcW w:w="0" w:type="dxa"/>
            <w:vAlign w:val="bottom"/>
          </w:tcPr>
          <w:p>
            <w:pPr>
              <w:spacing w:after="0"/>
              <w:rPr>
                <w:sz w:val="1"/>
                <w:szCs w:val="1"/>
                <w:color w:val="auto"/>
              </w:rPr>
            </w:pPr>
          </w:p>
        </w:tc>
      </w:tr>
      <w:tr>
        <w:trPr>
          <w:trHeight w:val="188"/>
        </w:trPr>
        <w:tc>
          <w:tcPr>
            <w:tcW w:w="2860" w:type="dxa"/>
            <w:vAlign w:val="bottom"/>
          </w:tcPr>
          <w:p>
            <w:pPr>
              <w:ind w:left="40"/>
              <w:spacing w:after="0"/>
              <w:rPr>
                <w:sz w:val="20"/>
                <w:szCs w:val="20"/>
                <w:color w:val="auto"/>
              </w:rPr>
            </w:pPr>
            <w:r>
              <w:rPr>
                <w:rFonts w:ascii="Arial" w:cs="Arial" w:eastAsia="Arial" w:hAnsi="Arial"/>
                <w:sz w:val="14"/>
                <w:szCs w:val="14"/>
                <w:color w:val="auto"/>
              </w:rPr>
              <w:t>Foundries, Inc.)</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i2 Holdings Ltd.</w:t>
            </w:r>
            <w:r>
              <w:rPr>
                <w:rFonts w:ascii="Arial" w:cs="Arial" w:eastAsia="Arial" w:hAnsi="Arial"/>
                <w:sz w:val="12"/>
                <w:szCs w:val="12"/>
                <w:color w:val="auto"/>
              </w:rPr>
              <w:t>(10)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Aerospace and Defense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4,137,240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4,137,240</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5,846,730</w:t>
            </w:r>
          </w:p>
        </w:tc>
        <w:tc>
          <w:tcPr>
            <w:tcW w:w="0" w:type="dxa"/>
            <w:vAlign w:val="bottom"/>
          </w:tcPr>
          <w:p>
            <w:pPr>
              <w:spacing w:after="0"/>
              <w:rPr>
                <w:sz w:val="1"/>
                <w:szCs w:val="1"/>
                <w:color w:val="auto"/>
              </w:rPr>
            </w:pPr>
          </w:p>
        </w:tc>
      </w:tr>
      <w:tr>
        <w:trPr>
          <w:trHeight w:val="135"/>
        </w:trPr>
        <w:tc>
          <w:tcPr>
            <w:tcW w:w="2860" w:type="dxa"/>
            <w:vAlign w:val="bottom"/>
            <w:vMerge w:val="continue"/>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60" w:type="dxa"/>
            <w:vAlign w:val="bottom"/>
          </w:tcPr>
          <w:p>
            <w:pPr>
              <w:ind w:left="40"/>
              <w:spacing w:after="0"/>
              <w:rPr>
                <w:sz w:val="20"/>
                <w:szCs w:val="20"/>
                <w:color w:val="auto"/>
              </w:rPr>
            </w:pPr>
            <w:r>
              <w:rPr>
                <w:rFonts w:ascii="Arial" w:cs="Arial" w:eastAsia="Arial" w:hAnsi="Arial"/>
                <w:sz w:val="14"/>
                <w:szCs w:val="14"/>
                <w:color w:val="auto"/>
              </w:rPr>
              <w:t>PAS Tech Holdings, Inc. Series A-1</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Aerospace and Defense</w:t>
            </w:r>
          </w:p>
        </w:tc>
        <w:tc>
          <w:tcPr>
            <w:tcW w:w="800" w:type="dxa"/>
            <w:vAlign w:val="bottom"/>
          </w:tcPr>
          <w:p>
            <w:pPr>
              <w:jc w:val="right"/>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16"/>
                <w:szCs w:val="16"/>
                <w:color w:val="auto"/>
              </w:rPr>
            </w:pP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20,000</w:t>
            </w:r>
          </w:p>
        </w:tc>
        <w:tc>
          <w:tcPr>
            <w:tcW w:w="24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1,980,000</w:t>
            </w:r>
          </w:p>
        </w:tc>
        <w:tc>
          <w:tcPr>
            <w:tcW w:w="24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2,080,208</w:t>
            </w:r>
          </w:p>
        </w:tc>
        <w:tc>
          <w:tcPr>
            <w:tcW w:w="0" w:type="dxa"/>
            <w:vAlign w:val="bottom"/>
          </w:tcPr>
          <w:p>
            <w:pPr>
              <w:spacing w:after="0"/>
              <w:rPr>
                <w:sz w:val="1"/>
                <w:szCs w:val="1"/>
                <w:color w:val="auto"/>
              </w:rPr>
            </w:pPr>
          </w:p>
        </w:tc>
      </w:tr>
      <w:tr>
        <w:trPr>
          <w:trHeight w:val="80"/>
        </w:trPr>
        <w:tc>
          <w:tcPr>
            <w:tcW w:w="2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TZ Holdings, L.P., Series A (Trizetto Group,</w:t>
            </w:r>
          </w:p>
        </w:tc>
        <w:tc>
          <w:tcPr>
            <w:tcW w:w="96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98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w w:val="91"/>
              </w:rPr>
              <w:t>Insurance</w:t>
            </w:r>
          </w:p>
        </w:tc>
        <w:tc>
          <w:tcPr>
            <w:tcW w:w="92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686</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685,820</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860" w:type="dxa"/>
            <w:vAlign w:val="bottom"/>
          </w:tcPr>
          <w:p>
            <w:pPr>
              <w:ind w:left="40"/>
              <w:spacing w:after="0" w:line="157" w:lineRule="exact"/>
              <w:rPr>
                <w:sz w:val="20"/>
                <w:szCs w:val="20"/>
                <w:color w:val="auto"/>
              </w:rPr>
            </w:pPr>
            <w:r>
              <w:rPr>
                <w:rFonts w:ascii="Arial" w:cs="Arial" w:eastAsia="Arial" w:hAnsi="Arial"/>
                <w:sz w:val="14"/>
                <w:szCs w:val="14"/>
                <w:color w:val="auto"/>
              </w:rPr>
              <w:t>TZ Holdings, L.P., Series B (Trizetto Group,</w:t>
            </w:r>
          </w:p>
        </w:tc>
        <w:tc>
          <w:tcPr>
            <w:tcW w:w="9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98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1"/>
              </w:rPr>
              <w:t>Insurance</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6.50%</w:t>
            </w:r>
          </w:p>
        </w:tc>
        <w:tc>
          <w:tcPr>
            <w:tcW w:w="120" w:type="dxa"/>
            <w:vAlign w:val="bottom"/>
          </w:tcPr>
          <w:p>
            <w:pPr>
              <w:spacing w:after="0"/>
              <w:rPr>
                <w:sz w:val="13"/>
                <w:szCs w:val="13"/>
                <w:color w:val="auto"/>
              </w:rPr>
            </w:pPr>
          </w:p>
        </w:tc>
        <w:tc>
          <w:tcPr>
            <w:tcW w:w="76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1,312</w:t>
            </w:r>
          </w:p>
        </w:tc>
        <w:tc>
          <w:tcPr>
            <w:tcW w:w="240" w:type="dxa"/>
            <w:vAlign w:val="bottom"/>
          </w:tcPr>
          <w:p>
            <w:pPr>
              <w:spacing w:after="0"/>
              <w:rPr>
                <w:sz w:val="13"/>
                <w:szCs w:val="13"/>
                <w:color w:val="auto"/>
              </w:rPr>
            </w:pPr>
          </w:p>
        </w:tc>
        <w:tc>
          <w:tcPr>
            <w:tcW w:w="10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1,312,006</w:t>
            </w:r>
          </w:p>
        </w:tc>
        <w:tc>
          <w:tcPr>
            <w:tcW w:w="240" w:type="dxa"/>
            <w:vAlign w:val="bottom"/>
          </w:tcPr>
          <w:p>
            <w:pPr>
              <w:spacing w:after="0"/>
              <w:rPr>
                <w:sz w:val="13"/>
                <w:szCs w:val="13"/>
                <w:color w:val="auto"/>
              </w:rPr>
            </w:pPr>
          </w:p>
        </w:tc>
        <w:tc>
          <w:tcPr>
            <w:tcW w:w="11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1,559,670</w:t>
            </w:r>
          </w:p>
        </w:tc>
        <w:tc>
          <w:tcPr>
            <w:tcW w:w="0" w:type="dxa"/>
            <w:vAlign w:val="bottom"/>
          </w:tcPr>
          <w:p>
            <w:pPr>
              <w:spacing w:after="0"/>
              <w:rPr>
                <w:sz w:val="1"/>
                <w:szCs w:val="1"/>
                <w:color w:val="auto"/>
              </w:rPr>
            </w:pPr>
          </w:p>
        </w:tc>
      </w:tr>
      <w:tr>
        <w:trPr>
          <w:trHeight w:val="188"/>
        </w:trPr>
        <w:tc>
          <w:tcPr>
            <w:tcW w:w="2860" w:type="dxa"/>
            <w:vAlign w:val="bottom"/>
          </w:tcPr>
          <w:p>
            <w:pPr>
              <w:ind w:left="40"/>
              <w:spacing w:after="0"/>
              <w:rPr>
                <w:sz w:val="20"/>
                <w:szCs w:val="20"/>
                <w:color w:val="auto"/>
              </w:rPr>
            </w:pPr>
            <w:r>
              <w:rPr>
                <w:rFonts w:ascii="Arial" w:cs="Arial" w:eastAsia="Arial" w:hAnsi="Arial"/>
                <w:sz w:val="14"/>
                <w:szCs w:val="14"/>
                <w:color w:val="auto"/>
              </w:rPr>
              <w:t>Inc.)</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Universal Pegasus International, Inc. (UP</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Oil and Gas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101,175</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2,738,050</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818,326</w:t>
            </w: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Support Services, Inc.)</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tcPr>
          <w:p>
            <w:pPr>
              <w:ind w:left="40"/>
              <w:spacing w:after="0"/>
              <w:rPr>
                <w:sz w:val="20"/>
                <w:szCs w:val="20"/>
                <w:color w:val="auto"/>
              </w:rPr>
            </w:pPr>
            <w:r>
              <w:rPr>
                <w:rFonts w:ascii="Arial" w:cs="Arial" w:eastAsia="Arial" w:hAnsi="Arial"/>
                <w:sz w:val="14"/>
                <w:szCs w:val="14"/>
                <w:color w:val="auto"/>
              </w:rPr>
              <w:t>Verde Parent Holdings, Inc. (VPSI, Inc.)</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Personal Transportation</w:t>
            </w:r>
          </w:p>
        </w:tc>
        <w:tc>
          <w:tcPr>
            <w:tcW w:w="800" w:type="dxa"/>
            <w:vAlign w:val="bottom"/>
          </w:tcPr>
          <w:p>
            <w:pPr>
              <w:jc w:val="right"/>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16"/>
                <w:szCs w:val="16"/>
                <w:color w:val="auto"/>
              </w:rPr>
            </w:pP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1,824,167</w:t>
            </w:r>
          </w:p>
        </w:tc>
        <w:tc>
          <w:tcPr>
            <w:tcW w:w="24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1,824,167</w:t>
            </w:r>
          </w:p>
        </w:tc>
        <w:tc>
          <w:tcPr>
            <w:tcW w:w="24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1,849,365</w:t>
            </w:r>
          </w:p>
        </w:tc>
        <w:tc>
          <w:tcPr>
            <w:tcW w:w="0" w:type="dxa"/>
            <w:vAlign w:val="bottom"/>
          </w:tcPr>
          <w:p>
            <w:pPr>
              <w:spacing w:after="0"/>
              <w:rPr>
                <w:sz w:val="1"/>
                <w:szCs w:val="1"/>
                <w:color w:val="auto"/>
              </w:rPr>
            </w:pPr>
          </w:p>
        </w:tc>
      </w:tr>
      <w:tr>
        <w:trPr>
          <w:trHeight w:val="80"/>
        </w:trPr>
        <w:tc>
          <w:tcPr>
            <w:tcW w:w="2860" w:type="dxa"/>
            <w:vAlign w:val="bottom"/>
            <w:tcBorders>
              <w:bottom w:val="single" w:sz="8" w:color="CCEEFF"/>
            </w:tcBorders>
          </w:tcPr>
          <w:p>
            <w:pPr>
              <w:spacing w:after="0"/>
              <w:rPr>
                <w:sz w:val="6"/>
                <w:szCs w:val="6"/>
                <w:color w:val="auto"/>
              </w:rPr>
            </w:pPr>
          </w:p>
        </w:tc>
        <w:tc>
          <w:tcPr>
            <w:tcW w:w="8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6"/>
              </w:rPr>
              <w:t>Total Preferred Equity/Partnership Interests</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14,405,427</w:t>
            </w:r>
          </w:p>
        </w:tc>
        <w:tc>
          <w:tcPr>
            <w:tcW w:w="2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14,637,852</w:t>
            </w:r>
          </w:p>
        </w:tc>
        <w:tc>
          <w:tcPr>
            <w:tcW w:w="0" w:type="dxa"/>
            <w:vAlign w:val="bottom"/>
          </w:tcPr>
          <w:p>
            <w:pPr>
              <w:spacing w:after="0"/>
              <w:rPr>
                <w:sz w:val="1"/>
                <w:szCs w:val="1"/>
                <w:color w:val="auto"/>
              </w:rPr>
            </w:pPr>
          </w:p>
        </w:tc>
      </w:tr>
      <w:tr>
        <w:trPr>
          <w:trHeight w:val="85"/>
        </w:trPr>
        <w:tc>
          <w:tcPr>
            <w:tcW w:w="28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382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Common Equity/ Warrants/Partnership Interests – 10.1 %</w:t>
            </w:r>
            <w:r>
              <w:rPr>
                <w:rFonts w:ascii="Arial" w:cs="Arial" w:eastAsia="Arial" w:hAnsi="Arial"/>
                <w:sz w:val="12"/>
                <w:szCs w:val="12"/>
                <w:b w:val="1"/>
                <w:bCs w:val="1"/>
                <w:color w:val="auto"/>
                <w:w w:val="95"/>
              </w:rPr>
              <w:t>(7)</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AH Holdings, Inc. (Warrants) (American</w:t>
            </w:r>
          </w:p>
        </w:tc>
        <w:tc>
          <w:tcPr>
            <w:tcW w:w="8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03/23/2021</w:t>
            </w:r>
          </w:p>
        </w:tc>
        <w:tc>
          <w:tcPr>
            <w:tcW w:w="12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w w:val="92"/>
              </w:rPr>
              <w:t>Healthcare, Education and</w:t>
            </w:r>
          </w:p>
        </w:tc>
        <w:tc>
          <w:tcPr>
            <w:tcW w:w="92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753</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Surgical Holdings, Inc.)</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Childcare</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860" w:type="dxa"/>
            <w:vAlign w:val="bottom"/>
          </w:tcPr>
          <w:p>
            <w:pPr>
              <w:ind w:left="40"/>
              <w:spacing w:after="0" w:line="157" w:lineRule="exact"/>
              <w:rPr>
                <w:sz w:val="20"/>
                <w:szCs w:val="20"/>
                <w:color w:val="auto"/>
              </w:rPr>
            </w:pPr>
            <w:r>
              <w:rPr>
                <w:rFonts w:ascii="Arial" w:cs="Arial" w:eastAsia="Arial" w:hAnsi="Arial"/>
                <w:sz w:val="14"/>
                <w:szCs w:val="14"/>
                <w:color w:val="auto"/>
              </w:rPr>
              <w:t>CEA Autumn Management, L.L.C.</w:t>
            </w:r>
          </w:p>
        </w:tc>
        <w:tc>
          <w:tcPr>
            <w:tcW w:w="9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98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1"/>
              </w:rPr>
              <w:t>Broadcasting and</w:t>
            </w:r>
          </w:p>
        </w:tc>
        <w:tc>
          <w:tcPr>
            <w:tcW w:w="92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76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1,333</w:t>
            </w:r>
          </w:p>
        </w:tc>
        <w:tc>
          <w:tcPr>
            <w:tcW w:w="240" w:type="dxa"/>
            <w:vAlign w:val="bottom"/>
          </w:tcPr>
          <w:p>
            <w:pPr>
              <w:spacing w:after="0"/>
              <w:rPr>
                <w:sz w:val="13"/>
                <w:szCs w:val="13"/>
                <w:color w:val="auto"/>
              </w:rPr>
            </w:pPr>
          </w:p>
        </w:tc>
        <w:tc>
          <w:tcPr>
            <w:tcW w:w="10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3"/>
                <w:szCs w:val="13"/>
                <w:color w:val="auto"/>
              </w:rPr>
            </w:pPr>
          </w:p>
        </w:tc>
        <w:tc>
          <w:tcPr>
            <w:tcW w:w="11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Entertainment</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CFHC Holdings, Inc. (Consolidated</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Aerospace and Defense</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1,856</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18,556</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652,519</w:t>
            </w: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Foundries, Inc.)</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860" w:type="dxa"/>
            <w:vAlign w:val="bottom"/>
          </w:tcPr>
          <w:p>
            <w:pPr>
              <w:ind w:left="40"/>
              <w:spacing w:after="0" w:line="157" w:lineRule="exact"/>
              <w:rPr>
                <w:sz w:val="20"/>
                <w:szCs w:val="20"/>
                <w:color w:val="auto"/>
              </w:rPr>
            </w:pPr>
            <w:r>
              <w:rPr>
                <w:rFonts w:ascii="Arial" w:cs="Arial" w:eastAsia="Arial" w:hAnsi="Arial"/>
                <w:sz w:val="14"/>
                <w:szCs w:val="14"/>
                <w:color w:val="auto"/>
              </w:rPr>
              <w:t>CT Technologies Holdings, LLC (CT</w:t>
            </w:r>
          </w:p>
        </w:tc>
        <w:tc>
          <w:tcPr>
            <w:tcW w:w="9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98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0"/>
              </w:rPr>
              <w:t>Business Services</w:t>
            </w:r>
          </w:p>
        </w:tc>
        <w:tc>
          <w:tcPr>
            <w:tcW w:w="92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76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5,556</w:t>
            </w:r>
          </w:p>
        </w:tc>
        <w:tc>
          <w:tcPr>
            <w:tcW w:w="240" w:type="dxa"/>
            <w:vAlign w:val="bottom"/>
          </w:tcPr>
          <w:p>
            <w:pPr>
              <w:spacing w:after="0"/>
              <w:rPr>
                <w:sz w:val="13"/>
                <w:szCs w:val="13"/>
                <w:color w:val="auto"/>
              </w:rPr>
            </w:pPr>
          </w:p>
        </w:tc>
        <w:tc>
          <w:tcPr>
            <w:tcW w:w="10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2,277,210</w:t>
            </w:r>
          </w:p>
        </w:tc>
        <w:tc>
          <w:tcPr>
            <w:tcW w:w="240" w:type="dxa"/>
            <w:vAlign w:val="bottom"/>
          </w:tcPr>
          <w:p>
            <w:pPr>
              <w:spacing w:after="0"/>
              <w:rPr>
                <w:sz w:val="13"/>
                <w:szCs w:val="13"/>
                <w:color w:val="auto"/>
              </w:rPr>
            </w:pPr>
          </w:p>
        </w:tc>
        <w:tc>
          <w:tcPr>
            <w:tcW w:w="11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8,528,499</w:t>
            </w:r>
          </w:p>
        </w:tc>
        <w:tc>
          <w:tcPr>
            <w:tcW w:w="0" w:type="dxa"/>
            <w:vAlign w:val="bottom"/>
          </w:tcPr>
          <w:p>
            <w:pPr>
              <w:spacing w:after="0"/>
              <w:rPr>
                <w:sz w:val="1"/>
                <w:szCs w:val="1"/>
                <w:color w:val="auto"/>
              </w:rPr>
            </w:pPr>
          </w:p>
        </w:tc>
      </w:tr>
      <w:tr>
        <w:trPr>
          <w:trHeight w:val="188"/>
        </w:trPr>
        <w:tc>
          <w:tcPr>
            <w:tcW w:w="2860" w:type="dxa"/>
            <w:vAlign w:val="bottom"/>
          </w:tcPr>
          <w:p>
            <w:pPr>
              <w:ind w:left="40"/>
              <w:spacing w:after="0"/>
              <w:rPr>
                <w:sz w:val="20"/>
                <w:szCs w:val="20"/>
                <w:color w:val="auto"/>
              </w:rPr>
            </w:pPr>
            <w:r>
              <w:rPr>
                <w:rFonts w:ascii="Arial" w:cs="Arial" w:eastAsia="Arial" w:hAnsi="Arial"/>
                <w:sz w:val="14"/>
                <w:szCs w:val="14"/>
                <w:color w:val="auto"/>
              </w:rPr>
              <w:t>Technologies Intermediate Holdings, Inc.)</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DirectBuy Investors L.P. (DirectBuy</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Consumer Products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30,000</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1,350,000</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978,000</w:t>
            </w: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Holdings, Inc.)</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tcPr>
          <w:p>
            <w:pPr>
              <w:ind w:left="40"/>
              <w:spacing w:after="0"/>
              <w:rPr>
                <w:sz w:val="20"/>
                <w:szCs w:val="20"/>
                <w:color w:val="auto"/>
              </w:rPr>
            </w:pPr>
            <w:r>
              <w:rPr>
                <w:rFonts w:ascii="Arial" w:cs="Arial" w:eastAsia="Arial" w:hAnsi="Arial"/>
                <w:sz w:val="14"/>
                <w:szCs w:val="14"/>
                <w:color w:val="auto"/>
              </w:rPr>
              <w:t>EnviroSolutions, Inc.</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Environmental Services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24,375</w:t>
            </w:r>
          </w:p>
        </w:tc>
        <w:tc>
          <w:tcPr>
            <w:tcW w:w="24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1,506,075</w:t>
            </w:r>
          </w:p>
        </w:tc>
        <w:tc>
          <w:tcPr>
            <w:tcW w:w="24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3,760,262</w:t>
            </w:r>
          </w:p>
        </w:tc>
        <w:tc>
          <w:tcPr>
            <w:tcW w:w="0" w:type="dxa"/>
            <w:vAlign w:val="bottom"/>
          </w:tcPr>
          <w:p>
            <w:pPr>
              <w:spacing w:after="0"/>
              <w:rPr>
                <w:sz w:val="1"/>
                <w:szCs w:val="1"/>
                <w:color w:val="auto"/>
              </w:rPr>
            </w:pPr>
          </w:p>
        </w:tc>
      </w:tr>
      <w:tr>
        <w:trPr>
          <w:trHeight w:val="80"/>
        </w:trPr>
        <w:tc>
          <w:tcPr>
            <w:tcW w:w="2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EnviroSolutions, Inc. (Warrants)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Environmental Services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49,005</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3,027,906</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7,559,372</w:t>
            </w:r>
          </w:p>
        </w:tc>
        <w:tc>
          <w:tcPr>
            <w:tcW w:w="0" w:type="dxa"/>
            <w:vAlign w:val="bottom"/>
          </w:tcPr>
          <w:p>
            <w:pPr>
              <w:spacing w:after="0"/>
              <w:rPr>
                <w:sz w:val="1"/>
                <w:szCs w:val="1"/>
                <w:color w:val="auto"/>
              </w:rPr>
            </w:pPr>
          </w:p>
        </w:tc>
      </w:tr>
      <w:tr>
        <w:trPr>
          <w:trHeight w:val="79"/>
        </w:trPr>
        <w:tc>
          <w:tcPr>
            <w:tcW w:w="28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860" w:type="dxa"/>
            <w:vAlign w:val="bottom"/>
            <w:vMerge w:val="restart"/>
          </w:tcPr>
          <w:p>
            <w:pPr>
              <w:ind w:left="40"/>
              <w:spacing w:after="0"/>
              <w:rPr>
                <w:sz w:val="20"/>
                <w:szCs w:val="20"/>
                <w:color w:val="auto"/>
              </w:rPr>
            </w:pPr>
            <w:r>
              <w:rPr>
                <w:rFonts w:ascii="Arial" w:cs="Arial" w:eastAsia="Arial" w:hAnsi="Arial"/>
                <w:sz w:val="14"/>
                <w:szCs w:val="14"/>
                <w:color w:val="auto"/>
              </w:rPr>
              <w:t xml:space="preserve">i2 Holdings Ltd. </w:t>
            </w:r>
            <w:r>
              <w:rPr>
                <w:rFonts w:ascii="Arial" w:cs="Arial" w:eastAsia="Arial" w:hAnsi="Arial"/>
                <w:sz w:val="12"/>
                <w:szCs w:val="12"/>
                <w:color w:val="auto"/>
              </w:rPr>
              <w:t>(10)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Aerospace and Defense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457,322</w:t>
            </w:r>
          </w:p>
        </w:tc>
        <w:tc>
          <w:tcPr>
            <w:tcW w:w="24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454,030</w:t>
            </w:r>
          </w:p>
        </w:tc>
        <w:tc>
          <w:tcPr>
            <w:tcW w:w="24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946,295</w:t>
            </w:r>
          </w:p>
        </w:tc>
        <w:tc>
          <w:tcPr>
            <w:tcW w:w="0" w:type="dxa"/>
            <w:vAlign w:val="bottom"/>
          </w:tcPr>
          <w:p>
            <w:pPr>
              <w:spacing w:after="0"/>
              <w:rPr>
                <w:sz w:val="1"/>
                <w:szCs w:val="1"/>
                <w:color w:val="auto"/>
              </w:rPr>
            </w:pPr>
          </w:p>
        </w:tc>
      </w:tr>
      <w:tr>
        <w:trPr>
          <w:trHeight w:val="135"/>
        </w:trPr>
        <w:tc>
          <w:tcPr>
            <w:tcW w:w="286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Kadmon Holdings, L.L.C., Class A (Three</w:t>
            </w:r>
          </w:p>
        </w:tc>
        <w:tc>
          <w:tcPr>
            <w:tcW w:w="96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98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w w:val="92"/>
              </w:rPr>
              <w:t>Healthcare, Education and</w:t>
            </w:r>
          </w:p>
        </w:tc>
        <w:tc>
          <w:tcPr>
            <w:tcW w:w="92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10,799</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1,236,832</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1,611,458</w:t>
            </w: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Rivers Pharmaceutical, L.L.C.)</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Childcare</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860" w:type="dxa"/>
            <w:vAlign w:val="bottom"/>
          </w:tcPr>
          <w:p>
            <w:pPr>
              <w:ind w:left="40"/>
              <w:spacing w:after="0" w:line="157" w:lineRule="exact"/>
              <w:rPr>
                <w:sz w:val="20"/>
                <w:szCs w:val="20"/>
                <w:color w:val="auto"/>
              </w:rPr>
            </w:pPr>
            <w:r>
              <w:rPr>
                <w:rFonts w:ascii="Arial" w:cs="Arial" w:eastAsia="Arial" w:hAnsi="Arial"/>
                <w:sz w:val="14"/>
                <w:szCs w:val="14"/>
                <w:color w:val="auto"/>
              </w:rPr>
              <w:t>Kadmon Holdings, L.L.C., Class D (Three</w:t>
            </w:r>
          </w:p>
        </w:tc>
        <w:tc>
          <w:tcPr>
            <w:tcW w:w="9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98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2"/>
              </w:rPr>
              <w:t>Healthcare, Education and</w:t>
            </w:r>
          </w:p>
        </w:tc>
        <w:tc>
          <w:tcPr>
            <w:tcW w:w="92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76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10,799</w:t>
            </w:r>
          </w:p>
        </w:tc>
        <w:tc>
          <w:tcPr>
            <w:tcW w:w="240" w:type="dxa"/>
            <w:vAlign w:val="bottom"/>
          </w:tcPr>
          <w:p>
            <w:pPr>
              <w:spacing w:after="0"/>
              <w:rPr>
                <w:sz w:val="13"/>
                <w:szCs w:val="13"/>
                <w:color w:val="auto"/>
              </w:rPr>
            </w:pPr>
          </w:p>
        </w:tc>
        <w:tc>
          <w:tcPr>
            <w:tcW w:w="10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1,028,807</w:t>
            </w:r>
          </w:p>
        </w:tc>
        <w:tc>
          <w:tcPr>
            <w:tcW w:w="240" w:type="dxa"/>
            <w:vAlign w:val="bottom"/>
          </w:tcPr>
          <w:p>
            <w:pPr>
              <w:spacing w:after="0"/>
              <w:rPr>
                <w:sz w:val="13"/>
                <w:szCs w:val="13"/>
                <w:color w:val="auto"/>
              </w:rPr>
            </w:pPr>
          </w:p>
        </w:tc>
        <w:tc>
          <w:tcPr>
            <w:tcW w:w="11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88"/>
        </w:trPr>
        <w:tc>
          <w:tcPr>
            <w:tcW w:w="2860" w:type="dxa"/>
            <w:vAlign w:val="bottom"/>
          </w:tcPr>
          <w:p>
            <w:pPr>
              <w:ind w:left="40"/>
              <w:spacing w:after="0"/>
              <w:rPr>
                <w:sz w:val="20"/>
                <w:szCs w:val="20"/>
                <w:color w:val="auto"/>
              </w:rPr>
            </w:pPr>
            <w:r>
              <w:rPr>
                <w:rFonts w:ascii="Arial" w:cs="Arial" w:eastAsia="Arial" w:hAnsi="Arial"/>
                <w:sz w:val="14"/>
                <w:szCs w:val="14"/>
                <w:color w:val="auto"/>
              </w:rPr>
              <w:t>Rivers Pharmaceutical, L.L.C.)</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Childcare</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Learning Care Group (US) Inc. (Warrants )</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04/27/2020</w:t>
            </w:r>
          </w:p>
        </w:tc>
        <w:tc>
          <w:tcPr>
            <w:tcW w:w="12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Education</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1,267</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779,920</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320,888</w:t>
            </w:r>
          </w:p>
        </w:tc>
        <w:tc>
          <w:tcPr>
            <w:tcW w:w="0" w:type="dxa"/>
            <w:vAlign w:val="bottom"/>
          </w:tcPr>
          <w:p>
            <w:pPr>
              <w:spacing w:after="0"/>
              <w:rPr>
                <w:sz w:val="1"/>
                <w:szCs w:val="1"/>
                <w:color w:val="auto"/>
              </w:rPr>
            </w:pPr>
          </w:p>
        </w:tc>
      </w:tr>
      <w:tr>
        <w:trPr>
          <w:trHeight w:val="80"/>
        </w:trPr>
        <w:tc>
          <w:tcPr>
            <w:tcW w:w="28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860" w:type="dxa"/>
            <w:vAlign w:val="bottom"/>
          </w:tcPr>
          <w:p>
            <w:pPr>
              <w:ind w:left="40"/>
              <w:spacing w:after="0"/>
              <w:rPr>
                <w:sz w:val="20"/>
                <w:szCs w:val="20"/>
                <w:color w:val="auto"/>
              </w:rPr>
            </w:pPr>
            <w:r>
              <w:rPr>
                <w:rFonts w:ascii="Arial" w:cs="Arial" w:eastAsia="Arial" w:hAnsi="Arial"/>
                <w:sz w:val="14"/>
                <w:szCs w:val="14"/>
                <w:color w:val="auto"/>
              </w:rPr>
              <w:t>Magnum Hunter Resources Corporation</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Oil and Gas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1,055,932</w:t>
            </w:r>
          </w:p>
        </w:tc>
        <w:tc>
          <w:tcPr>
            <w:tcW w:w="24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2,464,999</w:t>
            </w:r>
          </w:p>
        </w:tc>
        <w:tc>
          <w:tcPr>
            <w:tcW w:w="24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7,138,100</w:t>
            </w:r>
          </w:p>
        </w:tc>
        <w:tc>
          <w:tcPr>
            <w:tcW w:w="0" w:type="dxa"/>
            <w:vAlign w:val="bottom"/>
          </w:tcPr>
          <w:p>
            <w:pPr>
              <w:spacing w:after="0"/>
              <w:rPr>
                <w:sz w:val="1"/>
                <w:szCs w:val="1"/>
                <w:color w:val="auto"/>
              </w:rPr>
            </w:pPr>
          </w:p>
        </w:tc>
      </w:tr>
      <w:tr>
        <w:trPr>
          <w:trHeight w:val="80"/>
        </w:trPr>
        <w:tc>
          <w:tcPr>
            <w:tcW w:w="2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PAS Tech Holdings, Inc.</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Aerospace and Defense</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20,000</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345,131</w:t>
            </w:r>
          </w:p>
        </w:tc>
        <w:tc>
          <w:tcPr>
            <w:tcW w:w="0" w:type="dxa"/>
            <w:vAlign w:val="bottom"/>
          </w:tcPr>
          <w:p>
            <w:pPr>
              <w:spacing w:after="0"/>
              <w:rPr>
                <w:sz w:val="1"/>
                <w:szCs w:val="1"/>
                <w:color w:val="auto"/>
              </w:rPr>
            </w:pPr>
          </w:p>
        </w:tc>
      </w:tr>
      <w:tr>
        <w:trPr>
          <w:trHeight w:val="80"/>
        </w:trPr>
        <w:tc>
          <w:tcPr>
            <w:tcW w:w="28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860" w:type="dxa"/>
            <w:vAlign w:val="bottom"/>
          </w:tcPr>
          <w:p>
            <w:pPr>
              <w:ind w:left="40"/>
              <w:spacing w:after="0" w:line="157" w:lineRule="exact"/>
              <w:rPr>
                <w:sz w:val="20"/>
                <w:szCs w:val="20"/>
                <w:color w:val="auto"/>
              </w:rPr>
            </w:pPr>
            <w:r>
              <w:rPr>
                <w:rFonts w:ascii="Arial" w:cs="Arial" w:eastAsia="Arial" w:hAnsi="Arial"/>
                <w:sz w:val="14"/>
                <w:szCs w:val="14"/>
                <w:color w:val="auto"/>
              </w:rPr>
              <w:t>QMG HoldCo, LLC, Class A (Questex Media</w:t>
            </w:r>
          </w:p>
        </w:tc>
        <w:tc>
          <w:tcPr>
            <w:tcW w:w="9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98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6"/>
              </w:rPr>
              <w:t>Other Media</w:t>
            </w:r>
          </w:p>
        </w:tc>
        <w:tc>
          <w:tcPr>
            <w:tcW w:w="92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76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4,325</w:t>
            </w:r>
          </w:p>
        </w:tc>
        <w:tc>
          <w:tcPr>
            <w:tcW w:w="240" w:type="dxa"/>
            <w:vAlign w:val="bottom"/>
          </w:tcPr>
          <w:p>
            <w:pPr>
              <w:spacing w:after="0"/>
              <w:rPr>
                <w:sz w:val="13"/>
                <w:szCs w:val="13"/>
                <w:color w:val="auto"/>
              </w:rPr>
            </w:pPr>
          </w:p>
        </w:tc>
        <w:tc>
          <w:tcPr>
            <w:tcW w:w="10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1,306,167</w:t>
            </w:r>
          </w:p>
        </w:tc>
        <w:tc>
          <w:tcPr>
            <w:tcW w:w="240" w:type="dxa"/>
            <w:vAlign w:val="bottom"/>
          </w:tcPr>
          <w:p>
            <w:pPr>
              <w:spacing w:after="0"/>
              <w:rPr>
                <w:sz w:val="13"/>
                <w:szCs w:val="13"/>
                <w:color w:val="auto"/>
              </w:rPr>
            </w:pPr>
          </w:p>
        </w:tc>
        <w:tc>
          <w:tcPr>
            <w:tcW w:w="11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1,863,336</w:t>
            </w:r>
          </w:p>
        </w:tc>
        <w:tc>
          <w:tcPr>
            <w:tcW w:w="0" w:type="dxa"/>
            <w:vAlign w:val="bottom"/>
          </w:tcPr>
          <w:p>
            <w:pPr>
              <w:spacing w:after="0"/>
              <w:rPr>
                <w:sz w:val="1"/>
                <w:szCs w:val="1"/>
                <w:color w:val="auto"/>
              </w:rPr>
            </w:pPr>
          </w:p>
        </w:tc>
      </w:tr>
      <w:tr>
        <w:trPr>
          <w:trHeight w:val="188"/>
        </w:trPr>
        <w:tc>
          <w:tcPr>
            <w:tcW w:w="2860" w:type="dxa"/>
            <w:vAlign w:val="bottom"/>
          </w:tcPr>
          <w:p>
            <w:pPr>
              <w:ind w:left="40"/>
              <w:spacing w:after="0"/>
              <w:rPr>
                <w:sz w:val="20"/>
                <w:szCs w:val="20"/>
                <w:color w:val="auto"/>
              </w:rPr>
            </w:pPr>
            <w:r>
              <w:rPr>
                <w:rFonts w:ascii="Arial" w:cs="Arial" w:eastAsia="Arial" w:hAnsi="Arial"/>
                <w:sz w:val="14"/>
                <w:szCs w:val="14"/>
                <w:color w:val="auto"/>
              </w:rPr>
              <w:t>Group, Inc.)</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QMG HoldCo, LLC, Class B (Questex Media</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Other Media</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228,770</w:t>
            </w: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Group, Inc.)</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60" w:type="dxa"/>
            <w:vAlign w:val="bottom"/>
          </w:tcPr>
          <w:p>
            <w:pPr>
              <w:ind w:left="40"/>
              <w:spacing w:after="0"/>
              <w:rPr>
                <w:sz w:val="20"/>
                <w:szCs w:val="20"/>
                <w:color w:val="auto"/>
              </w:rPr>
            </w:pPr>
            <w:r>
              <w:rPr>
                <w:rFonts w:ascii="Arial" w:cs="Arial" w:eastAsia="Arial" w:hAnsi="Arial"/>
                <w:sz w:val="14"/>
                <w:szCs w:val="14"/>
                <w:color w:val="auto"/>
              </w:rPr>
              <w:t>TRAK Acquisition Corp. (Warrants)</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12/29/2019</w:t>
            </w:r>
          </w:p>
        </w:tc>
        <w:tc>
          <w:tcPr>
            <w:tcW w:w="120" w:type="dxa"/>
            <w:vAlign w:val="bottom"/>
          </w:tcPr>
          <w:p>
            <w:pPr>
              <w:spacing w:after="0"/>
              <w:rPr>
                <w:sz w:val="16"/>
                <w:szCs w:val="16"/>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Business Services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3,500</w:t>
            </w:r>
          </w:p>
        </w:tc>
        <w:tc>
          <w:tcPr>
            <w:tcW w:w="24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29,400</w:t>
            </w:r>
          </w:p>
        </w:tc>
        <w:tc>
          <w:tcPr>
            <w:tcW w:w="24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527,761</w:t>
            </w:r>
          </w:p>
        </w:tc>
        <w:tc>
          <w:tcPr>
            <w:tcW w:w="0" w:type="dxa"/>
            <w:vAlign w:val="bottom"/>
          </w:tcPr>
          <w:p>
            <w:pPr>
              <w:spacing w:after="0"/>
              <w:rPr>
                <w:sz w:val="1"/>
                <w:szCs w:val="1"/>
                <w:color w:val="auto"/>
              </w:rPr>
            </w:pPr>
          </w:p>
        </w:tc>
      </w:tr>
      <w:tr>
        <w:trPr>
          <w:trHeight w:val="79"/>
        </w:trPr>
        <w:tc>
          <w:tcPr>
            <w:tcW w:w="2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Transportation 100 Holdco, L.L.C.</w:t>
            </w:r>
          </w:p>
        </w:tc>
        <w:tc>
          <w:tcPr>
            <w:tcW w:w="96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980" w:type="dxa"/>
            <w:vAlign w:val="bottom"/>
            <w:gridSpan w:val="2"/>
            <w:shd w:val="clear" w:color="auto" w:fill="CCEEFF"/>
          </w:tcPr>
          <w:p>
            <w:pPr>
              <w:jc w:val="center"/>
              <w:ind w:right="120"/>
              <w:spacing w:after="0" w:line="157" w:lineRule="exact"/>
              <w:rPr>
                <w:sz w:val="20"/>
                <w:szCs w:val="20"/>
                <w:color w:val="auto"/>
              </w:rPr>
            </w:pPr>
            <w:r>
              <w:rPr>
                <w:rFonts w:ascii="Arial" w:cs="Arial" w:eastAsia="Arial" w:hAnsi="Arial"/>
                <w:sz w:val="14"/>
                <w:szCs w:val="14"/>
                <w:color w:val="auto"/>
                <w:w w:val="92"/>
              </w:rPr>
              <w:t>Cargo Transport</w:t>
            </w:r>
          </w:p>
        </w:tc>
        <w:tc>
          <w:tcPr>
            <w:tcW w:w="92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137,923</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2,111,588</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4,156,823</w:t>
            </w: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(Greatwide Logistics Services, L.L.C.)</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tcPr>
          <w:p>
            <w:pPr>
              <w:ind w:left="40"/>
              <w:spacing w:after="0"/>
              <w:rPr>
                <w:sz w:val="20"/>
                <w:szCs w:val="20"/>
                <w:color w:val="auto"/>
              </w:rPr>
            </w:pPr>
            <w:r>
              <w:rPr>
                <w:rFonts w:ascii="Arial" w:cs="Arial" w:eastAsia="Arial" w:hAnsi="Arial"/>
                <w:sz w:val="14"/>
                <w:szCs w:val="14"/>
                <w:color w:val="auto"/>
              </w:rPr>
              <w:t>TZ Holdings, L.P. (Trizetto Group, Inc.)</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Insurance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9,843</w:t>
            </w:r>
          </w:p>
        </w:tc>
        <w:tc>
          <w:tcPr>
            <w:tcW w:w="24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1,594,542</w:t>
            </w:r>
          </w:p>
        </w:tc>
        <w:tc>
          <w:tcPr>
            <w:tcW w:w="0" w:type="dxa"/>
            <w:vAlign w:val="bottom"/>
          </w:tcPr>
          <w:p>
            <w:pPr>
              <w:spacing w:after="0"/>
              <w:rPr>
                <w:sz w:val="1"/>
                <w:szCs w:val="1"/>
                <w:color w:val="auto"/>
              </w:rPr>
            </w:pPr>
          </w:p>
        </w:tc>
      </w:tr>
      <w:tr>
        <w:trPr>
          <w:trHeight w:val="80"/>
        </w:trPr>
        <w:tc>
          <w:tcPr>
            <w:tcW w:w="2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Universal Pegasus International, Inc. (UP</w:t>
            </w:r>
          </w:p>
        </w:tc>
        <w:tc>
          <w:tcPr>
            <w:tcW w:w="96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980" w:type="dxa"/>
            <w:vAlign w:val="bottom"/>
            <w:gridSpan w:val="2"/>
            <w:shd w:val="clear" w:color="auto" w:fill="CCEEFF"/>
          </w:tcPr>
          <w:p>
            <w:pPr>
              <w:jc w:val="center"/>
              <w:ind w:right="120"/>
              <w:spacing w:after="0" w:line="157" w:lineRule="exact"/>
              <w:rPr>
                <w:sz w:val="20"/>
                <w:szCs w:val="20"/>
                <w:color w:val="auto"/>
              </w:rPr>
            </w:pPr>
            <w:r>
              <w:rPr>
                <w:rFonts w:ascii="Arial" w:cs="Arial" w:eastAsia="Arial" w:hAnsi="Arial"/>
                <w:sz w:val="14"/>
                <w:szCs w:val="14"/>
                <w:color w:val="auto"/>
                <w:w w:val="94"/>
              </w:rPr>
              <w:t>Oil and Gas</w:t>
            </w:r>
          </w:p>
        </w:tc>
        <w:tc>
          <w:tcPr>
            <w:tcW w:w="92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110,742</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1,107</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Support Services, Inc.)</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60" w:type="dxa"/>
            <w:vAlign w:val="bottom"/>
          </w:tcPr>
          <w:p>
            <w:pPr>
              <w:ind w:left="40"/>
              <w:spacing w:after="0"/>
              <w:rPr>
                <w:sz w:val="20"/>
                <w:szCs w:val="20"/>
                <w:color w:val="auto"/>
              </w:rPr>
            </w:pPr>
            <w:r>
              <w:rPr>
                <w:rFonts w:ascii="Arial" w:cs="Arial" w:eastAsia="Arial" w:hAnsi="Arial"/>
                <w:sz w:val="14"/>
                <w:szCs w:val="14"/>
                <w:color w:val="auto"/>
              </w:rPr>
              <w:t>Verde Parent Holdings, Inc. (VPSI, Inc.)</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Personal Transportation</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9,166</w:t>
            </w:r>
          </w:p>
        </w:tc>
        <w:tc>
          <w:tcPr>
            <w:tcW w:w="24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9,166</w:t>
            </w:r>
          </w:p>
        </w:tc>
        <w:tc>
          <w:tcPr>
            <w:tcW w:w="24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2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VText Holdings, Inc. (Veritext Corp.)</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Business Services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35,526</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4,050,000</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6,902,812</w:t>
            </w:r>
          </w:p>
        </w:tc>
        <w:tc>
          <w:tcPr>
            <w:tcW w:w="0" w:type="dxa"/>
            <w:vAlign w:val="bottom"/>
          </w:tcPr>
          <w:p>
            <w:pPr>
              <w:spacing w:after="0"/>
              <w:rPr>
                <w:sz w:val="1"/>
                <w:szCs w:val="1"/>
                <w:color w:val="auto"/>
              </w:rPr>
            </w:pPr>
          </w:p>
        </w:tc>
      </w:tr>
      <w:tr>
        <w:trPr>
          <w:trHeight w:val="79"/>
        </w:trPr>
        <w:tc>
          <w:tcPr>
            <w:tcW w:w="3700" w:type="dxa"/>
            <w:vAlign w:val="bottom"/>
            <w:gridSpan w:val="2"/>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8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24,681,606</w:t>
            </w:r>
          </w:p>
        </w:tc>
        <w:tc>
          <w:tcPr>
            <w:tcW w:w="240" w:type="dxa"/>
            <w:vAlign w:val="bottom"/>
          </w:tcPr>
          <w:p>
            <w:pPr>
              <w:spacing w:after="0"/>
              <w:rPr>
                <w:sz w:val="18"/>
                <w:szCs w:val="18"/>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51,143,375</w:t>
            </w:r>
          </w:p>
        </w:tc>
        <w:tc>
          <w:tcPr>
            <w:tcW w:w="0" w:type="dxa"/>
            <w:vAlign w:val="bottom"/>
          </w:tcPr>
          <w:p>
            <w:pPr>
              <w:spacing w:after="0"/>
              <w:rPr>
                <w:sz w:val="1"/>
                <w:szCs w:val="1"/>
                <w:color w:val="auto"/>
              </w:rPr>
            </w:pPr>
          </w:p>
        </w:tc>
      </w:tr>
      <w:tr>
        <w:trPr>
          <w:trHeight w:val="39"/>
        </w:trPr>
        <w:tc>
          <w:tcPr>
            <w:tcW w:w="3700" w:type="dxa"/>
            <w:vAlign w:val="bottom"/>
            <w:tcBorders>
              <w:bottom w:val="single" w:sz="8" w:color="CCEEFF"/>
            </w:tcBorders>
            <w:gridSpan w:val="2"/>
          </w:tcPr>
          <w:p>
            <w:pPr>
              <w:spacing w:after="0"/>
              <w:rPr>
                <w:sz w:val="3"/>
                <w:szCs w:val="3"/>
                <w:color w:val="auto"/>
              </w:rPr>
            </w:pPr>
          </w:p>
        </w:tc>
        <w:tc>
          <w:tcPr>
            <w:tcW w:w="2000" w:type="dxa"/>
            <w:vAlign w:val="bottom"/>
            <w:tcBorders>
              <w:bottom w:val="single" w:sz="8" w:color="CCEEFF"/>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 in Non-Controlled, Non-Affiliated Portfolio Companies</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734,760,589</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753,258,773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060"/>
          </w:cols>
          <w:pgMar w:left="320" w:top="125" w:right="519" w:bottom="1006" w:gutter="0" w:footer="0" w:header="0"/>
        </w:sect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60"/>
          </w:cols>
          <w:pgMar w:left="320" w:top="125" w:right="519" w:bottom="1006"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Current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Basis Points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Maturity</w:t>
            </w:r>
          </w:p>
        </w:tc>
        <w:tc>
          <w:tcPr>
            <w:tcW w:w="14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7"/>
              </w:rPr>
              <w:t>Industry</w:t>
            </w:r>
          </w:p>
        </w:tc>
        <w:tc>
          <w:tcPr>
            <w:tcW w:w="110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Above</w:t>
            </w:r>
          </w:p>
        </w:tc>
        <w:tc>
          <w:tcPr>
            <w:tcW w:w="140" w:type="dxa"/>
            <w:vAlign w:val="bottom"/>
          </w:tcPr>
          <w:p>
            <w:pPr>
              <w:spacing w:after="0"/>
              <w:rPr>
                <w:sz w:val="12"/>
                <w:szCs w:val="12"/>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Par / Shares</w:t>
            </w:r>
          </w:p>
        </w:tc>
        <w:tc>
          <w:tcPr>
            <w:tcW w:w="240" w:type="dxa"/>
            <w:vAlign w:val="bottom"/>
          </w:tcPr>
          <w:p>
            <w:pPr>
              <w:spacing w:after="0"/>
              <w:rPr>
                <w:sz w:val="12"/>
                <w:szCs w:val="12"/>
                <w:color w:val="auto"/>
              </w:rPr>
            </w:pPr>
          </w:p>
        </w:tc>
        <w:tc>
          <w:tcPr>
            <w:tcW w:w="9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2"/>
                <w:szCs w:val="12"/>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192"/>
        </w:trPr>
        <w:tc>
          <w:tcPr>
            <w:tcW w:w="29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Coupon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(4)</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5320" w:type="dxa"/>
            <w:vAlign w:val="bottom"/>
            <w:tcBorders>
              <w:top w:val="single" w:sz="8" w:color="auto"/>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 in Non-Controlled, Affiliated Portfolio Companies – 2.9%</w:t>
            </w:r>
            <w:r>
              <w:rPr>
                <w:rFonts w:ascii="Arial" w:cs="Arial" w:eastAsia="Arial" w:hAnsi="Arial"/>
                <w:sz w:val="8"/>
                <w:szCs w:val="8"/>
                <w:b w:val="1"/>
                <w:bCs w:val="1"/>
                <w:color w:val="auto"/>
              </w:rPr>
              <w:t>(1),(2)</w:t>
            </w:r>
          </w:p>
        </w:tc>
        <w:tc>
          <w:tcPr>
            <w:tcW w:w="78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9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40"/>
              <w:spacing w:after="0"/>
              <w:rPr>
                <w:sz w:val="20"/>
                <w:szCs w:val="20"/>
                <w:color w:val="auto"/>
              </w:rPr>
            </w:pPr>
            <w:r>
              <w:rPr>
                <w:rFonts w:ascii="Arial" w:cs="Arial" w:eastAsia="Arial" w:hAnsi="Arial"/>
                <w:sz w:val="14"/>
                <w:szCs w:val="14"/>
                <w:b w:val="1"/>
                <w:bCs w:val="1"/>
                <w:color w:val="auto"/>
              </w:rPr>
              <w:t>Second Lien Secured Debt – 1.5%</w:t>
            </w:r>
          </w:p>
        </w:tc>
        <w:tc>
          <w:tcPr>
            <w:tcW w:w="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9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Performance, Inc. (Performance Holdings,</w:t>
            </w:r>
          </w:p>
        </w:tc>
        <w:tc>
          <w:tcPr>
            <w:tcW w:w="960" w:type="dxa"/>
            <w:vAlign w:val="bottom"/>
            <w:shd w:val="clear" w:color="auto" w:fill="CCEEFF"/>
          </w:tcPr>
          <w:p>
            <w:pPr>
              <w:spacing w:after="0"/>
              <w:rPr>
                <w:sz w:val="13"/>
                <w:szCs w:val="13"/>
                <w:color w:val="auto"/>
              </w:rPr>
            </w:pPr>
          </w:p>
        </w:tc>
        <w:tc>
          <w:tcPr>
            <w:tcW w:w="1420" w:type="dxa"/>
            <w:vAlign w:val="bottom"/>
            <w:shd w:val="clear" w:color="auto" w:fill="CCEEFF"/>
          </w:tcPr>
          <w:p>
            <w:pPr>
              <w:jc w:val="center"/>
              <w:ind w:right="68"/>
              <w:spacing w:after="0" w:line="157" w:lineRule="exact"/>
              <w:rPr>
                <w:sz w:val="20"/>
                <w:szCs w:val="20"/>
                <w:color w:val="auto"/>
              </w:rPr>
            </w:pPr>
            <w:r>
              <w:rPr>
                <w:rFonts w:ascii="Arial" w:cs="Arial" w:eastAsia="Arial" w:hAnsi="Arial"/>
                <w:sz w:val="14"/>
                <w:szCs w:val="14"/>
                <w:color w:val="auto"/>
                <w:w w:val="93"/>
              </w:rPr>
              <w:t>Leisure, Amusement,</w:t>
            </w: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Inc.)</w:t>
            </w:r>
          </w:p>
        </w:tc>
        <w:tc>
          <w:tcPr>
            <w:tcW w:w="9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96"/>
              </w:rPr>
              <w:t>01/16/2015</w:t>
            </w:r>
          </w:p>
        </w:tc>
        <w:tc>
          <w:tcPr>
            <w:tcW w:w="142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color w:val="auto"/>
                <w:w w:val="93"/>
              </w:rPr>
              <w:t>Motion Pictures and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88"/>
              <w:spacing w:after="0" w:line="149" w:lineRule="exact"/>
              <w:rPr>
                <w:sz w:val="20"/>
                <w:szCs w:val="20"/>
                <w:color w:val="auto"/>
              </w:rPr>
            </w:pPr>
            <w:r>
              <w:rPr>
                <w:rFonts w:ascii="Arial" w:cs="Arial" w:eastAsia="Arial" w:hAnsi="Arial"/>
                <w:sz w:val="14"/>
                <w:szCs w:val="14"/>
                <w:color w:val="auto"/>
              </w:rPr>
              <w:t xml:space="preserve">L+625  </w:t>
            </w:r>
            <w:r>
              <w:rPr>
                <w:rFonts w:ascii="Arial" w:cs="Arial" w:eastAsia="Arial" w:hAnsi="Arial"/>
                <w:sz w:val="8"/>
                <w:szCs w:val="8"/>
                <w:color w:val="auto"/>
              </w:rPr>
              <w:t>(8)</w:t>
            </w:r>
          </w:p>
        </w:tc>
        <w:tc>
          <w:tcPr>
            <w:tcW w:w="11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8,000,000</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8,000,000</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7,412,000</w:t>
            </w:r>
          </w:p>
        </w:tc>
        <w:tc>
          <w:tcPr>
            <w:tcW w:w="0" w:type="dxa"/>
            <w:vAlign w:val="bottom"/>
          </w:tcPr>
          <w:p>
            <w:pPr>
              <w:spacing w:after="0"/>
              <w:rPr>
                <w:sz w:val="1"/>
                <w:szCs w:val="1"/>
                <w:color w:val="auto"/>
              </w:rPr>
            </w:pPr>
          </w:p>
        </w:tc>
      </w:tr>
      <w:tr>
        <w:trPr>
          <w:trHeight w:val="194"/>
        </w:trPr>
        <w:tc>
          <w:tcPr>
            <w:tcW w:w="29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4"/>
              </w:rPr>
              <w:t>Entertainment</w:t>
            </w: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940" w:type="dxa"/>
            <w:vAlign w:val="bottom"/>
          </w:tcPr>
          <w:p>
            <w:pPr>
              <w:ind w:left="40"/>
              <w:spacing w:after="0"/>
              <w:rPr>
                <w:sz w:val="20"/>
                <w:szCs w:val="20"/>
                <w:color w:val="auto"/>
              </w:rPr>
            </w:pPr>
            <w:r>
              <w:rPr>
                <w:rFonts w:ascii="Arial" w:cs="Arial" w:eastAsia="Arial" w:hAnsi="Arial"/>
                <w:sz w:val="14"/>
                <w:szCs w:val="14"/>
                <w:b w:val="1"/>
                <w:bCs w:val="1"/>
                <w:color w:val="auto"/>
              </w:rPr>
              <w:t>Subordinated Debt/Corporate Notes – 1.2%</w:t>
            </w: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Performance Holdings, Inc.</w:t>
            </w:r>
          </w:p>
        </w:tc>
        <w:tc>
          <w:tcPr>
            <w:tcW w:w="960" w:type="dxa"/>
            <w:vAlign w:val="bottom"/>
            <w:shd w:val="clear" w:color="auto" w:fill="CCEEFF"/>
          </w:tcPr>
          <w:p>
            <w:pPr>
              <w:spacing w:after="0"/>
              <w:rPr>
                <w:sz w:val="13"/>
                <w:szCs w:val="13"/>
                <w:color w:val="auto"/>
              </w:rPr>
            </w:pPr>
          </w:p>
        </w:tc>
        <w:tc>
          <w:tcPr>
            <w:tcW w:w="1420" w:type="dxa"/>
            <w:vAlign w:val="bottom"/>
            <w:shd w:val="clear" w:color="auto" w:fill="CCEEFF"/>
          </w:tcPr>
          <w:p>
            <w:pPr>
              <w:jc w:val="center"/>
              <w:ind w:right="68"/>
              <w:spacing w:after="0" w:line="157" w:lineRule="exact"/>
              <w:rPr>
                <w:sz w:val="20"/>
                <w:szCs w:val="20"/>
                <w:color w:val="auto"/>
              </w:rPr>
            </w:pPr>
            <w:r>
              <w:rPr>
                <w:rFonts w:ascii="Arial" w:cs="Arial" w:eastAsia="Arial" w:hAnsi="Arial"/>
                <w:sz w:val="14"/>
                <w:szCs w:val="14"/>
                <w:color w:val="auto"/>
                <w:w w:val="93"/>
              </w:rPr>
              <w:t>Leisure, Amusement,</w:t>
            </w: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96"/>
              </w:rPr>
              <w:t>07/16/2015</w:t>
            </w:r>
          </w:p>
        </w:tc>
        <w:tc>
          <w:tcPr>
            <w:tcW w:w="142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color w:val="auto"/>
                <w:w w:val="93"/>
              </w:rPr>
              <w:t>Motion Pictures and</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xml:space="preserve">15.00% </w:t>
            </w:r>
            <w:r>
              <w:rPr>
                <w:rFonts w:ascii="Arial" w:cs="Arial" w:eastAsia="Arial" w:hAnsi="Arial"/>
                <w:sz w:val="8"/>
                <w:szCs w:val="8"/>
                <w:color w:val="auto"/>
              </w:rPr>
              <w:t>(6)</w:t>
            </w:r>
          </w:p>
        </w:tc>
        <w:tc>
          <w:tcPr>
            <w:tcW w:w="86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6,531,076</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6,366,807</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6,253,512</w:t>
            </w:r>
          </w:p>
        </w:tc>
        <w:tc>
          <w:tcPr>
            <w:tcW w:w="0" w:type="dxa"/>
            <w:vAlign w:val="bottom"/>
          </w:tcPr>
          <w:p>
            <w:pPr>
              <w:spacing w:after="0"/>
              <w:rPr>
                <w:sz w:val="1"/>
                <w:szCs w:val="1"/>
                <w:color w:val="auto"/>
              </w:rPr>
            </w:pPr>
          </w:p>
        </w:tc>
      </w:tr>
      <w:tr>
        <w:trPr>
          <w:trHeight w:val="194"/>
        </w:trPr>
        <w:tc>
          <w:tcPr>
            <w:tcW w:w="29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4"/>
              </w:rPr>
              <w:t>Entertainment</w:t>
            </w: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2940" w:type="dxa"/>
            <w:vAlign w:val="bottom"/>
          </w:tcPr>
          <w:p>
            <w:pPr>
              <w:ind w:left="40"/>
              <w:spacing w:after="0"/>
              <w:rPr>
                <w:sz w:val="20"/>
                <w:szCs w:val="20"/>
                <w:color w:val="auto"/>
              </w:rPr>
            </w:pPr>
            <w:r>
              <w:rPr>
                <w:rFonts w:ascii="Arial" w:cs="Arial" w:eastAsia="Arial" w:hAnsi="Arial"/>
                <w:sz w:val="14"/>
                <w:szCs w:val="14"/>
                <w:b w:val="1"/>
                <w:bCs w:val="1"/>
                <w:color w:val="auto"/>
                <w:w w:val="95"/>
              </w:rPr>
              <w:t>Common Equity/Partnership Interest – 0.2%</w:t>
            </w:r>
            <w:r>
              <w:rPr>
                <w:rFonts w:ascii="Arial" w:cs="Arial" w:eastAsia="Arial" w:hAnsi="Arial"/>
                <w:sz w:val="8"/>
                <w:szCs w:val="8"/>
                <w:b w:val="1"/>
                <w:bCs w:val="1"/>
                <w:color w:val="auto"/>
                <w:w w:val="95"/>
              </w:rPr>
              <w:t>(7)</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NCP-Performance (Performance Holdings,</w:t>
            </w:r>
          </w:p>
        </w:tc>
        <w:tc>
          <w:tcPr>
            <w:tcW w:w="960" w:type="dxa"/>
            <w:vAlign w:val="bottom"/>
            <w:shd w:val="clear" w:color="auto" w:fill="CCEEFF"/>
          </w:tcPr>
          <w:p>
            <w:pPr>
              <w:spacing w:after="0"/>
              <w:rPr>
                <w:sz w:val="13"/>
                <w:szCs w:val="13"/>
                <w:color w:val="auto"/>
              </w:rPr>
            </w:pPr>
          </w:p>
        </w:tc>
        <w:tc>
          <w:tcPr>
            <w:tcW w:w="1420" w:type="dxa"/>
            <w:vAlign w:val="bottom"/>
            <w:shd w:val="clear" w:color="auto" w:fill="CCEEFF"/>
          </w:tcPr>
          <w:p>
            <w:pPr>
              <w:jc w:val="center"/>
              <w:ind w:right="68"/>
              <w:spacing w:after="0" w:line="157" w:lineRule="exact"/>
              <w:rPr>
                <w:sz w:val="20"/>
                <w:szCs w:val="20"/>
                <w:color w:val="auto"/>
              </w:rPr>
            </w:pPr>
            <w:r>
              <w:rPr>
                <w:rFonts w:ascii="Arial" w:cs="Arial" w:eastAsia="Arial" w:hAnsi="Arial"/>
                <w:sz w:val="14"/>
                <w:szCs w:val="14"/>
                <w:color w:val="auto"/>
                <w:w w:val="93"/>
              </w:rPr>
              <w:t>Leisure, Amusement,</w:t>
            </w: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Inc.)</w:t>
            </w:r>
          </w:p>
        </w:tc>
        <w:tc>
          <w:tcPr>
            <w:tcW w:w="96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color w:val="auto"/>
                <w:w w:val="93"/>
              </w:rPr>
              <w:t>Motion Pictures and</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375,000</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3,750,000</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1,019,673</w:t>
            </w:r>
          </w:p>
        </w:tc>
        <w:tc>
          <w:tcPr>
            <w:tcW w:w="0" w:type="dxa"/>
            <w:vAlign w:val="bottom"/>
          </w:tcPr>
          <w:p>
            <w:pPr>
              <w:spacing w:after="0"/>
              <w:rPr>
                <w:sz w:val="1"/>
                <w:szCs w:val="1"/>
                <w:color w:val="auto"/>
              </w:rPr>
            </w:pPr>
          </w:p>
        </w:tc>
      </w:tr>
      <w:tr>
        <w:trPr>
          <w:trHeight w:val="194"/>
        </w:trPr>
        <w:tc>
          <w:tcPr>
            <w:tcW w:w="29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4"/>
              </w:rPr>
              <w:t>Entertainment</w:t>
            </w: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9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Investments in Non-Controlled, Affiliated Portfolio Companies</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18,116,807</w:t>
            </w:r>
          </w:p>
        </w:tc>
        <w:tc>
          <w:tcPr>
            <w:tcW w:w="24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14,685,185</w:t>
            </w:r>
          </w:p>
        </w:tc>
        <w:tc>
          <w:tcPr>
            <w:tcW w:w="0" w:type="dxa"/>
            <w:vAlign w:val="bottom"/>
          </w:tcPr>
          <w:p>
            <w:pPr>
              <w:spacing w:after="0"/>
              <w:rPr>
                <w:sz w:val="1"/>
                <w:szCs w:val="1"/>
                <w:color w:val="auto"/>
              </w:rPr>
            </w:pPr>
          </w:p>
        </w:tc>
      </w:tr>
      <w:tr>
        <w:trPr>
          <w:trHeight w:val="39"/>
        </w:trPr>
        <w:tc>
          <w:tcPr>
            <w:tcW w:w="5320" w:type="dxa"/>
            <w:vAlign w:val="bottom"/>
            <w:tcBorders>
              <w:bottom w:val="single" w:sz="8" w:color="CCEEFF"/>
            </w:tcBorders>
            <w:gridSpan w:val="3"/>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 in Controlled, Affiliated Portfolio Companies – 2.2%</w:t>
            </w:r>
            <w:r>
              <w:rPr>
                <w:rFonts w:ascii="Arial" w:cs="Arial" w:eastAsia="Arial" w:hAnsi="Arial"/>
                <w:sz w:val="8"/>
                <w:szCs w:val="8"/>
                <w:b w:val="1"/>
                <w:bCs w:val="1"/>
                <w:color w:val="auto"/>
              </w:rPr>
              <w:t>(1),(2)</w:t>
            </w:r>
          </w:p>
        </w:tc>
        <w:tc>
          <w:tcPr>
            <w:tcW w:w="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9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40"/>
              <w:spacing w:after="0"/>
              <w:rPr>
                <w:sz w:val="20"/>
                <w:szCs w:val="20"/>
                <w:color w:val="auto"/>
              </w:rPr>
            </w:pPr>
            <w:r>
              <w:rPr>
                <w:rFonts w:ascii="Arial" w:cs="Arial" w:eastAsia="Arial" w:hAnsi="Arial"/>
                <w:sz w:val="14"/>
                <w:szCs w:val="14"/>
                <w:b w:val="1"/>
                <w:bCs w:val="1"/>
                <w:color w:val="auto"/>
              </w:rPr>
              <w:t>First Lien Secured Debt – 1.6%</w:t>
            </w:r>
          </w:p>
        </w:tc>
        <w:tc>
          <w:tcPr>
            <w:tcW w:w="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9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SuttonPark Holdings, Inc.</w:t>
            </w:r>
          </w:p>
        </w:tc>
        <w:tc>
          <w:tcPr>
            <w:tcW w:w="9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96"/>
              </w:rPr>
              <w:t>06/30/2020</w:t>
            </w:r>
          </w:p>
        </w:tc>
        <w:tc>
          <w:tcPr>
            <w:tcW w:w="1420" w:type="dxa"/>
            <w:vAlign w:val="bottom"/>
            <w:tcBorders>
              <w:bottom w:val="single" w:sz="8" w:color="CCEEFF"/>
            </w:tcBorders>
            <w:shd w:val="clear" w:color="auto" w:fill="CCEEFF"/>
          </w:tcPr>
          <w:p>
            <w:pPr>
              <w:jc w:val="center"/>
              <w:ind w:right="68"/>
              <w:spacing w:after="0"/>
              <w:rPr>
                <w:sz w:val="20"/>
                <w:szCs w:val="20"/>
                <w:color w:val="auto"/>
              </w:rPr>
            </w:pPr>
            <w:r>
              <w:rPr>
                <w:rFonts w:ascii="Arial" w:cs="Arial" w:eastAsia="Arial" w:hAnsi="Arial"/>
                <w:sz w:val="14"/>
                <w:szCs w:val="14"/>
                <w:color w:val="auto"/>
                <w:w w:val="90"/>
              </w:rPr>
              <w:t>Business Services</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xml:space="preserve">14.00% </w:t>
            </w:r>
            <w:r>
              <w:rPr>
                <w:rFonts w:ascii="Arial" w:cs="Arial" w:eastAsia="Arial" w:hAnsi="Arial"/>
                <w:sz w:val="8"/>
                <w:szCs w:val="8"/>
                <w:color w:val="auto"/>
              </w:rPr>
              <w:t>(6)</w:t>
            </w:r>
          </w:p>
        </w:tc>
        <w:tc>
          <w:tcPr>
            <w:tcW w:w="860" w:type="dxa"/>
            <w:vAlign w:val="bottom"/>
            <w:tcBorders>
              <w:bottom w:val="single" w:sz="8" w:color="CCEEFF"/>
            </w:tcBorders>
            <w:shd w:val="clear" w:color="auto" w:fill="CCEEFF"/>
          </w:tcPr>
          <w:p>
            <w:pPr>
              <w:jc w:val="center"/>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7,200,000</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7,200,000</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7,985,961</w:t>
            </w:r>
          </w:p>
        </w:tc>
        <w:tc>
          <w:tcPr>
            <w:tcW w:w="0" w:type="dxa"/>
            <w:vAlign w:val="bottom"/>
          </w:tcPr>
          <w:p>
            <w:pPr>
              <w:spacing w:after="0"/>
              <w:rPr>
                <w:sz w:val="1"/>
                <w:szCs w:val="1"/>
                <w:color w:val="auto"/>
              </w:rPr>
            </w:pPr>
          </w:p>
        </w:tc>
      </w:tr>
      <w:tr>
        <w:trPr>
          <w:trHeight w:val="171"/>
        </w:trPr>
        <w:tc>
          <w:tcPr>
            <w:tcW w:w="2940" w:type="dxa"/>
            <w:vAlign w:val="bottom"/>
          </w:tcPr>
          <w:p>
            <w:pPr>
              <w:ind w:left="40"/>
              <w:spacing w:after="0"/>
              <w:rPr>
                <w:sz w:val="20"/>
                <w:szCs w:val="20"/>
                <w:color w:val="auto"/>
              </w:rPr>
            </w:pPr>
            <w:r>
              <w:rPr>
                <w:rFonts w:ascii="Arial" w:cs="Arial" w:eastAsia="Arial" w:hAnsi="Arial"/>
                <w:sz w:val="14"/>
                <w:szCs w:val="14"/>
                <w:b w:val="1"/>
                <w:bCs w:val="1"/>
                <w:color w:val="auto"/>
              </w:rPr>
              <w:t>Subordinated Debt/Corporate Notes – 0.3%</w:t>
            </w: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SuttonPark Holdings, Inc.</w:t>
            </w:r>
          </w:p>
        </w:tc>
        <w:tc>
          <w:tcPr>
            <w:tcW w:w="9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96"/>
              </w:rPr>
              <w:t>06/30/2020</w:t>
            </w:r>
          </w:p>
        </w:tc>
        <w:tc>
          <w:tcPr>
            <w:tcW w:w="1420" w:type="dxa"/>
            <w:vAlign w:val="bottom"/>
            <w:tcBorders>
              <w:bottom w:val="single" w:sz="8" w:color="CCEEFF"/>
            </w:tcBorders>
            <w:shd w:val="clear" w:color="auto" w:fill="CCEEFF"/>
          </w:tcPr>
          <w:p>
            <w:pPr>
              <w:jc w:val="center"/>
              <w:ind w:right="68"/>
              <w:spacing w:after="0"/>
              <w:rPr>
                <w:sz w:val="20"/>
                <w:szCs w:val="20"/>
                <w:color w:val="auto"/>
              </w:rPr>
            </w:pPr>
            <w:r>
              <w:rPr>
                <w:rFonts w:ascii="Arial" w:cs="Arial" w:eastAsia="Arial" w:hAnsi="Arial"/>
                <w:sz w:val="14"/>
                <w:szCs w:val="14"/>
                <w:color w:val="auto"/>
                <w:w w:val="90"/>
              </w:rPr>
              <w:t>Business Services</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xml:space="preserve">14.00% </w:t>
            </w:r>
            <w:r>
              <w:rPr>
                <w:rFonts w:ascii="Arial" w:cs="Arial" w:eastAsia="Arial" w:hAnsi="Arial"/>
                <w:sz w:val="8"/>
                <w:szCs w:val="8"/>
                <w:color w:val="auto"/>
              </w:rPr>
              <w:t>(6)</w:t>
            </w:r>
          </w:p>
        </w:tc>
        <w:tc>
          <w:tcPr>
            <w:tcW w:w="860" w:type="dxa"/>
            <w:vAlign w:val="bottom"/>
            <w:tcBorders>
              <w:bottom w:val="single" w:sz="8" w:color="CCEEFF"/>
            </w:tcBorders>
            <w:shd w:val="clear" w:color="auto" w:fill="CCEEFF"/>
          </w:tcPr>
          <w:p>
            <w:pPr>
              <w:jc w:val="center"/>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1,800,000</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1,800,000</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1,711,887</w:t>
            </w:r>
          </w:p>
        </w:tc>
        <w:tc>
          <w:tcPr>
            <w:tcW w:w="0" w:type="dxa"/>
            <w:vAlign w:val="bottom"/>
          </w:tcPr>
          <w:p>
            <w:pPr>
              <w:spacing w:after="0"/>
              <w:rPr>
                <w:sz w:val="1"/>
                <w:szCs w:val="1"/>
                <w:color w:val="auto"/>
              </w:rPr>
            </w:pPr>
          </w:p>
        </w:tc>
      </w:tr>
      <w:tr>
        <w:trPr>
          <w:trHeight w:val="305"/>
        </w:trPr>
        <w:tc>
          <w:tcPr>
            <w:tcW w:w="2940" w:type="dxa"/>
            <w:vAlign w:val="bottom"/>
          </w:tcPr>
          <w:p>
            <w:pPr>
              <w:ind w:left="40"/>
              <w:spacing w:after="0"/>
              <w:rPr>
                <w:sz w:val="20"/>
                <w:szCs w:val="20"/>
                <w:color w:val="auto"/>
              </w:rPr>
            </w:pPr>
            <w:r>
              <w:rPr>
                <w:rFonts w:ascii="Arial" w:cs="Arial" w:eastAsia="Arial" w:hAnsi="Arial"/>
                <w:sz w:val="14"/>
                <w:szCs w:val="14"/>
                <w:b w:val="1"/>
                <w:bCs w:val="1"/>
                <w:color w:val="auto"/>
              </w:rPr>
              <w:t>Preferred Equity – 0.3%</w:t>
            </w:r>
            <w:r>
              <w:rPr>
                <w:rFonts w:ascii="Arial" w:cs="Arial" w:eastAsia="Arial" w:hAnsi="Arial"/>
                <w:sz w:val="8"/>
                <w:szCs w:val="8"/>
                <w:b w:val="1"/>
                <w:bCs w:val="1"/>
                <w:color w:val="auto"/>
              </w:rPr>
              <w:t>(7)</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SuttonPark Holdings, Inc.</w:t>
            </w:r>
          </w:p>
        </w:tc>
        <w:tc>
          <w:tcPr>
            <w:tcW w:w="96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0"/>
              </w:rPr>
              <w:t>Business Services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3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center"/>
              <w:ind w:right="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2,000</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2,000,000</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1,302,152</w:t>
            </w:r>
          </w:p>
        </w:tc>
        <w:tc>
          <w:tcPr>
            <w:tcW w:w="0" w:type="dxa"/>
            <w:vAlign w:val="bottom"/>
          </w:tcPr>
          <w:p>
            <w:pPr>
              <w:spacing w:after="0"/>
              <w:rPr>
                <w:sz w:val="1"/>
                <w:szCs w:val="1"/>
                <w:color w:val="auto"/>
              </w:rPr>
            </w:pPr>
          </w:p>
        </w:tc>
      </w:tr>
      <w:tr>
        <w:trPr>
          <w:trHeight w:val="80"/>
        </w:trPr>
        <w:tc>
          <w:tcPr>
            <w:tcW w:w="29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2940" w:type="dxa"/>
            <w:vAlign w:val="bottom"/>
          </w:tcPr>
          <w:p>
            <w:pPr>
              <w:ind w:left="40"/>
              <w:spacing w:after="0"/>
              <w:rPr>
                <w:sz w:val="20"/>
                <w:szCs w:val="20"/>
                <w:color w:val="auto"/>
              </w:rPr>
            </w:pPr>
            <w:r>
              <w:rPr>
                <w:rFonts w:ascii="Arial" w:cs="Arial" w:eastAsia="Arial" w:hAnsi="Arial"/>
                <w:sz w:val="14"/>
                <w:szCs w:val="14"/>
                <w:b w:val="1"/>
                <w:bCs w:val="1"/>
                <w:color w:val="auto"/>
              </w:rPr>
              <w:t>Common Equity – 0.0%</w:t>
            </w:r>
            <w:r>
              <w:rPr>
                <w:rFonts w:ascii="Arial" w:cs="Arial" w:eastAsia="Arial" w:hAnsi="Arial"/>
                <w:sz w:val="8"/>
                <w:szCs w:val="8"/>
                <w:b w:val="1"/>
                <w:bCs w:val="1"/>
                <w:color w:val="auto"/>
              </w:rPr>
              <w:t>(7)</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SuttonPark Holdings, Inc.</w:t>
            </w:r>
          </w:p>
        </w:tc>
        <w:tc>
          <w:tcPr>
            <w:tcW w:w="96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0"/>
              </w:rPr>
              <w:t>Business Services</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center"/>
              <w:ind w:right="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9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900" w:type="dxa"/>
            <w:vAlign w:val="bottom"/>
            <w:gridSpan w:val="2"/>
          </w:tcPr>
          <w:p>
            <w:pPr>
              <w:ind w:left="40"/>
              <w:spacing w:after="0"/>
              <w:rPr>
                <w:sz w:val="20"/>
                <w:szCs w:val="20"/>
                <w:color w:val="auto"/>
              </w:rPr>
            </w:pPr>
            <w:r>
              <w:rPr>
                <w:rFonts w:ascii="Arial" w:cs="Arial" w:eastAsia="Arial" w:hAnsi="Arial"/>
                <w:sz w:val="14"/>
                <w:szCs w:val="14"/>
                <w:b w:val="1"/>
                <w:bCs w:val="1"/>
                <w:color w:val="auto"/>
              </w:rPr>
              <w:t>Investments in Controlled, Affiliated Portfolio Companies</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11,000,100</w:t>
            </w:r>
          </w:p>
        </w:tc>
        <w:tc>
          <w:tcPr>
            <w:tcW w:w="24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11,000,000</w:t>
            </w:r>
          </w:p>
        </w:tc>
        <w:tc>
          <w:tcPr>
            <w:tcW w:w="0" w:type="dxa"/>
            <w:vAlign w:val="bottom"/>
          </w:tcPr>
          <w:p>
            <w:pPr>
              <w:spacing w:after="0"/>
              <w:rPr>
                <w:sz w:val="1"/>
                <w:szCs w:val="1"/>
                <w:color w:val="auto"/>
              </w:rPr>
            </w:pPr>
          </w:p>
        </w:tc>
      </w:tr>
      <w:tr>
        <w:trPr>
          <w:trHeight w:val="39"/>
        </w:trPr>
        <w:tc>
          <w:tcPr>
            <w:tcW w:w="294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42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Investments – 154.3%</w:t>
            </w:r>
          </w:p>
        </w:tc>
        <w:tc>
          <w:tcPr>
            <w:tcW w:w="9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763,877,496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778,943,958</w:t>
            </w:r>
          </w:p>
        </w:tc>
        <w:tc>
          <w:tcPr>
            <w:tcW w:w="0" w:type="dxa"/>
            <w:vAlign w:val="bottom"/>
          </w:tcPr>
          <w:p>
            <w:pPr>
              <w:spacing w:after="0"/>
              <w:rPr>
                <w:sz w:val="1"/>
                <w:szCs w:val="1"/>
                <w:color w:val="auto"/>
              </w:rPr>
            </w:pPr>
          </w:p>
        </w:tc>
      </w:tr>
      <w:tr>
        <w:trPr>
          <w:trHeight w:val="211"/>
        </w:trPr>
        <w:tc>
          <w:tcPr>
            <w:tcW w:w="2940" w:type="dxa"/>
            <w:vAlign w:val="bottom"/>
          </w:tcPr>
          <w:p>
            <w:pPr>
              <w:ind w:left="40"/>
              <w:spacing w:after="0"/>
              <w:rPr>
                <w:sz w:val="20"/>
                <w:szCs w:val="20"/>
                <w:color w:val="auto"/>
              </w:rPr>
            </w:pPr>
            <w:r>
              <w:rPr>
                <w:rFonts w:ascii="Arial" w:cs="Arial" w:eastAsia="Arial" w:hAnsi="Arial"/>
                <w:sz w:val="14"/>
                <w:szCs w:val="14"/>
                <w:b w:val="1"/>
                <w:bCs w:val="1"/>
                <w:color w:val="auto"/>
              </w:rPr>
              <w:t>Cash Equivalents – 5.7%</w:t>
            </w: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28,808,966</w:t>
            </w:r>
          </w:p>
        </w:tc>
        <w:tc>
          <w:tcPr>
            <w:tcW w:w="240" w:type="dxa"/>
            <w:vAlign w:val="bottom"/>
          </w:tcPr>
          <w:p>
            <w:pPr>
              <w:spacing w:after="0"/>
              <w:rPr>
                <w:sz w:val="18"/>
                <w:szCs w:val="18"/>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28,808,966</w:t>
            </w:r>
          </w:p>
        </w:tc>
        <w:tc>
          <w:tcPr>
            <w:tcW w:w="240" w:type="dxa"/>
            <w:vAlign w:val="bottom"/>
          </w:tcPr>
          <w:p>
            <w:pPr>
              <w:spacing w:after="0"/>
              <w:rPr>
                <w:sz w:val="18"/>
                <w:szCs w:val="18"/>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28,808,966</w:t>
            </w:r>
          </w:p>
        </w:tc>
        <w:tc>
          <w:tcPr>
            <w:tcW w:w="0" w:type="dxa"/>
            <w:vAlign w:val="bottom"/>
          </w:tcPr>
          <w:p>
            <w:pPr>
              <w:spacing w:after="0"/>
              <w:rPr>
                <w:sz w:val="1"/>
                <w:szCs w:val="1"/>
                <w:color w:val="auto"/>
              </w:rPr>
            </w:pPr>
          </w:p>
        </w:tc>
      </w:tr>
      <w:tr>
        <w:trPr>
          <w:trHeight w:val="39"/>
        </w:trPr>
        <w:tc>
          <w:tcPr>
            <w:tcW w:w="3900" w:type="dxa"/>
            <w:vAlign w:val="bottom"/>
            <w:tcBorders>
              <w:bottom w:val="single" w:sz="8" w:color="CCEEFF"/>
            </w:tcBorders>
            <w:gridSpan w:val="2"/>
          </w:tcPr>
          <w:p>
            <w:pPr>
              <w:spacing w:after="0"/>
              <w:rPr>
                <w:sz w:val="3"/>
                <w:szCs w:val="3"/>
                <w:color w:val="auto"/>
              </w:rPr>
            </w:pPr>
          </w:p>
        </w:tc>
        <w:tc>
          <w:tcPr>
            <w:tcW w:w="142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Investments and Cash Equivalents – 160.0%</w:t>
            </w:r>
          </w:p>
        </w:tc>
        <w:tc>
          <w:tcPr>
            <w:tcW w:w="1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792,686,462</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807,752,924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w w:val="94"/>
              </w:rPr>
              <w:t>Liabilities in Excess of Other Assets – (60.0%)</w:t>
            </w:r>
          </w:p>
        </w:tc>
        <w:tc>
          <w:tcPr>
            <w:tcW w:w="9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9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(302,813,833)</w:t>
            </w:r>
          </w:p>
        </w:tc>
        <w:tc>
          <w:tcPr>
            <w:tcW w:w="0" w:type="dxa"/>
            <w:vAlign w:val="bottom"/>
          </w:tcPr>
          <w:p>
            <w:pPr>
              <w:spacing w:after="0"/>
              <w:rPr>
                <w:sz w:val="1"/>
                <w:szCs w:val="1"/>
                <w:color w:val="auto"/>
              </w:rPr>
            </w:pPr>
          </w:p>
        </w:tc>
      </w:tr>
      <w:tr>
        <w:trPr>
          <w:trHeight w:val="53"/>
        </w:trPr>
        <w:tc>
          <w:tcPr>
            <w:tcW w:w="29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Assets – 100.0%</w:t>
            </w:r>
          </w:p>
        </w:tc>
        <w:tc>
          <w:tcPr>
            <w:tcW w:w="9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504,939,091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w:t>
            </w:r>
          </w:p>
        </w:tc>
        <w:tc>
          <w:tcPr>
            <w:tcW w:w="9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line="238"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660" w:hanging="652"/>
        <w:spacing w:after="0" w:line="221"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660" w:hanging="652"/>
        <w:spacing w:after="0" w:line="221"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Valued based on our valuation policy (See Note 2).</w:t>
      </w:r>
    </w:p>
    <w:p>
      <w:pPr>
        <w:ind w:left="660" w:right="40" w:hanging="652"/>
        <w:spacing w:after="0" w:line="221"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 Rate (LIBOR or “L”) or Prime Rate (Prime or “P”).</w:t>
      </w:r>
    </w:p>
    <w:p>
      <w:pPr>
        <w:ind w:left="660" w:right="40" w:hanging="652"/>
        <w:spacing w:after="0" w:line="221"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Security is exempt from or not subject to registration under Rule 144A promulgated under the Securities Act of 1933. The security may be resold in transactions that are exempt from registration, usually to qualified institutional buyers.</w:t>
      </w:r>
    </w:p>
    <w:p>
      <w:pPr>
        <w:ind w:left="660" w:hanging="652"/>
        <w:spacing w:after="0" w:line="221"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Coupon is payable in cash and/or payable in-kind (“PIK”).</w:t>
      </w:r>
    </w:p>
    <w:p>
      <w:pPr>
        <w:ind w:left="660" w:hanging="652"/>
        <w:spacing w:after="0" w:line="221"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660" w:hanging="652"/>
        <w:spacing w:after="0" w:line="221"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Coupon is subject to a LIBOR or a Prime rate floor or cap, as applicable.</w:t>
      </w:r>
    </w:p>
    <w:p>
      <w:pPr>
        <w:ind w:left="660" w:hanging="652"/>
        <w:spacing w:after="0" w:line="221"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660" w:hanging="652"/>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180"/>
          </w:cols>
          <w:pgMar w:left="320" w:top="125" w:right="399" w:bottom="1440" w:gutter="0" w:footer="0" w:header="0"/>
        </w:sect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80"/>
          </w:cols>
          <w:pgMar w:left="320" w:top="125" w:right="3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060"/>
        <w:spacing w:after="0" w:line="255"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Current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Basis Points</w:t>
            </w:r>
          </w:p>
        </w:tc>
        <w:tc>
          <w:tcPr>
            <w:tcW w:w="0" w:type="dxa"/>
            <w:vAlign w:val="bottom"/>
          </w:tcPr>
          <w:p>
            <w:pPr>
              <w:spacing w:after="0"/>
              <w:rPr>
                <w:sz w:val="1"/>
                <w:szCs w:val="1"/>
                <w:color w:val="auto"/>
              </w:rPr>
            </w:pPr>
          </w:p>
        </w:tc>
      </w:tr>
      <w:tr>
        <w:trPr>
          <w:trHeight w:val="149"/>
        </w:trPr>
        <w:tc>
          <w:tcPr>
            <w:tcW w:w="1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204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Maturity</w:t>
            </w:r>
          </w:p>
        </w:tc>
        <w:tc>
          <w:tcPr>
            <w:tcW w:w="12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1080" w:type="dxa"/>
            <w:vAlign w:val="bottom"/>
            <w:gridSpan w:val="2"/>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Above</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Coupon</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Investments in Non-Controlled, Non-Affiliated Portfolio Companies – 165.9%</w:t>
      </w:r>
      <w:r>
        <w:rPr>
          <w:rFonts w:ascii="Arial" w:cs="Arial" w:eastAsia="Arial" w:hAnsi="Arial"/>
          <w:sz w:val="8"/>
          <w:szCs w:val="8"/>
          <w:b w:val="1"/>
          <w:bCs w:val="1"/>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Par/Shares</w:t>
            </w:r>
          </w:p>
        </w:tc>
        <w:tc>
          <w:tcPr>
            <w:tcW w:w="260" w:type="dxa"/>
            <w:vAlign w:val="bottom"/>
          </w:tcPr>
          <w:p>
            <w:pPr>
              <w:spacing w:after="0"/>
              <w:rPr>
                <w:sz w:val="16"/>
                <w:szCs w:val="16"/>
                <w:color w:val="auto"/>
              </w:rPr>
            </w:pP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6"/>
                <w:szCs w:val="16"/>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8"/>
                <w:szCs w:val="8"/>
                <w:b w:val="1"/>
                <w:bCs w:val="1"/>
                <w:color w:val="auto"/>
              </w:rPr>
              <w:t>(3)</w:t>
            </w:r>
          </w:p>
        </w:tc>
      </w:tr>
    </w:tbl>
    <w:p>
      <w:pPr>
        <w:spacing w:after="0" w:line="477" w:lineRule="exact"/>
        <w:rPr>
          <w:sz w:val="20"/>
          <w:szCs w:val="20"/>
          <w:color w:val="auto"/>
        </w:rPr>
      </w:pPr>
    </w:p>
    <w:p>
      <w:pPr>
        <w:sectPr>
          <w:pgSz w:w="11900" w:h="16838" w:orient="portrait"/>
          <w:cols w:equalWidth="0" w:num="2">
            <w:col w:w="7540" w:space="320"/>
            <w:col w:w="3380"/>
          </w:cols>
          <w:pgMar w:left="320" w:top="125" w:right="339" w:bottom="1440" w:gutter="0" w:footer="0" w:header="0"/>
          <w:type w:val="continuous"/>
        </w:sectPr>
      </w:pPr>
    </w:p>
    <w:p>
      <w:pPr>
        <w:ind w:left="40" w:right="400"/>
        <w:spacing w:after="0" w:line="453" w:lineRule="auto"/>
        <w:rPr>
          <w:sz w:val="20"/>
          <w:szCs w:val="20"/>
          <w:color w:val="auto"/>
        </w:rPr>
      </w:pPr>
      <w:r>
        <w:rPr>
          <w:rFonts w:ascii="Arial" w:cs="Arial" w:eastAsia="Arial" w:hAnsi="Arial"/>
          <w:sz w:val="13"/>
          <w:szCs w:val="13"/>
          <w:b w:val="1"/>
          <w:bCs w:val="1"/>
          <w:color w:val="auto"/>
        </w:rPr>
        <w:t xml:space="preserve">First Lien Secured Debt – 59.3% </w:t>
      </w:r>
      <w:r>
        <w:rPr>
          <w:rFonts w:ascii="Arial" w:cs="Arial" w:eastAsia="Arial" w:hAnsi="Arial"/>
          <w:sz w:val="13"/>
          <w:szCs w:val="13"/>
          <w:color w:val="auto"/>
        </w:rPr>
        <w:t>Airvana Networks Solution, Inc. Birch Communications, Inc. Birch Communications, Inc.</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CEVA Group PLC</w:t>
      </w:r>
      <w:r>
        <w:rPr>
          <w:rFonts w:ascii="Arial" w:cs="Arial" w:eastAsia="Arial" w:hAnsi="Arial"/>
          <w:sz w:val="8"/>
          <w:szCs w:val="8"/>
          <w:color w:val="auto"/>
        </w:rPr>
        <w:t>(5),(10)</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CEVA Group PLC</w:t>
      </w:r>
      <w:r>
        <w:rPr>
          <w:rFonts w:ascii="Arial" w:cs="Arial" w:eastAsia="Arial" w:hAnsi="Arial"/>
          <w:sz w:val="8"/>
          <w:szCs w:val="8"/>
          <w:color w:val="auto"/>
        </w:rPr>
        <w:t>(5),(10)</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Chester Downs and Marina, LLC</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Columbus International, Inc.</w:t>
      </w:r>
      <w:r>
        <w:rPr>
          <w:rFonts w:ascii="Arial" w:cs="Arial" w:eastAsia="Arial" w:hAnsi="Arial"/>
          <w:sz w:val="8"/>
          <w:szCs w:val="8"/>
          <w:color w:val="auto"/>
        </w:rPr>
        <w:t>(5),(10)</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EnviroSolutions, Inc.</w:t>
      </w:r>
      <w:r>
        <w:rPr>
          <w:rFonts w:ascii="Arial" w:cs="Arial" w:eastAsia="Arial" w:hAnsi="Arial"/>
          <w:sz w:val="8"/>
          <w:szCs w:val="8"/>
          <w:color w:val="auto"/>
        </w:rPr>
        <w:t>(9)</w:t>
      </w:r>
    </w:p>
    <w:p>
      <w:pPr>
        <w:spacing w:after="0" w:line="177" w:lineRule="exact"/>
        <w:rPr>
          <w:sz w:val="20"/>
          <w:szCs w:val="20"/>
          <w:color w:val="auto"/>
        </w:rPr>
      </w:pPr>
    </w:p>
    <w:p>
      <w:pPr>
        <w:ind w:left="40" w:right="220"/>
        <w:spacing w:after="0" w:line="418" w:lineRule="auto"/>
        <w:rPr>
          <w:sz w:val="20"/>
          <w:szCs w:val="20"/>
          <w:color w:val="auto"/>
        </w:rPr>
      </w:pPr>
      <w:r>
        <w:rPr>
          <w:rFonts w:ascii="Arial" w:cs="Arial" w:eastAsia="Arial" w:hAnsi="Arial"/>
          <w:sz w:val="14"/>
          <w:szCs w:val="14"/>
          <w:color w:val="auto"/>
        </w:rPr>
        <w:t>Fairway Group Acquisition Company Hanley-Wood, L.L.C. Instant Web, Inc.</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Jacuzzi Brands Corp.</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K2 Pure Solutions NoCal, L.P.</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Learning Care Group, Inc.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Mattress Holding, Corp.</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right="820"/>
        <w:spacing w:after="0" w:line="486" w:lineRule="auto"/>
        <w:rPr>
          <w:sz w:val="20"/>
          <w:szCs w:val="20"/>
          <w:color w:val="auto"/>
        </w:rPr>
      </w:pPr>
      <w:r>
        <w:rPr>
          <w:rFonts w:ascii="Arial" w:cs="Arial" w:eastAsia="Arial" w:hAnsi="Arial"/>
          <w:sz w:val="13"/>
          <w:szCs w:val="13"/>
          <w:color w:val="auto"/>
        </w:rPr>
        <w:t>Penton Media, Inc. Questex Media Group LLC</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Questex Media Group LLC</w:t>
      </w:r>
      <w:r>
        <w:rPr>
          <w:rFonts w:ascii="Arial" w:cs="Arial" w:eastAsia="Arial" w:hAnsi="Arial"/>
          <w:sz w:val="8"/>
          <w:szCs w:val="8"/>
          <w:color w:val="auto"/>
        </w:rPr>
        <w:t>(9)</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Sugarhouse HSP Gaming Prop.</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Three Rivers Pharmaceutical, L.L.C.</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4"/>
          <w:szCs w:val="14"/>
          <w:color w:val="auto"/>
        </w:rPr>
        <w:t>Yonkers Racing Corp.</w:t>
      </w:r>
      <w:r>
        <w:rPr>
          <w:rFonts w:ascii="Arial" w:cs="Arial" w:eastAsia="Arial" w:hAnsi="Arial"/>
          <w:sz w:val="8"/>
          <w:szCs w:val="8"/>
          <w:color w:val="auto"/>
        </w:rPr>
        <w:t>(5)</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First Lien Secured Debt</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740" w:type="dxa"/>
            <w:vAlign w:val="bottom"/>
          </w:tcPr>
          <w:p>
            <w:pPr>
              <w:jc w:val="right"/>
              <w:ind w:right="8"/>
              <w:spacing w:after="0"/>
              <w:rPr>
                <w:sz w:val="20"/>
                <w:szCs w:val="20"/>
                <w:color w:val="auto"/>
              </w:rPr>
            </w:pPr>
            <w:r>
              <w:rPr>
                <w:rFonts w:ascii="Arial" w:cs="Arial" w:eastAsia="Arial" w:hAnsi="Arial"/>
                <w:sz w:val="14"/>
                <w:szCs w:val="14"/>
                <w:color w:val="auto"/>
                <w:w w:val="91"/>
              </w:rPr>
              <w:t>08/27/2014</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3"/>
              </w:rPr>
              <w:t>Communications</w:t>
            </w:r>
          </w:p>
        </w:tc>
        <w:tc>
          <w:tcPr>
            <w:tcW w:w="0" w:type="dxa"/>
            <w:vAlign w:val="bottom"/>
          </w:tcPr>
          <w:p>
            <w:pPr>
              <w:spacing w:after="0"/>
              <w:rPr>
                <w:sz w:val="1"/>
                <w:szCs w:val="1"/>
                <w:color w:val="auto"/>
              </w:rPr>
            </w:pPr>
          </w:p>
        </w:tc>
      </w:tr>
      <w:tr>
        <w:trPr>
          <w:trHeight w:val="270"/>
        </w:trPr>
        <w:tc>
          <w:tcPr>
            <w:tcW w:w="740" w:type="dxa"/>
            <w:vAlign w:val="bottom"/>
          </w:tcPr>
          <w:p>
            <w:pPr>
              <w:jc w:val="right"/>
              <w:ind w:right="8"/>
              <w:spacing w:after="0"/>
              <w:rPr>
                <w:sz w:val="20"/>
                <w:szCs w:val="20"/>
                <w:color w:val="auto"/>
              </w:rPr>
            </w:pPr>
            <w:r>
              <w:rPr>
                <w:rFonts w:ascii="Arial" w:cs="Arial" w:eastAsia="Arial" w:hAnsi="Arial"/>
                <w:sz w:val="14"/>
                <w:szCs w:val="14"/>
                <w:color w:val="auto"/>
                <w:w w:val="91"/>
              </w:rPr>
              <w:t>06/21/2015</w:t>
            </w:r>
          </w:p>
        </w:tc>
        <w:tc>
          <w:tcPr>
            <w:tcW w:w="1380" w:type="dxa"/>
            <w:vAlign w:val="bottom"/>
          </w:tcPr>
          <w:p>
            <w:pPr>
              <w:jc w:val="center"/>
              <w:ind w:left="28"/>
              <w:spacing w:after="0"/>
              <w:rPr>
                <w:sz w:val="20"/>
                <w:szCs w:val="20"/>
                <w:color w:val="auto"/>
              </w:rPr>
            </w:pPr>
            <w:r>
              <w:rPr>
                <w:rFonts w:ascii="Arial" w:cs="Arial" w:eastAsia="Arial" w:hAnsi="Arial"/>
                <w:sz w:val="14"/>
                <w:szCs w:val="14"/>
                <w:color w:val="auto"/>
                <w:w w:val="93"/>
              </w:rPr>
              <w:t>Telecommunications</w:t>
            </w:r>
          </w:p>
        </w:tc>
        <w:tc>
          <w:tcPr>
            <w:tcW w:w="0" w:type="dxa"/>
            <w:vAlign w:val="bottom"/>
          </w:tcPr>
          <w:p>
            <w:pPr>
              <w:spacing w:after="0"/>
              <w:rPr>
                <w:sz w:val="1"/>
                <w:szCs w:val="1"/>
                <w:color w:val="auto"/>
              </w:rPr>
            </w:pPr>
          </w:p>
        </w:tc>
      </w:tr>
      <w:tr>
        <w:trPr>
          <w:trHeight w:val="270"/>
        </w:trPr>
        <w:tc>
          <w:tcPr>
            <w:tcW w:w="740" w:type="dxa"/>
            <w:vAlign w:val="bottom"/>
          </w:tcPr>
          <w:p>
            <w:pPr>
              <w:jc w:val="right"/>
              <w:ind w:right="8"/>
              <w:spacing w:after="0"/>
              <w:rPr>
                <w:sz w:val="20"/>
                <w:szCs w:val="20"/>
                <w:color w:val="auto"/>
              </w:rPr>
            </w:pPr>
            <w:r>
              <w:rPr>
                <w:rFonts w:ascii="Arial" w:cs="Arial" w:eastAsia="Arial" w:hAnsi="Arial"/>
                <w:sz w:val="14"/>
                <w:szCs w:val="14"/>
                <w:color w:val="auto"/>
                <w:w w:val="91"/>
              </w:rPr>
              <w:t>01/31/2011</w:t>
            </w:r>
          </w:p>
        </w:tc>
        <w:tc>
          <w:tcPr>
            <w:tcW w:w="1380" w:type="dxa"/>
            <w:vAlign w:val="bottom"/>
          </w:tcPr>
          <w:p>
            <w:pPr>
              <w:jc w:val="center"/>
              <w:ind w:left="28"/>
              <w:spacing w:after="0"/>
              <w:rPr>
                <w:sz w:val="20"/>
                <w:szCs w:val="20"/>
                <w:color w:val="auto"/>
              </w:rPr>
            </w:pPr>
            <w:r>
              <w:rPr>
                <w:rFonts w:ascii="Arial" w:cs="Arial" w:eastAsia="Arial" w:hAnsi="Arial"/>
                <w:sz w:val="14"/>
                <w:szCs w:val="14"/>
                <w:color w:val="auto"/>
                <w:w w:val="93"/>
              </w:rPr>
              <w:t>Telecommunications</w:t>
            </w:r>
          </w:p>
        </w:tc>
        <w:tc>
          <w:tcPr>
            <w:tcW w:w="0" w:type="dxa"/>
            <w:vAlign w:val="bottom"/>
          </w:tcPr>
          <w:p>
            <w:pPr>
              <w:spacing w:after="0"/>
              <w:rPr>
                <w:sz w:val="1"/>
                <w:szCs w:val="1"/>
                <w:color w:val="auto"/>
              </w:rPr>
            </w:pPr>
          </w:p>
        </w:tc>
      </w:tr>
      <w:tr>
        <w:trPr>
          <w:trHeight w:val="243"/>
        </w:trPr>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w w:val="91"/>
              </w:rPr>
              <w:t>10/01/2016</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9"/>
              </w:rPr>
              <w:t>Logistics</w:t>
            </w:r>
          </w:p>
        </w:tc>
        <w:tc>
          <w:tcPr>
            <w:tcW w:w="0" w:type="dxa"/>
            <w:vAlign w:val="bottom"/>
          </w:tcPr>
          <w:p>
            <w:pPr>
              <w:spacing w:after="0"/>
              <w:rPr>
                <w:sz w:val="1"/>
                <w:szCs w:val="1"/>
                <w:color w:val="auto"/>
              </w:rPr>
            </w:pPr>
          </w:p>
        </w:tc>
      </w:tr>
      <w:tr>
        <w:trPr>
          <w:trHeight w:val="135"/>
        </w:trPr>
        <w:tc>
          <w:tcPr>
            <w:tcW w:w="7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w w:val="91"/>
              </w:rPr>
              <w:t>04/01/2018</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9"/>
              </w:rPr>
              <w:t>Logistics</w:t>
            </w:r>
          </w:p>
        </w:tc>
        <w:tc>
          <w:tcPr>
            <w:tcW w:w="0" w:type="dxa"/>
            <w:vAlign w:val="bottom"/>
          </w:tcPr>
          <w:p>
            <w:pPr>
              <w:spacing w:after="0"/>
              <w:rPr>
                <w:sz w:val="1"/>
                <w:szCs w:val="1"/>
                <w:color w:val="auto"/>
              </w:rPr>
            </w:pPr>
          </w:p>
        </w:tc>
      </w:tr>
      <w:tr>
        <w:trPr>
          <w:trHeight w:val="135"/>
        </w:trPr>
        <w:tc>
          <w:tcPr>
            <w:tcW w:w="7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w w:val="91"/>
              </w:rPr>
              <w:t>07/31/2016</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5"/>
              </w:rPr>
              <w:t>Hotels, Motels, Inns</w:t>
            </w:r>
          </w:p>
        </w:tc>
        <w:tc>
          <w:tcPr>
            <w:tcW w:w="0" w:type="dxa"/>
            <w:vAlign w:val="bottom"/>
          </w:tcPr>
          <w:p>
            <w:pPr>
              <w:spacing w:after="0"/>
              <w:rPr>
                <w:sz w:val="1"/>
                <w:szCs w:val="1"/>
                <w:color w:val="auto"/>
              </w:rPr>
            </w:pPr>
          </w:p>
        </w:tc>
      </w:tr>
      <w:tr>
        <w:trPr>
          <w:trHeight w:val="101"/>
        </w:trPr>
        <w:tc>
          <w:tcPr>
            <w:tcW w:w="740" w:type="dxa"/>
            <w:vAlign w:val="bottom"/>
            <w:vMerge w:val="continue"/>
          </w:tcPr>
          <w:p>
            <w:pPr>
              <w:spacing w:after="0"/>
              <w:rPr>
                <w:sz w:val="8"/>
                <w:szCs w:val="8"/>
                <w:color w:val="auto"/>
              </w:rPr>
            </w:pPr>
          </w:p>
        </w:tc>
        <w:tc>
          <w:tcPr>
            <w:tcW w:w="138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and Gaming</w:t>
            </w:r>
          </w:p>
        </w:tc>
        <w:tc>
          <w:tcPr>
            <w:tcW w:w="0" w:type="dxa"/>
            <w:vAlign w:val="bottom"/>
          </w:tcPr>
          <w:p>
            <w:pPr>
              <w:spacing w:after="0"/>
              <w:rPr>
                <w:sz w:val="1"/>
                <w:szCs w:val="1"/>
                <w:color w:val="auto"/>
              </w:rPr>
            </w:pPr>
          </w:p>
        </w:tc>
      </w:tr>
      <w:tr>
        <w:trPr>
          <w:trHeight w:val="81"/>
        </w:trPr>
        <w:tc>
          <w:tcPr>
            <w:tcW w:w="74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w w:val="91"/>
              </w:rPr>
              <w:t>11/20/2014</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3"/>
              </w:rPr>
              <w:t>Communications</w:t>
            </w:r>
          </w:p>
        </w:tc>
        <w:tc>
          <w:tcPr>
            <w:tcW w:w="0" w:type="dxa"/>
            <w:vAlign w:val="bottom"/>
          </w:tcPr>
          <w:p>
            <w:pPr>
              <w:spacing w:after="0"/>
              <w:rPr>
                <w:sz w:val="1"/>
                <w:szCs w:val="1"/>
                <w:color w:val="auto"/>
              </w:rPr>
            </w:pPr>
          </w:p>
        </w:tc>
      </w:tr>
      <w:tr>
        <w:trPr>
          <w:trHeight w:val="135"/>
        </w:trPr>
        <w:tc>
          <w:tcPr>
            <w:tcW w:w="7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w w:val="91"/>
              </w:rPr>
              <w:t>07/29/2013</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6"/>
              </w:rPr>
              <w:t>Environmental</w:t>
            </w:r>
          </w:p>
        </w:tc>
        <w:tc>
          <w:tcPr>
            <w:tcW w:w="0" w:type="dxa"/>
            <w:vAlign w:val="bottom"/>
          </w:tcPr>
          <w:p>
            <w:pPr>
              <w:spacing w:after="0"/>
              <w:rPr>
                <w:sz w:val="1"/>
                <w:szCs w:val="1"/>
                <w:color w:val="auto"/>
              </w:rPr>
            </w:pPr>
          </w:p>
        </w:tc>
      </w:tr>
      <w:tr>
        <w:trPr>
          <w:trHeight w:val="182"/>
        </w:trPr>
        <w:tc>
          <w:tcPr>
            <w:tcW w:w="740" w:type="dxa"/>
            <w:vAlign w:val="bottom"/>
            <w:vMerge w:val="continue"/>
          </w:tcPr>
          <w:p>
            <w:pPr>
              <w:spacing w:after="0"/>
              <w:rPr>
                <w:sz w:val="15"/>
                <w:szCs w:val="15"/>
                <w:color w:val="auto"/>
              </w:rPr>
            </w:pP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3"/>
              </w:rPr>
              <w:t>Services</w:t>
            </w:r>
          </w:p>
        </w:tc>
        <w:tc>
          <w:tcPr>
            <w:tcW w:w="0" w:type="dxa"/>
            <w:vAlign w:val="bottom"/>
          </w:tcPr>
          <w:p>
            <w:pPr>
              <w:spacing w:after="0"/>
              <w:rPr>
                <w:sz w:val="1"/>
                <w:szCs w:val="1"/>
                <w:color w:val="auto"/>
              </w:rPr>
            </w:pPr>
          </w:p>
        </w:tc>
      </w:tr>
      <w:tr>
        <w:trPr>
          <w:trHeight w:val="351"/>
        </w:trPr>
        <w:tc>
          <w:tcPr>
            <w:tcW w:w="740" w:type="dxa"/>
            <w:vAlign w:val="bottom"/>
          </w:tcPr>
          <w:p>
            <w:pPr>
              <w:jc w:val="right"/>
              <w:ind w:right="8"/>
              <w:spacing w:after="0"/>
              <w:rPr>
                <w:sz w:val="20"/>
                <w:szCs w:val="20"/>
                <w:color w:val="auto"/>
              </w:rPr>
            </w:pPr>
            <w:r>
              <w:rPr>
                <w:rFonts w:ascii="Arial" w:cs="Arial" w:eastAsia="Arial" w:hAnsi="Arial"/>
                <w:sz w:val="14"/>
                <w:szCs w:val="14"/>
                <w:color w:val="auto"/>
                <w:w w:val="91"/>
              </w:rPr>
              <w:t>10/01/2014</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2"/>
              </w:rPr>
              <w:t>Grocery</w:t>
            </w:r>
          </w:p>
        </w:tc>
        <w:tc>
          <w:tcPr>
            <w:tcW w:w="0" w:type="dxa"/>
            <w:vAlign w:val="bottom"/>
          </w:tcPr>
          <w:p>
            <w:pPr>
              <w:spacing w:after="0"/>
              <w:rPr>
                <w:sz w:val="1"/>
                <w:szCs w:val="1"/>
                <w:color w:val="auto"/>
              </w:rPr>
            </w:pPr>
          </w:p>
        </w:tc>
      </w:tr>
      <w:tr>
        <w:trPr>
          <w:trHeight w:val="270"/>
        </w:trPr>
        <w:tc>
          <w:tcPr>
            <w:tcW w:w="740" w:type="dxa"/>
            <w:vAlign w:val="bottom"/>
          </w:tcPr>
          <w:p>
            <w:pPr>
              <w:jc w:val="right"/>
              <w:ind w:right="8"/>
              <w:spacing w:after="0"/>
              <w:rPr>
                <w:sz w:val="20"/>
                <w:szCs w:val="20"/>
                <w:color w:val="auto"/>
              </w:rPr>
            </w:pPr>
            <w:r>
              <w:rPr>
                <w:rFonts w:ascii="Arial" w:cs="Arial" w:eastAsia="Arial" w:hAnsi="Arial"/>
                <w:sz w:val="14"/>
                <w:szCs w:val="14"/>
                <w:color w:val="auto"/>
                <w:w w:val="91"/>
              </w:rPr>
              <w:t>03/08/2014</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6"/>
              </w:rPr>
              <w:t>Other Media</w:t>
            </w:r>
          </w:p>
        </w:tc>
        <w:tc>
          <w:tcPr>
            <w:tcW w:w="0" w:type="dxa"/>
            <w:vAlign w:val="bottom"/>
          </w:tcPr>
          <w:p>
            <w:pPr>
              <w:spacing w:after="0"/>
              <w:rPr>
                <w:sz w:val="1"/>
                <w:szCs w:val="1"/>
                <w:color w:val="auto"/>
              </w:rPr>
            </w:pPr>
          </w:p>
        </w:tc>
      </w:tr>
      <w:tr>
        <w:trPr>
          <w:trHeight w:val="209"/>
        </w:trPr>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w w:val="91"/>
              </w:rPr>
              <w:t>08/07/2014</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3"/>
              </w:rPr>
              <w:t>Printing and</w:t>
            </w:r>
          </w:p>
        </w:tc>
        <w:tc>
          <w:tcPr>
            <w:tcW w:w="0" w:type="dxa"/>
            <w:vAlign w:val="bottom"/>
          </w:tcPr>
          <w:p>
            <w:pPr>
              <w:spacing w:after="0"/>
              <w:rPr>
                <w:sz w:val="1"/>
                <w:szCs w:val="1"/>
                <w:color w:val="auto"/>
              </w:rPr>
            </w:pPr>
          </w:p>
        </w:tc>
      </w:tr>
      <w:tr>
        <w:trPr>
          <w:trHeight w:val="101"/>
        </w:trPr>
        <w:tc>
          <w:tcPr>
            <w:tcW w:w="740" w:type="dxa"/>
            <w:vAlign w:val="bottom"/>
            <w:vMerge w:val="continue"/>
          </w:tcPr>
          <w:p>
            <w:pPr>
              <w:spacing w:after="0"/>
              <w:rPr>
                <w:sz w:val="8"/>
                <w:szCs w:val="8"/>
                <w:color w:val="auto"/>
              </w:rPr>
            </w:pPr>
          </w:p>
        </w:tc>
        <w:tc>
          <w:tcPr>
            <w:tcW w:w="1380" w:type="dxa"/>
            <w:vAlign w:val="bottom"/>
            <w:vMerge w:val="restart"/>
          </w:tcPr>
          <w:p>
            <w:pPr>
              <w:jc w:val="center"/>
              <w:ind w:left="8"/>
              <w:spacing w:after="0"/>
              <w:rPr>
                <w:sz w:val="20"/>
                <w:szCs w:val="20"/>
                <w:color w:val="auto"/>
              </w:rPr>
            </w:pPr>
            <w:r>
              <w:rPr>
                <w:rFonts w:ascii="Arial" w:cs="Arial" w:eastAsia="Arial" w:hAnsi="Arial"/>
                <w:sz w:val="14"/>
                <w:szCs w:val="14"/>
                <w:color w:val="auto"/>
                <w:w w:val="95"/>
              </w:rPr>
              <w:t>Publishing</w:t>
            </w:r>
          </w:p>
        </w:tc>
        <w:tc>
          <w:tcPr>
            <w:tcW w:w="0" w:type="dxa"/>
            <w:vAlign w:val="bottom"/>
          </w:tcPr>
          <w:p>
            <w:pPr>
              <w:spacing w:after="0"/>
              <w:rPr>
                <w:sz w:val="1"/>
                <w:szCs w:val="1"/>
                <w:color w:val="auto"/>
              </w:rPr>
            </w:pPr>
          </w:p>
        </w:tc>
      </w:tr>
      <w:tr>
        <w:trPr>
          <w:trHeight w:val="81"/>
        </w:trPr>
        <w:tc>
          <w:tcPr>
            <w:tcW w:w="74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3"/>
              </w:rPr>
              <w:t>Home and Office</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380" w:type="dxa"/>
            <w:vAlign w:val="bottom"/>
          </w:tcPr>
          <w:p>
            <w:pPr>
              <w:jc w:val="center"/>
              <w:ind w:left="8"/>
              <w:spacing w:after="0" w:line="149" w:lineRule="exact"/>
              <w:rPr>
                <w:sz w:val="20"/>
                <w:szCs w:val="20"/>
                <w:color w:val="auto"/>
              </w:rPr>
            </w:pPr>
            <w:r>
              <w:rPr>
                <w:rFonts w:ascii="Arial" w:cs="Arial" w:eastAsia="Arial" w:hAnsi="Arial"/>
                <w:sz w:val="14"/>
                <w:szCs w:val="14"/>
                <w:color w:val="auto"/>
                <w:w w:val="91"/>
              </w:rPr>
              <w:t>Furnishings,</w:t>
            </w:r>
          </w:p>
        </w:tc>
        <w:tc>
          <w:tcPr>
            <w:tcW w:w="0" w:type="dxa"/>
            <w:vAlign w:val="bottom"/>
          </w:tcPr>
          <w:p>
            <w:pPr>
              <w:spacing w:after="0"/>
              <w:rPr>
                <w:sz w:val="1"/>
                <w:szCs w:val="1"/>
                <w:color w:val="auto"/>
              </w:rPr>
            </w:pPr>
          </w:p>
        </w:tc>
      </w:tr>
      <w:tr>
        <w:trPr>
          <w:trHeight w:val="149"/>
        </w:trPr>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1"/>
              </w:rPr>
              <w:t>02/07/2014</w:t>
            </w:r>
          </w:p>
        </w:tc>
        <w:tc>
          <w:tcPr>
            <w:tcW w:w="1380" w:type="dxa"/>
            <w:vAlign w:val="bottom"/>
          </w:tcPr>
          <w:p>
            <w:pPr>
              <w:jc w:val="center"/>
              <w:ind w:left="8"/>
              <w:spacing w:after="0" w:line="149" w:lineRule="exact"/>
              <w:rPr>
                <w:sz w:val="20"/>
                <w:szCs w:val="20"/>
                <w:color w:val="auto"/>
              </w:rPr>
            </w:pPr>
            <w:r>
              <w:rPr>
                <w:rFonts w:ascii="Arial" w:cs="Arial" w:eastAsia="Arial" w:hAnsi="Arial"/>
                <w:sz w:val="14"/>
                <w:szCs w:val="14"/>
                <w:color w:val="auto"/>
                <w:w w:val="89"/>
              </w:rPr>
              <w:t>Housewares and</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380" w:type="dxa"/>
            <w:vAlign w:val="bottom"/>
          </w:tcPr>
          <w:p>
            <w:pPr>
              <w:jc w:val="center"/>
              <w:ind w:left="8"/>
              <w:spacing w:after="0" w:line="149" w:lineRule="exact"/>
              <w:rPr>
                <w:sz w:val="20"/>
                <w:szCs w:val="20"/>
                <w:color w:val="auto"/>
              </w:rPr>
            </w:pPr>
            <w:r>
              <w:rPr>
                <w:rFonts w:ascii="Arial" w:cs="Arial" w:eastAsia="Arial" w:hAnsi="Arial"/>
                <w:sz w:val="14"/>
                <w:szCs w:val="14"/>
                <w:color w:val="auto"/>
                <w:w w:val="93"/>
              </w:rPr>
              <w:t>Durable Consumer</w:t>
            </w: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0"/>
              </w:rPr>
              <w:t>Products</w:t>
            </w:r>
          </w:p>
        </w:tc>
        <w:tc>
          <w:tcPr>
            <w:tcW w:w="0" w:type="dxa"/>
            <w:vAlign w:val="bottom"/>
          </w:tcPr>
          <w:p>
            <w:pPr>
              <w:spacing w:after="0"/>
              <w:rPr>
                <w:sz w:val="1"/>
                <w:szCs w:val="1"/>
                <w:color w:val="auto"/>
              </w:rPr>
            </w:pPr>
          </w:p>
        </w:tc>
      </w:tr>
      <w:tr>
        <w:trPr>
          <w:trHeight w:val="169"/>
        </w:trPr>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w w:val="91"/>
              </w:rPr>
              <w:t>09/10/2015</w:t>
            </w:r>
          </w:p>
        </w:tc>
        <w:tc>
          <w:tcPr>
            <w:tcW w:w="1380" w:type="dxa"/>
            <w:vAlign w:val="bottom"/>
          </w:tcPr>
          <w:p>
            <w:pPr>
              <w:jc w:val="center"/>
              <w:ind w:left="28"/>
              <w:spacing w:after="0"/>
              <w:rPr>
                <w:sz w:val="20"/>
                <w:szCs w:val="20"/>
                <w:color w:val="auto"/>
              </w:rPr>
            </w:pPr>
            <w:r>
              <w:rPr>
                <w:rFonts w:ascii="Arial" w:cs="Arial" w:eastAsia="Arial" w:hAnsi="Arial"/>
                <w:sz w:val="14"/>
                <w:szCs w:val="14"/>
                <w:color w:val="auto"/>
                <w:w w:val="92"/>
              </w:rPr>
              <w:t>Chemicals, Plastics</w:t>
            </w:r>
          </w:p>
        </w:tc>
        <w:tc>
          <w:tcPr>
            <w:tcW w:w="0" w:type="dxa"/>
            <w:vAlign w:val="bottom"/>
          </w:tcPr>
          <w:p>
            <w:pPr>
              <w:spacing w:after="0"/>
              <w:rPr>
                <w:sz w:val="1"/>
                <w:szCs w:val="1"/>
                <w:color w:val="auto"/>
              </w:rPr>
            </w:pPr>
          </w:p>
        </w:tc>
      </w:tr>
      <w:tr>
        <w:trPr>
          <w:trHeight w:val="101"/>
        </w:trPr>
        <w:tc>
          <w:tcPr>
            <w:tcW w:w="740" w:type="dxa"/>
            <w:vAlign w:val="bottom"/>
            <w:vMerge w:val="continue"/>
          </w:tcPr>
          <w:p>
            <w:pPr>
              <w:spacing w:after="0"/>
              <w:rPr>
                <w:sz w:val="8"/>
                <w:szCs w:val="8"/>
                <w:color w:val="auto"/>
              </w:rPr>
            </w:pPr>
          </w:p>
        </w:tc>
        <w:tc>
          <w:tcPr>
            <w:tcW w:w="1380" w:type="dxa"/>
            <w:vAlign w:val="bottom"/>
            <w:vMerge w:val="restart"/>
          </w:tcPr>
          <w:p>
            <w:pPr>
              <w:jc w:val="center"/>
              <w:ind w:left="8"/>
              <w:spacing w:after="0"/>
              <w:rPr>
                <w:sz w:val="20"/>
                <w:szCs w:val="20"/>
                <w:color w:val="auto"/>
              </w:rPr>
            </w:pPr>
            <w:r>
              <w:rPr>
                <w:rFonts w:ascii="Arial" w:cs="Arial" w:eastAsia="Arial" w:hAnsi="Arial"/>
                <w:sz w:val="14"/>
                <w:szCs w:val="14"/>
                <w:color w:val="auto"/>
                <w:w w:val="90"/>
              </w:rPr>
              <w:t>and Rubber</w:t>
            </w:r>
          </w:p>
        </w:tc>
        <w:tc>
          <w:tcPr>
            <w:tcW w:w="0" w:type="dxa"/>
            <w:vAlign w:val="bottom"/>
          </w:tcPr>
          <w:p>
            <w:pPr>
              <w:spacing w:after="0"/>
              <w:rPr>
                <w:sz w:val="1"/>
                <w:szCs w:val="1"/>
                <w:color w:val="auto"/>
              </w:rPr>
            </w:pPr>
          </w:p>
        </w:tc>
      </w:tr>
      <w:tr>
        <w:trPr>
          <w:trHeight w:val="81"/>
        </w:trPr>
        <w:tc>
          <w:tcPr>
            <w:tcW w:w="74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40" w:type="dxa"/>
            <w:vAlign w:val="bottom"/>
          </w:tcPr>
          <w:p>
            <w:pPr>
              <w:jc w:val="right"/>
              <w:ind w:right="8"/>
              <w:spacing w:after="0"/>
              <w:rPr>
                <w:sz w:val="20"/>
                <w:szCs w:val="20"/>
                <w:color w:val="auto"/>
              </w:rPr>
            </w:pPr>
            <w:r>
              <w:rPr>
                <w:rFonts w:ascii="Arial" w:cs="Arial" w:eastAsia="Arial" w:hAnsi="Arial"/>
                <w:sz w:val="14"/>
                <w:szCs w:val="14"/>
                <w:color w:val="auto"/>
                <w:w w:val="91"/>
              </w:rPr>
              <w:t>04/27/2016</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3"/>
              </w:rPr>
              <w:t>Education</w:t>
            </w: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3"/>
              </w:rPr>
              <w:t>Home and Office</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380" w:type="dxa"/>
            <w:vAlign w:val="bottom"/>
          </w:tcPr>
          <w:p>
            <w:pPr>
              <w:jc w:val="center"/>
              <w:ind w:left="8"/>
              <w:spacing w:after="0" w:line="149" w:lineRule="exact"/>
              <w:rPr>
                <w:sz w:val="20"/>
                <w:szCs w:val="20"/>
                <w:color w:val="auto"/>
              </w:rPr>
            </w:pPr>
            <w:r>
              <w:rPr>
                <w:rFonts w:ascii="Arial" w:cs="Arial" w:eastAsia="Arial" w:hAnsi="Arial"/>
                <w:sz w:val="14"/>
                <w:szCs w:val="14"/>
                <w:color w:val="auto"/>
                <w:w w:val="91"/>
              </w:rPr>
              <w:t>Furnishings,</w:t>
            </w:r>
          </w:p>
        </w:tc>
        <w:tc>
          <w:tcPr>
            <w:tcW w:w="0" w:type="dxa"/>
            <w:vAlign w:val="bottom"/>
          </w:tcPr>
          <w:p>
            <w:pPr>
              <w:spacing w:after="0"/>
              <w:rPr>
                <w:sz w:val="1"/>
                <w:szCs w:val="1"/>
                <w:color w:val="auto"/>
              </w:rPr>
            </w:pPr>
          </w:p>
        </w:tc>
      </w:tr>
      <w:tr>
        <w:trPr>
          <w:trHeight w:val="148"/>
        </w:trPr>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1"/>
              </w:rPr>
              <w:t>01/18/2014</w:t>
            </w:r>
          </w:p>
        </w:tc>
        <w:tc>
          <w:tcPr>
            <w:tcW w:w="1380" w:type="dxa"/>
            <w:vAlign w:val="bottom"/>
          </w:tcPr>
          <w:p>
            <w:pPr>
              <w:jc w:val="center"/>
              <w:ind w:left="8"/>
              <w:spacing w:after="0" w:line="149" w:lineRule="exact"/>
              <w:rPr>
                <w:sz w:val="20"/>
                <w:szCs w:val="20"/>
                <w:color w:val="auto"/>
              </w:rPr>
            </w:pPr>
            <w:r>
              <w:rPr>
                <w:rFonts w:ascii="Arial" w:cs="Arial" w:eastAsia="Arial" w:hAnsi="Arial"/>
                <w:sz w:val="14"/>
                <w:szCs w:val="14"/>
                <w:color w:val="auto"/>
                <w:w w:val="89"/>
              </w:rPr>
              <w:t>Housewares and</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380" w:type="dxa"/>
            <w:vAlign w:val="bottom"/>
          </w:tcPr>
          <w:p>
            <w:pPr>
              <w:jc w:val="center"/>
              <w:ind w:left="8"/>
              <w:spacing w:after="0" w:line="149" w:lineRule="exact"/>
              <w:rPr>
                <w:sz w:val="20"/>
                <w:szCs w:val="20"/>
                <w:color w:val="auto"/>
              </w:rPr>
            </w:pPr>
            <w:r>
              <w:rPr>
                <w:rFonts w:ascii="Arial" w:cs="Arial" w:eastAsia="Arial" w:hAnsi="Arial"/>
                <w:sz w:val="14"/>
                <w:szCs w:val="14"/>
                <w:color w:val="auto"/>
                <w:w w:val="93"/>
              </w:rPr>
              <w:t>Durable Consumer</w:t>
            </w: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0"/>
              </w:rPr>
              <w:t>Products</w:t>
            </w:r>
          </w:p>
        </w:tc>
        <w:tc>
          <w:tcPr>
            <w:tcW w:w="0" w:type="dxa"/>
            <w:vAlign w:val="bottom"/>
          </w:tcPr>
          <w:p>
            <w:pPr>
              <w:spacing w:after="0"/>
              <w:rPr>
                <w:sz w:val="1"/>
                <w:szCs w:val="1"/>
                <w:color w:val="auto"/>
              </w:rPr>
            </w:pPr>
          </w:p>
        </w:tc>
      </w:tr>
      <w:tr>
        <w:trPr>
          <w:trHeight w:val="229"/>
        </w:trPr>
        <w:tc>
          <w:tcPr>
            <w:tcW w:w="740" w:type="dxa"/>
            <w:vAlign w:val="bottom"/>
          </w:tcPr>
          <w:p>
            <w:pPr>
              <w:jc w:val="right"/>
              <w:ind w:right="8"/>
              <w:spacing w:after="0"/>
              <w:rPr>
                <w:sz w:val="20"/>
                <w:szCs w:val="20"/>
                <w:color w:val="auto"/>
              </w:rPr>
            </w:pPr>
            <w:r>
              <w:rPr>
                <w:rFonts w:ascii="Arial" w:cs="Arial" w:eastAsia="Arial" w:hAnsi="Arial"/>
                <w:sz w:val="14"/>
                <w:szCs w:val="14"/>
                <w:color w:val="auto"/>
                <w:w w:val="91"/>
              </w:rPr>
              <w:t>08/01/2014</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6"/>
              </w:rPr>
              <w:t>Other Media</w:t>
            </w:r>
          </w:p>
        </w:tc>
        <w:tc>
          <w:tcPr>
            <w:tcW w:w="0" w:type="dxa"/>
            <w:vAlign w:val="bottom"/>
          </w:tcPr>
          <w:p>
            <w:pPr>
              <w:spacing w:after="0"/>
              <w:rPr>
                <w:sz w:val="1"/>
                <w:szCs w:val="1"/>
                <w:color w:val="auto"/>
              </w:rPr>
            </w:pPr>
          </w:p>
        </w:tc>
      </w:tr>
      <w:tr>
        <w:trPr>
          <w:trHeight w:val="270"/>
        </w:trPr>
        <w:tc>
          <w:tcPr>
            <w:tcW w:w="740" w:type="dxa"/>
            <w:vAlign w:val="bottom"/>
          </w:tcPr>
          <w:p>
            <w:pPr>
              <w:jc w:val="right"/>
              <w:ind w:right="8"/>
              <w:spacing w:after="0"/>
              <w:rPr>
                <w:sz w:val="20"/>
                <w:szCs w:val="20"/>
                <w:color w:val="auto"/>
              </w:rPr>
            </w:pPr>
            <w:r>
              <w:rPr>
                <w:rFonts w:ascii="Arial" w:cs="Arial" w:eastAsia="Arial" w:hAnsi="Arial"/>
                <w:sz w:val="14"/>
                <w:szCs w:val="14"/>
                <w:color w:val="auto"/>
                <w:w w:val="91"/>
              </w:rPr>
              <w:t>12/16/2012</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6"/>
              </w:rPr>
              <w:t>Other Media</w:t>
            </w:r>
          </w:p>
        </w:tc>
        <w:tc>
          <w:tcPr>
            <w:tcW w:w="0" w:type="dxa"/>
            <w:vAlign w:val="bottom"/>
          </w:tcPr>
          <w:p>
            <w:pPr>
              <w:spacing w:after="0"/>
              <w:rPr>
                <w:sz w:val="1"/>
                <w:szCs w:val="1"/>
                <w:color w:val="auto"/>
              </w:rPr>
            </w:pPr>
          </w:p>
        </w:tc>
      </w:tr>
      <w:tr>
        <w:trPr>
          <w:trHeight w:val="243"/>
        </w:trPr>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w w:val="91"/>
              </w:rPr>
              <w:t>12/16/2012</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6"/>
              </w:rPr>
              <w:t>Other Media</w:t>
            </w:r>
          </w:p>
        </w:tc>
        <w:tc>
          <w:tcPr>
            <w:tcW w:w="0" w:type="dxa"/>
            <w:vAlign w:val="bottom"/>
          </w:tcPr>
          <w:p>
            <w:pPr>
              <w:spacing w:after="0"/>
              <w:rPr>
                <w:sz w:val="1"/>
                <w:szCs w:val="1"/>
                <w:color w:val="auto"/>
              </w:rPr>
            </w:pPr>
          </w:p>
        </w:tc>
      </w:tr>
      <w:tr>
        <w:trPr>
          <w:trHeight w:val="135"/>
        </w:trPr>
        <w:tc>
          <w:tcPr>
            <w:tcW w:w="7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w w:val="91"/>
              </w:rPr>
              <w:t>09/23/2014</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5"/>
              </w:rPr>
              <w:t>Hotels, Motels, Inns</w:t>
            </w:r>
          </w:p>
        </w:tc>
        <w:tc>
          <w:tcPr>
            <w:tcW w:w="0" w:type="dxa"/>
            <w:vAlign w:val="bottom"/>
          </w:tcPr>
          <w:p>
            <w:pPr>
              <w:spacing w:after="0"/>
              <w:rPr>
                <w:sz w:val="1"/>
                <w:szCs w:val="1"/>
                <w:color w:val="auto"/>
              </w:rPr>
            </w:pPr>
          </w:p>
        </w:tc>
      </w:tr>
      <w:tr>
        <w:trPr>
          <w:trHeight w:val="101"/>
        </w:trPr>
        <w:tc>
          <w:tcPr>
            <w:tcW w:w="740" w:type="dxa"/>
            <w:vAlign w:val="bottom"/>
            <w:vMerge w:val="continue"/>
          </w:tcPr>
          <w:p>
            <w:pPr>
              <w:spacing w:after="0"/>
              <w:rPr>
                <w:sz w:val="8"/>
                <w:szCs w:val="8"/>
                <w:color w:val="auto"/>
              </w:rPr>
            </w:pPr>
          </w:p>
        </w:tc>
        <w:tc>
          <w:tcPr>
            <w:tcW w:w="138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and Gaming</w:t>
            </w:r>
          </w:p>
        </w:tc>
        <w:tc>
          <w:tcPr>
            <w:tcW w:w="0" w:type="dxa"/>
            <w:vAlign w:val="bottom"/>
          </w:tcPr>
          <w:p>
            <w:pPr>
              <w:spacing w:after="0"/>
              <w:rPr>
                <w:sz w:val="1"/>
                <w:szCs w:val="1"/>
                <w:color w:val="auto"/>
              </w:rPr>
            </w:pPr>
          </w:p>
        </w:tc>
      </w:tr>
      <w:tr>
        <w:trPr>
          <w:trHeight w:val="81"/>
        </w:trPr>
        <w:tc>
          <w:tcPr>
            <w:tcW w:w="74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w w:val="91"/>
              </w:rPr>
              <w:t>10/22/2011</w:t>
            </w:r>
          </w:p>
        </w:tc>
        <w:tc>
          <w:tcPr>
            <w:tcW w:w="1380" w:type="dxa"/>
            <w:vAlign w:val="bottom"/>
          </w:tcPr>
          <w:p>
            <w:pPr>
              <w:jc w:val="center"/>
              <w:ind w:left="28"/>
              <w:spacing w:after="0"/>
              <w:rPr>
                <w:sz w:val="20"/>
                <w:szCs w:val="20"/>
                <w:color w:val="auto"/>
              </w:rPr>
            </w:pPr>
            <w:r>
              <w:rPr>
                <w:rFonts w:ascii="Arial" w:cs="Arial" w:eastAsia="Arial" w:hAnsi="Arial"/>
                <w:sz w:val="14"/>
                <w:szCs w:val="14"/>
                <w:color w:val="auto"/>
                <w:w w:val="92"/>
              </w:rPr>
              <w:t>Healthcare, Education</w:t>
            </w:r>
          </w:p>
        </w:tc>
        <w:tc>
          <w:tcPr>
            <w:tcW w:w="0" w:type="dxa"/>
            <w:vAlign w:val="bottom"/>
          </w:tcPr>
          <w:p>
            <w:pPr>
              <w:spacing w:after="0"/>
              <w:rPr>
                <w:sz w:val="1"/>
                <w:szCs w:val="1"/>
                <w:color w:val="auto"/>
              </w:rPr>
            </w:pPr>
          </w:p>
        </w:tc>
      </w:tr>
      <w:tr>
        <w:trPr>
          <w:trHeight w:val="101"/>
        </w:trPr>
        <w:tc>
          <w:tcPr>
            <w:tcW w:w="740" w:type="dxa"/>
            <w:vAlign w:val="bottom"/>
            <w:vMerge w:val="continue"/>
          </w:tcPr>
          <w:p>
            <w:pPr>
              <w:spacing w:after="0"/>
              <w:rPr>
                <w:sz w:val="8"/>
                <w:szCs w:val="8"/>
                <w:color w:val="auto"/>
              </w:rPr>
            </w:pPr>
          </w:p>
        </w:tc>
        <w:tc>
          <w:tcPr>
            <w:tcW w:w="1380" w:type="dxa"/>
            <w:vAlign w:val="bottom"/>
            <w:vMerge w:val="restart"/>
          </w:tcPr>
          <w:p>
            <w:pPr>
              <w:jc w:val="center"/>
              <w:ind w:left="28"/>
              <w:spacing w:after="0"/>
              <w:rPr>
                <w:sz w:val="20"/>
                <w:szCs w:val="20"/>
                <w:color w:val="auto"/>
              </w:rPr>
            </w:pPr>
            <w:r>
              <w:rPr>
                <w:rFonts w:ascii="Arial" w:cs="Arial" w:eastAsia="Arial" w:hAnsi="Arial"/>
                <w:sz w:val="14"/>
                <w:szCs w:val="14"/>
                <w:color w:val="auto"/>
                <w:w w:val="92"/>
              </w:rPr>
              <w:t>and Childcare</w:t>
            </w:r>
          </w:p>
        </w:tc>
        <w:tc>
          <w:tcPr>
            <w:tcW w:w="0" w:type="dxa"/>
            <w:vAlign w:val="bottom"/>
          </w:tcPr>
          <w:p>
            <w:pPr>
              <w:spacing w:after="0"/>
              <w:rPr>
                <w:sz w:val="1"/>
                <w:szCs w:val="1"/>
                <w:color w:val="auto"/>
              </w:rPr>
            </w:pPr>
          </w:p>
        </w:tc>
      </w:tr>
      <w:tr>
        <w:trPr>
          <w:trHeight w:val="81"/>
        </w:trPr>
        <w:tc>
          <w:tcPr>
            <w:tcW w:w="74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w w:val="91"/>
              </w:rPr>
              <w:t>07/15/2016</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5"/>
              </w:rPr>
              <w:t>Hotels, Motels, Inns</w:t>
            </w:r>
          </w:p>
        </w:tc>
        <w:tc>
          <w:tcPr>
            <w:tcW w:w="0" w:type="dxa"/>
            <w:vAlign w:val="bottom"/>
          </w:tcPr>
          <w:p>
            <w:pPr>
              <w:spacing w:after="0"/>
              <w:rPr>
                <w:sz w:val="1"/>
                <w:szCs w:val="1"/>
                <w:color w:val="auto"/>
              </w:rPr>
            </w:pPr>
          </w:p>
        </w:tc>
      </w:tr>
      <w:tr>
        <w:trPr>
          <w:trHeight w:val="182"/>
        </w:trPr>
        <w:tc>
          <w:tcPr>
            <w:tcW w:w="740" w:type="dxa"/>
            <w:vAlign w:val="bottom"/>
            <w:vMerge w:val="continue"/>
          </w:tcPr>
          <w:p>
            <w:pPr>
              <w:spacing w:after="0"/>
              <w:rPr>
                <w:sz w:val="15"/>
                <w:szCs w:val="15"/>
                <w:color w:val="auto"/>
              </w:rPr>
            </w:pPr>
          </w:p>
        </w:tc>
        <w:tc>
          <w:tcPr>
            <w:tcW w:w="1380" w:type="dxa"/>
            <w:vAlign w:val="bottom"/>
          </w:tcPr>
          <w:p>
            <w:pPr>
              <w:jc w:val="center"/>
              <w:ind w:left="8"/>
              <w:spacing w:after="0"/>
              <w:rPr>
                <w:sz w:val="20"/>
                <w:szCs w:val="20"/>
                <w:color w:val="auto"/>
              </w:rPr>
            </w:pPr>
            <w:r>
              <w:rPr>
                <w:rFonts w:ascii="Arial" w:cs="Arial" w:eastAsia="Arial" w:hAnsi="Arial"/>
                <w:sz w:val="14"/>
                <w:szCs w:val="14"/>
                <w:color w:val="auto"/>
                <w:w w:val="91"/>
              </w:rPr>
              <w:t>and Gaming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spacing w:after="0"/>
              <w:rPr>
                <w:sz w:val="20"/>
                <w:szCs w:val="20"/>
                <w:color w:val="auto"/>
              </w:rPr>
            </w:pPr>
            <w:r>
              <w:rPr>
                <w:rFonts w:ascii="Arial" w:cs="Arial" w:eastAsia="Arial" w:hAnsi="Arial"/>
                <w:sz w:val="14"/>
                <w:szCs w:val="14"/>
                <w:color w:val="auto"/>
                <w:w w:val="88"/>
              </w:rPr>
              <w:t>11.00%</w:t>
            </w:r>
          </w:p>
        </w:tc>
        <w:tc>
          <w:tcPr>
            <w:tcW w:w="38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L+900</w:t>
            </w:r>
          </w:p>
        </w:tc>
        <w:tc>
          <w:tcPr>
            <w:tcW w:w="200" w:type="dxa"/>
            <w:vAlign w:val="bottom"/>
          </w:tcPr>
          <w:p>
            <w:pPr>
              <w:jc w:val="right"/>
              <w:spacing w:after="0"/>
              <w:rPr>
                <w:sz w:val="20"/>
                <w:szCs w:val="20"/>
                <w:color w:val="auto"/>
              </w:rPr>
            </w:pPr>
            <w:r>
              <w:rPr>
                <w:rFonts w:ascii="Arial" w:cs="Arial" w:eastAsia="Arial" w:hAnsi="Arial"/>
                <w:sz w:val="9"/>
                <w:szCs w:val="9"/>
                <w:color w:val="auto"/>
              </w:rPr>
              <w:t>(8)</w:t>
            </w:r>
          </w:p>
        </w:tc>
        <w:tc>
          <w:tcPr>
            <w:tcW w:w="0" w:type="dxa"/>
            <w:vAlign w:val="bottom"/>
          </w:tcPr>
          <w:p>
            <w:pPr>
              <w:spacing w:after="0"/>
              <w:rPr>
                <w:sz w:val="1"/>
                <w:szCs w:val="1"/>
                <w:color w:val="auto"/>
              </w:rPr>
            </w:pPr>
          </w:p>
        </w:tc>
      </w:tr>
      <w:tr>
        <w:trPr>
          <w:trHeight w:val="270"/>
        </w:trPr>
        <w:tc>
          <w:tcPr>
            <w:tcW w:w="460" w:type="dxa"/>
            <w:vAlign w:val="bottom"/>
          </w:tcPr>
          <w:p>
            <w:pPr>
              <w:jc w:val="right"/>
              <w:spacing w:after="0"/>
              <w:rPr>
                <w:sz w:val="20"/>
                <w:szCs w:val="20"/>
                <w:color w:val="auto"/>
              </w:rPr>
            </w:pPr>
            <w:r>
              <w:rPr>
                <w:rFonts w:ascii="Arial" w:cs="Arial" w:eastAsia="Arial" w:hAnsi="Arial"/>
                <w:sz w:val="14"/>
                <w:szCs w:val="14"/>
                <w:color w:val="auto"/>
                <w:w w:val="88"/>
              </w:rPr>
              <w:t>15.00%</w:t>
            </w:r>
          </w:p>
        </w:tc>
        <w:tc>
          <w:tcPr>
            <w:tcW w:w="38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L+1,300</w:t>
            </w:r>
          </w:p>
        </w:tc>
        <w:tc>
          <w:tcPr>
            <w:tcW w:w="200" w:type="dxa"/>
            <w:vAlign w:val="bottom"/>
          </w:tcPr>
          <w:p>
            <w:pPr>
              <w:jc w:val="right"/>
              <w:spacing w:after="0"/>
              <w:rPr>
                <w:sz w:val="20"/>
                <w:szCs w:val="20"/>
                <w:color w:val="auto"/>
              </w:rPr>
            </w:pPr>
            <w:r>
              <w:rPr>
                <w:rFonts w:ascii="Arial" w:cs="Arial" w:eastAsia="Arial" w:hAnsi="Arial"/>
                <w:sz w:val="9"/>
                <w:szCs w:val="9"/>
                <w:color w:val="auto"/>
              </w:rPr>
              <w:t>(8)</w:t>
            </w:r>
          </w:p>
        </w:tc>
        <w:tc>
          <w:tcPr>
            <w:tcW w:w="0" w:type="dxa"/>
            <w:vAlign w:val="bottom"/>
          </w:tcPr>
          <w:p>
            <w:pPr>
              <w:spacing w:after="0"/>
              <w:rPr>
                <w:sz w:val="1"/>
                <w:szCs w:val="1"/>
                <w:color w:val="auto"/>
              </w:rPr>
            </w:pPr>
          </w:p>
        </w:tc>
      </w:tr>
      <w:tr>
        <w:trPr>
          <w:trHeight w:val="270"/>
        </w:trPr>
        <w:tc>
          <w:tcPr>
            <w:tcW w:w="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460" w:type="dxa"/>
            <w:vAlign w:val="bottom"/>
          </w:tcPr>
          <w:p>
            <w:pPr>
              <w:jc w:val="right"/>
              <w:spacing w:after="0"/>
              <w:rPr>
                <w:sz w:val="20"/>
                <w:szCs w:val="20"/>
                <w:color w:val="auto"/>
              </w:rPr>
            </w:pPr>
            <w:r>
              <w:rPr>
                <w:rFonts w:ascii="Arial" w:cs="Arial" w:eastAsia="Arial" w:hAnsi="Arial"/>
                <w:sz w:val="14"/>
                <w:szCs w:val="14"/>
                <w:color w:val="auto"/>
                <w:w w:val="88"/>
              </w:rPr>
              <w:t>11.63%</w:t>
            </w:r>
          </w:p>
        </w:tc>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60" w:type="dxa"/>
            <w:vAlign w:val="bottom"/>
          </w:tcPr>
          <w:p>
            <w:pPr>
              <w:jc w:val="right"/>
              <w:spacing w:after="0"/>
              <w:rPr>
                <w:sz w:val="20"/>
                <w:szCs w:val="20"/>
                <w:color w:val="auto"/>
              </w:rPr>
            </w:pPr>
            <w:r>
              <w:rPr>
                <w:rFonts w:ascii="Arial" w:cs="Arial" w:eastAsia="Arial" w:hAnsi="Arial"/>
                <w:sz w:val="14"/>
                <w:szCs w:val="14"/>
                <w:color w:val="auto"/>
                <w:w w:val="88"/>
              </w:rPr>
              <w:t>11.50%</w:t>
            </w:r>
          </w:p>
        </w:tc>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60" w:type="dxa"/>
            <w:vAlign w:val="bottom"/>
          </w:tcPr>
          <w:p>
            <w:pPr>
              <w:jc w:val="right"/>
              <w:spacing w:after="0"/>
              <w:rPr>
                <w:sz w:val="20"/>
                <w:szCs w:val="20"/>
                <w:color w:val="auto"/>
              </w:rPr>
            </w:pPr>
            <w:r>
              <w:rPr>
                <w:rFonts w:ascii="Arial" w:cs="Arial" w:eastAsia="Arial" w:hAnsi="Arial"/>
                <w:sz w:val="14"/>
                <w:szCs w:val="14"/>
                <w:color w:val="auto"/>
                <w:w w:val="88"/>
              </w:rPr>
              <w:t>12.38%</w:t>
            </w:r>
          </w:p>
        </w:tc>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L+988</w:t>
            </w:r>
          </w:p>
        </w:tc>
        <w:tc>
          <w:tcPr>
            <w:tcW w:w="200" w:type="dxa"/>
            <w:vAlign w:val="bottom"/>
          </w:tcPr>
          <w:p>
            <w:pPr>
              <w:jc w:val="right"/>
              <w:spacing w:after="0"/>
              <w:rPr>
                <w:sz w:val="20"/>
                <w:szCs w:val="20"/>
                <w:color w:val="auto"/>
              </w:rPr>
            </w:pPr>
            <w:r>
              <w:rPr>
                <w:rFonts w:ascii="Arial" w:cs="Arial" w:eastAsia="Arial" w:hAnsi="Arial"/>
                <w:sz w:val="9"/>
                <w:szCs w:val="9"/>
                <w:color w:val="auto"/>
              </w:rPr>
              <w:t>(8)</w:t>
            </w:r>
          </w:p>
        </w:tc>
        <w:tc>
          <w:tcPr>
            <w:tcW w:w="0" w:type="dxa"/>
            <w:vAlign w:val="bottom"/>
          </w:tcPr>
          <w:p>
            <w:pPr>
              <w:spacing w:after="0"/>
              <w:rPr>
                <w:sz w:val="1"/>
                <w:szCs w:val="1"/>
                <w:color w:val="auto"/>
              </w:rPr>
            </w:pPr>
          </w:p>
        </w:tc>
      </w:tr>
      <w:tr>
        <w:trPr>
          <w:trHeight w:val="418"/>
        </w:trPr>
        <w:tc>
          <w:tcPr>
            <w:tcW w:w="460" w:type="dxa"/>
            <w:vAlign w:val="bottom"/>
          </w:tcPr>
          <w:p>
            <w:pPr>
              <w:jc w:val="right"/>
              <w:spacing w:after="0"/>
              <w:rPr>
                <w:sz w:val="20"/>
                <w:szCs w:val="20"/>
                <w:color w:val="auto"/>
              </w:rPr>
            </w:pPr>
            <w:r>
              <w:rPr>
                <w:rFonts w:ascii="Arial" w:cs="Arial" w:eastAsia="Arial" w:hAnsi="Arial"/>
                <w:sz w:val="14"/>
                <w:szCs w:val="14"/>
                <w:color w:val="auto"/>
                <w:w w:val="88"/>
              </w:rPr>
              <w:t>11.50%</w:t>
            </w:r>
          </w:p>
        </w:tc>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60" w:type="dxa"/>
            <w:vAlign w:val="bottom"/>
          </w:tcPr>
          <w:p>
            <w:pPr>
              <w:jc w:val="right"/>
              <w:spacing w:after="0"/>
              <w:rPr>
                <w:sz w:val="20"/>
                <w:szCs w:val="20"/>
                <w:color w:val="auto"/>
              </w:rPr>
            </w:pPr>
            <w:r>
              <w:rPr>
                <w:rFonts w:ascii="Arial" w:cs="Arial" w:eastAsia="Arial" w:hAnsi="Arial"/>
                <w:sz w:val="14"/>
                <w:szCs w:val="14"/>
                <w:color w:val="auto"/>
                <w:w w:val="88"/>
              </w:rPr>
              <w:t>12.00%</w:t>
            </w:r>
          </w:p>
        </w:tc>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L+950</w:t>
            </w:r>
          </w:p>
        </w:tc>
        <w:tc>
          <w:tcPr>
            <w:tcW w:w="200" w:type="dxa"/>
            <w:vAlign w:val="bottom"/>
          </w:tcPr>
          <w:p>
            <w:pPr>
              <w:jc w:val="right"/>
              <w:spacing w:after="0"/>
              <w:rPr>
                <w:sz w:val="20"/>
                <w:szCs w:val="20"/>
                <w:color w:val="auto"/>
              </w:rPr>
            </w:pPr>
            <w:r>
              <w:rPr>
                <w:rFonts w:ascii="Arial" w:cs="Arial" w:eastAsia="Arial" w:hAnsi="Arial"/>
                <w:sz w:val="9"/>
                <w:szCs w:val="9"/>
                <w:color w:val="auto"/>
              </w:rPr>
              <w:t>(8)</w:t>
            </w:r>
          </w:p>
        </w:tc>
        <w:tc>
          <w:tcPr>
            <w:tcW w:w="0" w:type="dxa"/>
            <w:vAlign w:val="bottom"/>
          </w:tcPr>
          <w:p>
            <w:pPr>
              <w:spacing w:after="0"/>
              <w:rPr>
                <w:sz w:val="1"/>
                <w:szCs w:val="1"/>
                <w:color w:val="auto"/>
              </w:rPr>
            </w:pPr>
          </w:p>
        </w:tc>
      </w:tr>
      <w:tr>
        <w:trPr>
          <w:trHeight w:val="270"/>
        </w:trPr>
        <w:tc>
          <w:tcPr>
            <w:tcW w:w="460" w:type="dxa"/>
            <w:vAlign w:val="bottom"/>
          </w:tcPr>
          <w:p>
            <w:pPr>
              <w:jc w:val="right"/>
              <w:spacing w:after="0"/>
              <w:rPr>
                <w:sz w:val="20"/>
                <w:szCs w:val="20"/>
                <w:color w:val="auto"/>
              </w:rPr>
            </w:pPr>
            <w:r>
              <w:rPr>
                <w:rFonts w:ascii="Arial" w:cs="Arial" w:eastAsia="Arial" w:hAnsi="Arial"/>
                <w:sz w:val="14"/>
                <w:szCs w:val="14"/>
                <w:color w:val="auto"/>
              </w:rPr>
              <w:t>2.62%</w:t>
            </w:r>
          </w:p>
        </w:tc>
        <w:tc>
          <w:tcPr>
            <w:tcW w:w="38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L+225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460" w:type="dxa"/>
            <w:vAlign w:val="bottom"/>
          </w:tcPr>
          <w:p>
            <w:pPr>
              <w:jc w:val="right"/>
              <w:spacing w:after="0"/>
              <w:rPr>
                <w:sz w:val="20"/>
                <w:szCs w:val="20"/>
                <w:color w:val="auto"/>
              </w:rPr>
            </w:pPr>
            <w:r>
              <w:rPr>
                <w:rFonts w:ascii="Arial" w:cs="Arial" w:eastAsia="Arial" w:hAnsi="Arial"/>
                <w:sz w:val="14"/>
                <w:szCs w:val="14"/>
                <w:color w:val="auto"/>
                <w:w w:val="88"/>
              </w:rPr>
              <w:t>14.50%</w:t>
            </w:r>
          </w:p>
        </w:tc>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L+950</w:t>
            </w:r>
          </w:p>
        </w:tc>
        <w:tc>
          <w:tcPr>
            <w:tcW w:w="200" w:type="dxa"/>
            <w:vAlign w:val="bottom"/>
          </w:tcPr>
          <w:p>
            <w:pPr>
              <w:jc w:val="right"/>
              <w:spacing w:after="0"/>
              <w:rPr>
                <w:sz w:val="20"/>
                <w:szCs w:val="20"/>
                <w:color w:val="auto"/>
              </w:rPr>
            </w:pPr>
            <w:r>
              <w:rPr>
                <w:rFonts w:ascii="Arial" w:cs="Arial" w:eastAsia="Arial" w:hAnsi="Arial"/>
                <w:sz w:val="9"/>
                <w:szCs w:val="9"/>
                <w:color w:val="auto"/>
              </w:rPr>
              <w:t>(8)</w:t>
            </w:r>
          </w:p>
        </w:tc>
        <w:tc>
          <w:tcPr>
            <w:tcW w:w="0" w:type="dxa"/>
            <w:vAlign w:val="bottom"/>
          </w:tcPr>
          <w:p>
            <w:pPr>
              <w:spacing w:after="0"/>
              <w:rPr>
                <w:sz w:val="1"/>
                <w:szCs w:val="1"/>
                <w:color w:val="auto"/>
              </w:rPr>
            </w:pPr>
          </w:p>
        </w:tc>
      </w:tr>
      <w:tr>
        <w:trPr>
          <w:trHeight w:val="580"/>
        </w:trPr>
        <w:tc>
          <w:tcPr>
            <w:tcW w:w="460" w:type="dxa"/>
            <w:vAlign w:val="bottom"/>
          </w:tcPr>
          <w:p>
            <w:pPr>
              <w:jc w:val="right"/>
              <w:spacing w:after="0"/>
              <w:rPr>
                <w:sz w:val="20"/>
                <w:szCs w:val="20"/>
                <w:color w:val="auto"/>
              </w:rPr>
            </w:pPr>
            <w:r>
              <w:rPr>
                <w:rFonts w:ascii="Arial" w:cs="Arial" w:eastAsia="Arial" w:hAnsi="Arial"/>
                <w:sz w:val="14"/>
                <w:szCs w:val="14"/>
                <w:color w:val="auto"/>
              </w:rPr>
              <w:t>2.71%</w:t>
            </w:r>
          </w:p>
        </w:tc>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L+225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460" w:type="dxa"/>
            <w:vAlign w:val="bottom"/>
          </w:tcPr>
          <w:p>
            <w:pPr>
              <w:jc w:val="right"/>
              <w:spacing w:after="0"/>
              <w:rPr>
                <w:sz w:val="20"/>
                <w:szCs w:val="20"/>
                <w:color w:val="auto"/>
              </w:rPr>
            </w:pPr>
            <w:r>
              <w:rPr>
                <w:rFonts w:ascii="Arial" w:cs="Arial" w:eastAsia="Arial" w:hAnsi="Arial"/>
                <w:sz w:val="14"/>
                <w:szCs w:val="14"/>
                <w:color w:val="auto"/>
                <w:w w:val="88"/>
              </w:rPr>
              <w:t>10.00%</w:t>
            </w:r>
          </w:p>
        </w:tc>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L+675</w:t>
            </w:r>
          </w:p>
        </w:tc>
        <w:tc>
          <w:tcPr>
            <w:tcW w:w="200" w:type="dxa"/>
            <w:vAlign w:val="bottom"/>
          </w:tcPr>
          <w:p>
            <w:pPr>
              <w:jc w:val="right"/>
              <w:spacing w:after="0"/>
              <w:rPr>
                <w:sz w:val="20"/>
                <w:szCs w:val="20"/>
                <w:color w:val="auto"/>
              </w:rPr>
            </w:pPr>
            <w:r>
              <w:rPr>
                <w:rFonts w:ascii="Arial" w:cs="Arial" w:eastAsia="Arial" w:hAnsi="Arial"/>
                <w:sz w:val="9"/>
                <w:szCs w:val="9"/>
                <w:color w:val="auto"/>
              </w:rPr>
              <w:t>(8)</w:t>
            </w:r>
          </w:p>
        </w:tc>
        <w:tc>
          <w:tcPr>
            <w:tcW w:w="0" w:type="dxa"/>
            <w:vAlign w:val="bottom"/>
          </w:tcPr>
          <w:p>
            <w:pPr>
              <w:spacing w:after="0"/>
              <w:rPr>
                <w:sz w:val="1"/>
                <w:szCs w:val="1"/>
                <w:color w:val="auto"/>
              </w:rPr>
            </w:pPr>
          </w:p>
        </w:tc>
      </w:tr>
      <w:tr>
        <w:trPr>
          <w:trHeight w:val="310"/>
        </w:trPr>
        <w:tc>
          <w:tcPr>
            <w:tcW w:w="460" w:type="dxa"/>
            <w:vAlign w:val="bottom"/>
          </w:tcPr>
          <w:p>
            <w:pPr>
              <w:jc w:val="right"/>
              <w:spacing w:after="0"/>
              <w:rPr>
                <w:sz w:val="20"/>
                <w:szCs w:val="20"/>
                <w:color w:val="auto"/>
              </w:rPr>
            </w:pPr>
            <w:r>
              <w:rPr>
                <w:rFonts w:ascii="Arial" w:cs="Arial" w:eastAsia="Arial" w:hAnsi="Arial"/>
                <w:sz w:val="14"/>
                <w:szCs w:val="14"/>
                <w:color w:val="auto"/>
                <w:w w:val="88"/>
              </w:rPr>
              <w:t>12.00%</w:t>
            </w:r>
          </w:p>
        </w:tc>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60" w:type="dxa"/>
            <w:vAlign w:val="bottom"/>
          </w:tcPr>
          <w:p>
            <w:pPr>
              <w:jc w:val="right"/>
              <w:spacing w:after="0"/>
              <w:rPr>
                <w:sz w:val="20"/>
                <w:szCs w:val="20"/>
                <w:color w:val="auto"/>
              </w:rPr>
            </w:pPr>
            <w:r>
              <w:rPr>
                <w:rFonts w:ascii="Arial" w:cs="Arial" w:eastAsia="Arial" w:hAnsi="Arial"/>
                <w:sz w:val="14"/>
                <w:szCs w:val="14"/>
                <w:color w:val="auto"/>
              </w:rPr>
              <w:t>2.54%</w:t>
            </w:r>
          </w:p>
        </w:tc>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460" w:type="dxa"/>
            <w:vAlign w:val="bottom"/>
          </w:tcPr>
          <w:p>
            <w:pPr>
              <w:jc w:val="right"/>
              <w:spacing w:after="0"/>
              <w:rPr>
                <w:sz w:val="20"/>
                <w:szCs w:val="20"/>
                <w:color w:val="auto"/>
              </w:rPr>
            </w:pPr>
            <w:r>
              <w:rPr>
                <w:rFonts w:ascii="Arial" w:cs="Arial" w:eastAsia="Arial" w:hAnsi="Arial"/>
                <w:sz w:val="14"/>
                <w:szCs w:val="14"/>
                <w:color w:val="auto"/>
              </w:rPr>
              <w:t>5.00%</w:t>
            </w:r>
          </w:p>
        </w:tc>
        <w:tc>
          <w:tcPr>
            <w:tcW w:w="380" w:type="dxa"/>
            <w:vAlign w:val="bottom"/>
          </w:tcPr>
          <w:p>
            <w:pPr>
              <w:jc w:val="right"/>
              <w:ind w:right="195"/>
              <w:spacing w:after="0"/>
              <w:rPr>
                <w:sz w:val="20"/>
                <w:szCs w:val="20"/>
                <w:color w:val="auto"/>
              </w:rPr>
            </w:pPr>
            <w:r>
              <w:rPr>
                <w:rFonts w:ascii="Arial" w:cs="Arial" w:eastAsia="Arial" w:hAnsi="Arial"/>
                <w:sz w:val="9"/>
                <w:szCs w:val="9"/>
                <w:color w:val="auto"/>
              </w:rPr>
              <w:t>(6)</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L+400</w:t>
            </w:r>
          </w:p>
        </w:tc>
        <w:tc>
          <w:tcPr>
            <w:tcW w:w="200" w:type="dxa"/>
            <w:vAlign w:val="bottom"/>
          </w:tcPr>
          <w:p>
            <w:pPr>
              <w:jc w:val="right"/>
              <w:spacing w:after="0"/>
              <w:rPr>
                <w:sz w:val="20"/>
                <w:szCs w:val="20"/>
                <w:color w:val="auto"/>
              </w:rPr>
            </w:pPr>
            <w:r>
              <w:rPr>
                <w:rFonts w:ascii="Arial" w:cs="Arial" w:eastAsia="Arial" w:hAnsi="Arial"/>
                <w:sz w:val="9"/>
                <w:szCs w:val="9"/>
                <w:color w:val="auto"/>
              </w:rPr>
              <w:t>(8)</w:t>
            </w:r>
          </w:p>
        </w:tc>
        <w:tc>
          <w:tcPr>
            <w:tcW w:w="0" w:type="dxa"/>
            <w:vAlign w:val="bottom"/>
          </w:tcPr>
          <w:p>
            <w:pPr>
              <w:spacing w:after="0"/>
              <w:rPr>
                <w:sz w:val="1"/>
                <w:szCs w:val="1"/>
                <w:color w:val="auto"/>
              </w:rPr>
            </w:pPr>
          </w:p>
        </w:tc>
      </w:tr>
      <w:tr>
        <w:trPr>
          <w:trHeight w:val="270"/>
        </w:trPr>
        <w:tc>
          <w:tcPr>
            <w:tcW w:w="460" w:type="dxa"/>
            <w:vAlign w:val="bottom"/>
          </w:tcPr>
          <w:p>
            <w:pPr>
              <w:jc w:val="right"/>
              <w:spacing w:after="0"/>
              <w:rPr>
                <w:sz w:val="20"/>
                <w:szCs w:val="20"/>
                <w:color w:val="auto"/>
              </w:rPr>
            </w:pPr>
            <w:r>
              <w:rPr>
                <w:rFonts w:ascii="Arial" w:cs="Arial" w:eastAsia="Arial" w:hAnsi="Arial"/>
                <w:sz w:val="14"/>
                <w:szCs w:val="14"/>
                <w:color w:val="auto"/>
                <w:w w:val="88"/>
              </w:rPr>
              <w:t>10.50%</w:t>
            </w:r>
          </w:p>
        </w:tc>
        <w:tc>
          <w:tcPr>
            <w:tcW w:w="38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L+650</w:t>
            </w:r>
          </w:p>
        </w:tc>
        <w:tc>
          <w:tcPr>
            <w:tcW w:w="200" w:type="dxa"/>
            <w:vAlign w:val="bottom"/>
          </w:tcPr>
          <w:p>
            <w:pPr>
              <w:jc w:val="right"/>
              <w:spacing w:after="0"/>
              <w:rPr>
                <w:sz w:val="20"/>
                <w:szCs w:val="20"/>
                <w:color w:val="auto"/>
              </w:rPr>
            </w:pPr>
            <w:r>
              <w:rPr>
                <w:rFonts w:ascii="Arial" w:cs="Arial" w:eastAsia="Arial" w:hAnsi="Arial"/>
                <w:sz w:val="9"/>
                <w:szCs w:val="9"/>
                <w:color w:val="auto"/>
              </w:rPr>
              <w:t>(8)</w:t>
            </w:r>
          </w:p>
        </w:tc>
        <w:tc>
          <w:tcPr>
            <w:tcW w:w="0" w:type="dxa"/>
            <w:vAlign w:val="bottom"/>
          </w:tcPr>
          <w:p>
            <w:pPr>
              <w:spacing w:after="0"/>
              <w:rPr>
                <w:sz w:val="1"/>
                <w:szCs w:val="1"/>
                <w:color w:val="auto"/>
              </w:rPr>
            </w:pPr>
          </w:p>
        </w:tc>
      </w:tr>
      <w:tr>
        <w:trPr>
          <w:trHeight w:val="378"/>
        </w:trPr>
        <w:tc>
          <w:tcPr>
            <w:tcW w:w="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60" w:type="dxa"/>
            <w:vAlign w:val="bottom"/>
          </w:tcPr>
          <w:p>
            <w:pPr>
              <w:jc w:val="right"/>
              <w:spacing w:after="0"/>
              <w:rPr>
                <w:sz w:val="20"/>
                <w:szCs w:val="20"/>
                <w:color w:val="auto"/>
              </w:rPr>
            </w:pPr>
            <w:r>
              <w:rPr>
                <w:rFonts w:ascii="Arial" w:cs="Arial" w:eastAsia="Arial" w:hAnsi="Arial"/>
                <w:sz w:val="14"/>
                <w:szCs w:val="14"/>
                <w:color w:val="auto"/>
                <w:w w:val="88"/>
              </w:rPr>
              <w:t>11.25%</w:t>
            </w:r>
          </w:p>
        </w:tc>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L+825</w:t>
            </w:r>
          </w:p>
        </w:tc>
        <w:tc>
          <w:tcPr>
            <w:tcW w:w="200" w:type="dxa"/>
            <w:vAlign w:val="bottom"/>
          </w:tcPr>
          <w:p>
            <w:pPr>
              <w:jc w:val="right"/>
              <w:spacing w:after="0"/>
              <w:rPr>
                <w:sz w:val="20"/>
                <w:szCs w:val="20"/>
                <w:color w:val="auto"/>
              </w:rPr>
            </w:pPr>
            <w:r>
              <w:rPr>
                <w:rFonts w:ascii="Arial" w:cs="Arial" w:eastAsia="Arial" w:hAnsi="Arial"/>
                <w:sz w:val="9"/>
                <w:szCs w:val="9"/>
                <w:color w:val="auto"/>
              </w:rPr>
              <w:t>(8)</w:t>
            </w:r>
          </w:p>
        </w:tc>
        <w:tc>
          <w:tcPr>
            <w:tcW w:w="0" w:type="dxa"/>
            <w:vAlign w:val="bottom"/>
          </w:tcPr>
          <w:p>
            <w:pPr>
              <w:spacing w:after="0"/>
              <w:rPr>
                <w:sz w:val="1"/>
                <w:szCs w:val="1"/>
                <w:color w:val="auto"/>
              </w:rPr>
            </w:pPr>
          </w:p>
        </w:tc>
      </w:tr>
      <w:tr>
        <w:trPr>
          <w:trHeight w:val="250"/>
        </w:trPr>
        <w:tc>
          <w:tcPr>
            <w:tcW w:w="460" w:type="dxa"/>
            <w:vAlign w:val="bottom"/>
            <w:vMerge w:val="restart"/>
          </w:tcPr>
          <w:p>
            <w:pPr>
              <w:jc w:val="right"/>
              <w:spacing w:after="0"/>
              <w:rPr>
                <w:sz w:val="20"/>
                <w:szCs w:val="20"/>
                <w:color w:val="auto"/>
              </w:rPr>
            </w:pPr>
            <w:r>
              <w:rPr>
                <w:rFonts w:ascii="Arial" w:cs="Arial" w:eastAsia="Arial" w:hAnsi="Arial"/>
                <w:sz w:val="14"/>
                <w:szCs w:val="14"/>
                <w:color w:val="auto"/>
                <w:w w:val="88"/>
              </w:rPr>
              <w:t>15.25%</w:t>
            </w:r>
          </w:p>
        </w:tc>
        <w:tc>
          <w:tcPr>
            <w:tcW w:w="38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L+1,300</w:t>
            </w:r>
          </w:p>
        </w:tc>
        <w:tc>
          <w:tcPr>
            <w:tcW w:w="200" w:type="dxa"/>
            <w:vAlign w:val="bottom"/>
          </w:tcPr>
          <w:p>
            <w:pPr>
              <w:jc w:val="right"/>
              <w:spacing w:after="0"/>
              <w:rPr>
                <w:sz w:val="20"/>
                <w:szCs w:val="20"/>
                <w:color w:val="auto"/>
              </w:rPr>
            </w:pPr>
            <w:r>
              <w:rPr>
                <w:rFonts w:ascii="Arial" w:cs="Arial" w:eastAsia="Arial" w:hAnsi="Arial"/>
                <w:sz w:val="9"/>
                <w:szCs w:val="9"/>
                <w:color w:val="auto"/>
              </w:rPr>
              <w:t>(8)</w:t>
            </w:r>
          </w:p>
        </w:tc>
        <w:tc>
          <w:tcPr>
            <w:tcW w:w="0" w:type="dxa"/>
            <w:vAlign w:val="bottom"/>
          </w:tcPr>
          <w:p>
            <w:pPr>
              <w:spacing w:after="0"/>
              <w:rPr>
                <w:sz w:val="1"/>
                <w:szCs w:val="1"/>
                <w:color w:val="auto"/>
              </w:rPr>
            </w:pPr>
          </w:p>
        </w:tc>
      </w:tr>
      <w:tr>
        <w:trPr>
          <w:trHeight w:val="101"/>
        </w:trPr>
        <w:tc>
          <w:tcPr>
            <w:tcW w:w="4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P+1,200</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460" w:type="dxa"/>
            <w:vAlign w:val="bottom"/>
          </w:tcPr>
          <w:p>
            <w:pPr>
              <w:jc w:val="right"/>
              <w:spacing w:after="0"/>
              <w:rPr>
                <w:sz w:val="20"/>
                <w:szCs w:val="20"/>
                <w:color w:val="auto"/>
              </w:rPr>
            </w:pPr>
            <w:r>
              <w:rPr>
                <w:rFonts w:ascii="Arial" w:cs="Arial" w:eastAsia="Arial" w:hAnsi="Arial"/>
                <w:sz w:val="14"/>
                <w:szCs w:val="14"/>
                <w:color w:val="auto"/>
                <w:w w:val="88"/>
              </w:rPr>
              <w:t>11.38%</w:t>
            </w:r>
          </w:p>
        </w:tc>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-5203825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-4860925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-4389120</wp:posOffset>
            </wp:positionV>
            <wp:extent cx="713232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-3866515</wp:posOffset>
            </wp:positionV>
            <wp:extent cx="7132320" cy="299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9972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-3266440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-2923540</wp:posOffset>
            </wp:positionV>
            <wp:extent cx="7132320" cy="222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-2194560</wp:posOffset>
            </wp:positionV>
            <wp:extent cx="7132320"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-1800225</wp:posOffset>
            </wp:positionV>
            <wp:extent cx="7132320" cy="505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5054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-1123315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-652145</wp:posOffset>
            </wp:positionV>
            <wp:extent cx="713232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-205740</wp:posOffset>
            </wp:positionV>
            <wp:extent cx="7132320"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00" w:type="dxa"/>
            <w:vAlign w:val="bottom"/>
          </w:tcPr>
          <w:p>
            <w:pPr>
              <w:jc w:val="right"/>
              <w:ind w:right="48"/>
              <w:spacing w:after="0"/>
              <w:rPr>
                <w:sz w:val="20"/>
                <w:szCs w:val="20"/>
                <w:color w:val="auto"/>
              </w:rPr>
            </w:pPr>
            <w:r>
              <w:rPr>
                <w:rFonts w:ascii="Arial" w:cs="Arial" w:eastAsia="Arial" w:hAnsi="Arial"/>
                <w:sz w:val="14"/>
                <w:szCs w:val="14"/>
                <w:color w:val="auto"/>
                <w:w w:val="92"/>
              </w:rPr>
              <w:t>$ 13,583,333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13,316,337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13,447,500</w:t>
            </w: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16,363,636</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15,786,257</w:t>
            </w:r>
          </w:p>
        </w:tc>
        <w:tc>
          <w:tcPr>
            <w:tcW w:w="2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16,363,636</w:t>
            </w: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3,636,364</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3,636,364</w:t>
            </w:r>
          </w:p>
        </w:tc>
        <w:tc>
          <w:tcPr>
            <w:tcW w:w="2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3,636,364</w:t>
            </w: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7,500,000</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7,305,603</w:t>
            </w:r>
          </w:p>
        </w:tc>
        <w:tc>
          <w:tcPr>
            <w:tcW w:w="2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7,912,500</w:t>
            </w:r>
          </w:p>
        </w:tc>
      </w:tr>
      <w:tr>
        <w:trPr>
          <w:trHeight w:val="473"/>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987,774</w:t>
            </w:r>
          </w:p>
        </w:tc>
        <w:tc>
          <w:tcPr>
            <w:tcW w:w="26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1,045,000</w:t>
            </w:r>
          </w:p>
        </w:tc>
      </w:tr>
      <w:tr>
        <w:trPr>
          <w:trHeight w:val="473"/>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9,250,000</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8,765,468</w:t>
            </w:r>
          </w:p>
        </w:tc>
        <w:tc>
          <w:tcPr>
            <w:tcW w:w="26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9,296,250</w:t>
            </w:r>
          </w:p>
        </w:tc>
      </w:tr>
      <w:tr>
        <w:trPr>
          <w:trHeight w:val="351"/>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10,000,000</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10,000,000</w:t>
            </w:r>
          </w:p>
        </w:tc>
        <w:tc>
          <w:tcPr>
            <w:tcW w:w="26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11,048,000</w:t>
            </w:r>
          </w:p>
        </w:tc>
      </w:tr>
      <w:tr>
        <w:trPr>
          <w:trHeight w:val="473"/>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6,666,666</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6,666,666</w:t>
            </w:r>
          </w:p>
        </w:tc>
        <w:tc>
          <w:tcPr>
            <w:tcW w:w="26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6,666,666</w:t>
            </w:r>
          </w:p>
        </w:tc>
      </w:tr>
      <w:tr>
        <w:trPr>
          <w:trHeight w:val="473"/>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11,905,025</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11,650,744</w:t>
            </w:r>
          </w:p>
        </w:tc>
        <w:tc>
          <w:tcPr>
            <w:tcW w:w="26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11,845,500</w:t>
            </w: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8,752,500</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8,752,500</w:t>
            </w:r>
          </w:p>
        </w:tc>
        <w:tc>
          <w:tcPr>
            <w:tcW w:w="2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3,894,863</w:t>
            </w: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24,875,000</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24,402,321</w:t>
            </w:r>
          </w:p>
        </w:tc>
        <w:tc>
          <w:tcPr>
            <w:tcW w:w="2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24,875,000</w:t>
            </w:r>
          </w:p>
        </w:tc>
      </w:tr>
      <w:tr>
        <w:trPr>
          <w:trHeight w:val="351"/>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9,744,595</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9,744,595</w:t>
            </w:r>
          </w:p>
        </w:tc>
        <w:tc>
          <w:tcPr>
            <w:tcW w:w="26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7,874,850</w:t>
            </w:r>
          </w:p>
        </w:tc>
      </w:tr>
      <w:tr>
        <w:trPr>
          <w:trHeight w:val="797"/>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19,000,000</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17,866,826</w:t>
            </w:r>
          </w:p>
        </w:tc>
        <w:tc>
          <w:tcPr>
            <w:tcW w:w="26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18,240,000</w:t>
            </w:r>
          </w:p>
        </w:tc>
      </w:tr>
      <w:tr>
        <w:trPr>
          <w:trHeight w:val="351"/>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26,052,631</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25,481,512</w:t>
            </w:r>
          </w:p>
        </w:tc>
        <w:tc>
          <w:tcPr>
            <w:tcW w:w="26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26,052,631</w:t>
            </w: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3,844,931</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3,844,931</w:t>
            </w:r>
          </w:p>
        </w:tc>
        <w:tc>
          <w:tcPr>
            <w:tcW w:w="2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3,345,090</w:t>
            </w:r>
          </w:p>
        </w:tc>
      </w:tr>
      <w:tr>
        <w:trPr>
          <w:trHeight w:val="797"/>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9,829,738</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8,432,037</w:t>
            </w:r>
          </w:p>
        </w:tc>
        <w:tc>
          <w:tcPr>
            <w:tcW w:w="26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6,995,500</w:t>
            </w: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66,801</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66,801</w:t>
            </w:r>
          </w:p>
        </w:tc>
        <w:tc>
          <w:tcPr>
            <w:tcW w:w="2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64,263</w:t>
            </w: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200,404</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200,404</w:t>
            </w:r>
          </w:p>
        </w:tc>
        <w:tc>
          <w:tcPr>
            <w:tcW w:w="2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192,789</w:t>
            </w:r>
          </w:p>
        </w:tc>
      </w:tr>
      <w:tr>
        <w:trPr>
          <w:trHeight w:val="472"/>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29,500,000</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28,756,343</w:t>
            </w:r>
          </w:p>
        </w:tc>
        <w:tc>
          <w:tcPr>
            <w:tcW w:w="26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29,702,813</w:t>
            </w:r>
          </w:p>
        </w:tc>
      </w:tr>
      <w:tr>
        <w:trPr>
          <w:trHeight w:val="351"/>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25,000,000</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21,861,968</w:t>
            </w:r>
          </w:p>
        </w:tc>
        <w:tc>
          <w:tcPr>
            <w:tcW w:w="26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21,861,968</w:t>
            </w:r>
          </w:p>
        </w:tc>
      </w:tr>
      <w:tr>
        <w:trPr>
          <w:trHeight w:val="351"/>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4,500,000</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4,381,967</w:t>
            </w:r>
          </w:p>
        </w:tc>
        <w:tc>
          <w:tcPr>
            <w:tcW w:w="26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4,882,500</w:t>
            </w:r>
          </w:p>
        </w:tc>
      </w:tr>
      <w:tr>
        <w:trPr>
          <w:trHeight w:val="282"/>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11"/>
        </w:trPr>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231,907,418</w:t>
            </w:r>
          </w:p>
        </w:tc>
        <w:tc>
          <w:tcPr>
            <w:tcW w:w="26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229,243,683</w:t>
            </w:r>
          </w:p>
        </w:tc>
      </w:tr>
      <w:tr>
        <w:trPr>
          <w:trHeight w:val="39"/>
        </w:trPr>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4">
            <w:col w:w="2440" w:space="720"/>
            <w:col w:w="2120" w:space="260"/>
            <w:col w:w="1840" w:space="380"/>
            <w:col w:w="34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060"/>
        <w:spacing w:after="0" w:line="255"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 (continued) SEPTEMBER 30, 2010</w:t>
      </w:r>
    </w:p>
    <w:p>
      <w:pPr>
        <w:sectPr>
          <w:pgSz w:w="11900" w:h="16838" w:orient="portrait"/>
          <w:cols w:equalWidth="0" w:num="1">
            <w:col w:w="10860"/>
          </w:cols>
          <w:pgMar w:left="320" w:top="125"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Issuer Name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0"/>
        </w:trPr>
        <w:tc>
          <w:tcPr>
            <w:tcW w:w="282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Lien Secured Debt – 38.6 %</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Brand Energy and Infrastructure Services,</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02/07/2015</w:t>
            </w:r>
          </w:p>
        </w:tc>
        <w:tc>
          <w:tcPr>
            <w:tcW w:w="0" w:type="dxa"/>
            <w:vAlign w:val="bottom"/>
          </w:tcPr>
          <w:p>
            <w:pPr>
              <w:spacing w:after="0"/>
              <w:rPr>
                <w:sz w:val="1"/>
                <w:szCs w:val="1"/>
                <w:color w:val="auto"/>
              </w:rPr>
            </w:pPr>
          </w:p>
        </w:tc>
      </w:tr>
      <w:tr>
        <w:trPr>
          <w:trHeight w:val="182"/>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Inc.</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Brand Energy and Infrastructure Services,</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02/07/2015</w:t>
            </w:r>
          </w:p>
        </w:tc>
        <w:tc>
          <w:tcPr>
            <w:tcW w:w="0" w:type="dxa"/>
            <w:vAlign w:val="bottom"/>
          </w:tcPr>
          <w:p>
            <w:pPr>
              <w:spacing w:after="0"/>
              <w:rPr>
                <w:sz w:val="1"/>
                <w:szCs w:val="1"/>
                <w:color w:val="auto"/>
              </w:rPr>
            </w:pPr>
          </w:p>
        </w:tc>
      </w:tr>
      <w:tr>
        <w:trPr>
          <w:trHeight w:val="182"/>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Inc.</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EnviroSolutions, Inc.</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07/29/2014</w:t>
            </w:r>
          </w:p>
        </w:tc>
        <w:tc>
          <w:tcPr>
            <w:tcW w:w="0" w:type="dxa"/>
            <w:vAlign w:val="bottom"/>
          </w:tcPr>
          <w:p>
            <w:pPr>
              <w:spacing w:after="0"/>
              <w:rPr>
                <w:sz w:val="1"/>
                <w:szCs w:val="1"/>
                <w:color w:val="auto"/>
              </w:rPr>
            </w:pPr>
          </w:p>
        </w:tc>
      </w:tr>
      <w:tr>
        <w:trPr>
          <w:trHeight w:val="243"/>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Generics International (U.S.), Inc.</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04/30/2015</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Greatwide Logistics Services, L.L.C.</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03/01/2014</w:t>
            </w:r>
          </w:p>
        </w:tc>
        <w:tc>
          <w:tcPr>
            <w:tcW w:w="0" w:type="dxa"/>
            <w:vAlign w:val="bottom"/>
          </w:tcPr>
          <w:p>
            <w:pPr>
              <w:spacing w:after="0"/>
              <w:rPr>
                <w:sz w:val="1"/>
                <w:szCs w:val="1"/>
                <w:color w:val="auto"/>
              </w:rPr>
            </w:pPr>
          </w:p>
        </w:tc>
      </w:tr>
      <w:tr>
        <w:trPr>
          <w:trHeight w:val="243"/>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Mohegan Tribal Gaming Authority</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11/01/2017</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Questex Media Group LLC, Term Loan A</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12/15/2014</w:t>
            </w:r>
          </w:p>
        </w:tc>
        <w:tc>
          <w:tcPr>
            <w:tcW w:w="0" w:type="dxa"/>
            <w:vAlign w:val="bottom"/>
          </w:tcPr>
          <w:p>
            <w:pPr>
              <w:spacing w:after="0"/>
              <w:rPr>
                <w:sz w:val="1"/>
                <w:szCs w:val="1"/>
                <w:color w:val="auto"/>
              </w:rPr>
            </w:pPr>
          </w:p>
        </w:tc>
      </w:tr>
      <w:tr>
        <w:trPr>
          <w:trHeight w:val="270"/>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Questex Media Group LLC, Term Loan B</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12/15/2015</w:t>
            </w:r>
          </w:p>
        </w:tc>
        <w:tc>
          <w:tcPr>
            <w:tcW w:w="0" w:type="dxa"/>
            <w:vAlign w:val="bottom"/>
          </w:tcPr>
          <w:p>
            <w:pPr>
              <w:spacing w:after="0"/>
              <w:rPr>
                <w:sz w:val="1"/>
                <w:szCs w:val="1"/>
                <w:color w:val="auto"/>
              </w:rPr>
            </w:pPr>
          </w:p>
        </w:tc>
      </w:tr>
      <w:tr>
        <w:trPr>
          <w:trHeight w:val="243"/>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Realogy Corp.</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10/15/2017</w:t>
            </w:r>
          </w:p>
        </w:tc>
        <w:tc>
          <w:tcPr>
            <w:tcW w:w="0" w:type="dxa"/>
            <w:vAlign w:val="bottom"/>
          </w:tcPr>
          <w:p>
            <w:pPr>
              <w:spacing w:after="0"/>
              <w:rPr>
                <w:sz w:val="1"/>
                <w:szCs w:val="1"/>
                <w:color w:val="auto"/>
              </w:rPr>
            </w:pPr>
          </w:p>
        </w:tc>
      </w:tr>
      <w:tr>
        <w:trPr>
          <w:trHeight w:val="270"/>
        </w:trPr>
        <w:tc>
          <w:tcPr>
            <w:tcW w:w="2820" w:type="dxa"/>
            <w:vAlign w:val="bottom"/>
            <w:gridSpan w:val="3"/>
            <w:vMerge w:val="restart"/>
          </w:tcPr>
          <w:p>
            <w:pPr>
              <w:ind w:left="40"/>
              <w:spacing w:after="0"/>
              <w:rPr>
                <w:sz w:val="20"/>
                <w:szCs w:val="20"/>
                <w:color w:val="auto"/>
              </w:rPr>
            </w:pPr>
            <w:r>
              <w:rPr>
                <w:rFonts w:ascii="Arial" w:cs="Arial" w:eastAsia="Arial" w:hAnsi="Arial"/>
                <w:sz w:val="14"/>
                <w:szCs w:val="14"/>
                <w:color w:val="auto"/>
              </w:rPr>
              <w:t>Saint Acquisition Corp.</w:t>
            </w:r>
            <w:r>
              <w:rPr>
                <w:rFonts w:ascii="Arial" w:cs="Arial" w:eastAsia="Arial" w:hAnsi="Arial"/>
                <w:sz w:val="8"/>
                <w:szCs w:val="8"/>
                <w:color w:val="auto"/>
              </w:rPr>
              <w:t>(5)</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05/15/2015</w:t>
            </w:r>
          </w:p>
        </w:tc>
        <w:tc>
          <w:tcPr>
            <w:tcW w:w="0" w:type="dxa"/>
            <w:vAlign w:val="bottom"/>
          </w:tcPr>
          <w:p>
            <w:pPr>
              <w:spacing w:after="0"/>
              <w:rPr>
                <w:sz w:val="1"/>
                <w:szCs w:val="1"/>
                <w:color w:val="auto"/>
              </w:rPr>
            </w:pPr>
          </w:p>
        </w:tc>
      </w:tr>
      <w:tr>
        <w:trPr>
          <w:trHeight w:val="135"/>
        </w:trPr>
        <w:tc>
          <w:tcPr>
            <w:tcW w:w="282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2820" w:type="dxa"/>
            <w:vAlign w:val="bottom"/>
            <w:gridSpan w:val="3"/>
            <w:vMerge w:val="restart"/>
          </w:tcPr>
          <w:p>
            <w:pPr>
              <w:ind w:left="40"/>
              <w:spacing w:after="0"/>
              <w:rPr>
                <w:sz w:val="20"/>
                <w:szCs w:val="20"/>
                <w:color w:val="auto"/>
              </w:rPr>
            </w:pPr>
            <w:r>
              <w:rPr>
                <w:rFonts w:ascii="Arial" w:cs="Arial" w:eastAsia="Arial" w:hAnsi="Arial"/>
                <w:sz w:val="14"/>
                <w:szCs w:val="14"/>
                <w:color w:val="auto"/>
              </w:rPr>
              <w:t>Saint Acquisition Corp.</w:t>
            </w:r>
            <w:r>
              <w:rPr>
                <w:rFonts w:ascii="Arial" w:cs="Arial" w:eastAsia="Arial" w:hAnsi="Arial"/>
                <w:sz w:val="8"/>
                <w:szCs w:val="8"/>
                <w:color w:val="auto"/>
              </w:rPr>
              <w:t>(5)</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05/15/2017</w:t>
            </w:r>
          </w:p>
        </w:tc>
        <w:tc>
          <w:tcPr>
            <w:tcW w:w="0" w:type="dxa"/>
            <w:vAlign w:val="bottom"/>
          </w:tcPr>
          <w:p>
            <w:pPr>
              <w:spacing w:after="0"/>
              <w:rPr>
                <w:sz w:val="1"/>
                <w:szCs w:val="1"/>
                <w:color w:val="auto"/>
              </w:rPr>
            </w:pPr>
          </w:p>
        </w:tc>
      </w:tr>
      <w:tr>
        <w:trPr>
          <w:trHeight w:val="135"/>
        </w:trPr>
        <w:tc>
          <w:tcPr>
            <w:tcW w:w="282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Sheridan Holdings, Inc.</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06/15/2015</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Specialized Technology Resources, Inc.</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12/15/2014</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TransFirst Holdings, Inc.</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06/15/2015</w:t>
            </w:r>
          </w:p>
        </w:tc>
        <w:tc>
          <w:tcPr>
            <w:tcW w:w="0" w:type="dxa"/>
            <w:vAlign w:val="bottom"/>
          </w:tcPr>
          <w:p>
            <w:pPr>
              <w:spacing w:after="0"/>
              <w:rPr>
                <w:sz w:val="1"/>
                <w:szCs w:val="1"/>
                <w:color w:val="auto"/>
              </w:rPr>
            </w:pPr>
          </w:p>
        </w:tc>
      </w:tr>
      <w:tr>
        <w:trPr>
          <w:trHeight w:val="270"/>
        </w:trPr>
        <w:tc>
          <w:tcPr>
            <w:tcW w:w="28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 Second Lien Secured Debt</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2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Subordinated Debt/Corporate Notes – 56.1%</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820" w:type="dxa"/>
            <w:vAlign w:val="bottom"/>
            <w:gridSpan w:val="3"/>
            <w:vMerge w:val="restart"/>
          </w:tcPr>
          <w:p>
            <w:pPr>
              <w:ind w:left="40"/>
              <w:spacing w:after="0"/>
              <w:rPr>
                <w:sz w:val="20"/>
                <w:szCs w:val="20"/>
                <w:color w:val="auto"/>
              </w:rPr>
            </w:pPr>
            <w:r>
              <w:rPr>
                <w:rFonts w:ascii="Arial" w:cs="Arial" w:eastAsia="Arial" w:hAnsi="Arial"/>
                <w:sz w:val="14"/>
                <w:szCs w:val="14"/>
                <w:color w:val="auto"/>
              </w:rPr>
              <w:t>Affinion Group Holdings, Inc.</w:t>
            </w:r>
            <w:r>
              <w:rPr>
                <w:rFonts w:ascii="Arial" w:cs="Arial" w:eastAsia="Arial" w:hAnsi="Arial"/>
                <w:sz w:val="8"/>
                <w:szCs w:val="8"/>
                <w:color w:val="auto"/>
              </w:rPr>
              <w:t>(5)</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11/15/2015</w:t>
            </w:r>
          </w:p>
        </w:tc>
        <w:tc>
          <w:tcPr>
            <w:tcW w:w="0" w:type="dxa"/>
            <w:vAlign w:val="bottom"/>
          </w:tcPr>
          <w:p>
            <w:pPr>
              <w:spacing w:after="0"/>
              <w:rPr>
                <w:sz w:val="1"/>
                <w:szCs w:val="1"/>
                <w:color w:val="auto"/>
              </w:rPr>
            </w:pPr>
          </w:p>
        </w:tc>
      </w:tr>
      <w:tr>
        <w:trPr>
          <w:trHeight w:val="135"/>
        </w:trPr>
        <w:tc>
          <w:tcPr>
            <w:tcW w:w="282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2820" w:type="dxa"/>
            <w:vAlign w:val="bottom"/>
            <w:gridSpan w:val="3"/>
            <w:vMerge w:val="restart"/>
          </w:tcPr>
          <w:p>
            <w:pPr>
              <w:ind w:left="40"/>
              <w:spacing w:after="0"/>
              <w:rPr>
                <w:sz w:val="20"/>
                <w:szCs w:val="20"/>
                <w:color w:val="auto"/>
              </w:rPr>
            </w:pPr>
            <w:r>
              <w:rPr>
                <w:rFonts w:ascii="Arial" w:cs="Arial" w:eastAsia="Arial" w:hAnsi="Arial"/>
                <w:sz w:val="14"/>
                <w:szCs w:val="14"/>
                <w:color w:val="auto"/>
              </w:rPr>
              <w:t>Aquilex Holdings, LLC</w:t>
            </w:r>
            <w:r>
              <w:rPr>
                <w:rFonts w:ascii="Arial" w:cs="Arial" w:eastAsia="Arial" w:hAnsi="Arial"/>
                <w:sz w:val="8"/>
                <w:szCs w:val="8"/>
                <w:color w:val="auto"/>
              </w:rPr>
              <w:t>(5)</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12/15/2016</w:t>
            </w:r>
          </w:p>
        </w:tc>
        <w:tc>
          <w:tcPr>
            <w:tcW w:w="0" w:type="dxa"/>
            <w:vAlign w:val="bottom"/>
          </w:tcPr>
          <w:p>
            <w:pPr>
              <w:spacing w:after="0"/>
              <w:rPr>
                <w:sz w:val="1"/>
                <w:szCs w:val="1"/>
                <w:color w:val="auto"/>
              </w:rPr>
            </w:pPr>
          </w:p>
        </w:tc>
      </w:tr>
      <w:tr>
        <w:trPr>
          <w:trHeight w:val="135"/>
        </w:trPr>
        <w:tc>
          <w:tcPr>
            <w:tcW w:w="282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4"/>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Consolidated Foundries, Inc.</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04/17/2015</w:t>
            </w:r>
          </w:p>
        </w:tc>
        <w:tc>
          <w:tcPr>
            <w:tcW w:w="0" w:type="dxa"/>
            <w:vAlign w:val="bottom"/>
          </w:tcPr>
          <w:p>
            <w:pPr>
              <w:spacing w:after="0"/>
              <w:rPr>
                <w:sz w:val="1"/>
                <w:szCs w:val="1"/>
                <w:color w:val="auto"/>
              </w:rPr>
            </w:pPr>
          </w:p>
        </w:tc>
      </w:tr>
      <w:tr>
        <w:trPr>
          <w:trHeight w:val="209"/>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CT Technologies Intermediate Holdings,</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03/22/2014</w:t>
            </w:r>
          </w:p>
        </w:tc>
        <w:tc>
          <w:tcPr>
            <w:tcW w:w="0" w:type="dxa"/>
            <w:vAlign w:val="bottom"/>
          </w:tcPr>
          <w:p>
            <w:pPr>
              <w:spacing w:after="0"/>
              <w:rPr>
                <w:sz w:val="1"/>
                <w:szCs w:val="1"/>
                <w:color w:val="auto"/>
              </w:rPr>
            </w:pPr>
          </w:p>
        </w:tc>
      </w:tr>
      <w:tr>
        <w:trPr>
          <w:trHeight w:val="101"/>
        </w:trPr>
        <w:tc>
          <w:tcPr>
            <w:tcW w:w="2820" w:type="dxa"/>
            <w:vAlign w:val="bottom"/>
            <w:gridSpan w:val="3"/>
            <w:vMerge w:val="restart"/>
          </w:tcPr>
          <w:p>
            <w:pPr>
              <w:ind w:left="40"/>
              <w:spacing w:after="0"/>
              <w:rPr>
                <w:sz w:val="20"/>
                <w:szCs w:val="20"/>
                <w:color w:val="auto"/>
              </w:rPr>
            </w:pPr>
            <w:r>
              <w:rPr>
                <w:rFonts w:ascii="Arial" w:cs="Arial" w:eastAsia="Arial" w:hAnsi="Arial"/>
                <w:sz w:val="14"/>
                <w:szCs w:val="14"/>
                <w:color w:val="auto"/>
              </w:rPr>
              <w:t>Inc.</w:t>
            </w: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82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820" w:type="dxa"/>
            <w:vAlign w:val="bottom"/>
            <w:gridSpan w:val="3"/>
            <w:vMerge w:val="restart"/>
          </w:tcPr>
          <w:p>
            <w:pPr>
              <w:ind w:left="40"/>
              <w:spacing w:after="0"/>
              <w:rPr>
                <w:sz w:val="20"/>
                <w:szCs w:val="20"/>
                <w:color w:val="auto"/>
              </w:rPr>
            </w:pPr>
            <w:r>
              <w:rPr>
                <w:rFonts w:ascii="Arial" w:cs="Arial" w:eastAsia="Arial" w:hAnsi="Arial"/>
                <w:sz w:val="14"/>
                <w:szCs w:val="14"/>
                <w:color w:val="auto"/>
              </w:rPr>
              <w:t>Da-Lite Screen Company, Inc.</w:t>
            </w:r>
            <w:r>
              <w:rPr>
                <w:rFonts w:ascii="Arial" w:cs="Arial" w:eastAsia="Arial" w:hAnsi="Arial"/>
                <w:sz w:val="8"/>
                <w:szCs w:val="8"/>
                <w:color w:val="auto"/>
              </w:rPr>
              <w:t>(5)</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04/01/2015</w:t>
            </w:r>
          </w:p>
        </w:tc>
        <w:tc>
          <w:tcPr>
            <w:tcW w:w="0" w:type="dxa"/>
            <w:vAlign w:val="bottom"/>
          </w:tcPr>
          <w:p>
            <w:pPr>
              <w:spacing w:after="0"/>
              <w:rPr>
                <w:sz w:val="1"/>
                <w:szCs w:val="1"/>
                <w:color w:val="auto"/>
              </w:rPr>
            </w:pPr>
          </w:p>
        </w:tc>
      </w:tr>
      <w:tr>
        <w:trPr>
          <w:trHeight w:val="135"/>
        </w:trPr>
        <w:tc>
          <w:tcPr>
            <w:tcW w:w="282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8"/>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i2 Holdings Ltd.</w:t>
            </w:r>
            <w:r>
              <w:rPr>
                <w:rFonts w:ascii="Arial" w:cs="Arial" w:eastAsia="Arial" w:hAnsi="Arial"/>
                <w:sz w:val="8"/>
                <w:szCs w:val="8"/>
                <w:color w:val="auto"/>
              </w:rPr>
              <w:t>(10)</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06/06/2014</w:t>
            </w:r>
          </w:p>
        </w:tc>
        <w:tc>
          <w:tcPr>
            <w:tcW w:w="0" w:type="dxa"/>
            <w:vAlign w:val="bottom"/>
          </w:tcPr>
          <w:p>
            <w:pPr>
              <w:spacing w:after="0"/>
              <w:rPr>
                <w:sz w:val="1"/>
                <w:szCs w:val="1"/>
                <w:color w:val="auto"/>
              </w:rPr>
            </w:pPr>
          </w:p>
        </w:tc>
      </w:tr>
      <w:tr>
        <w:trPr>
          <w:trHeight w:val="365"/>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Learning Care Group (U.S.) Inc.</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06/30/2016</w:t>
            </w:r>
          </w:p>
        </w:tc>
        <w:tc>
          <w:tcPr>
            <w:tcW w:w="0" w:type="dxa"/>
            <w:vAlign w:val="bottom"/>
          </w:tcPr>
          <w:p>
            <w:pPr>
              <w:spacing w:after="0"/>
              <w:rPr>
                <w:sz w:val="1"/>
                <w:szCs w:val="1"/>
                <w:color w:val="auto"/>
              </w:rPr>
            </w:pPr>
          </w:p>
        </w:tc>
      </w:tr>
      <w:tr>
        <w:trPr>
          <w:trHeight w:val="270"/>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MedQuist, Inc.</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10/15/2016</w:t>
            </w:r>
          </w:p>
        </w:tc>
        <w:tc>
          <w:tcPr>
            <w:tcW w:w="0" w:type="dxa"/>
            <w:vAlign w:val="bottom"/>
          </w:tcPr>
          <w:p>
            <w:pPr>
              <w:spacing w:after="0"/>
              <w:rPr>
                <w:sz w:val="1"/>
                <w:szCs w:val="1"/>
                <w:color w:val="auto"/>
              </w:rPr>
            </w:pPr>
          </w:p>
        </w:tc>
      </w:tr>
      <w:tr>
        <w:trPr>
          <w:trHeight w:val="270"/>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Realogy Corp.</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04/15/2015</w:t>
            </w:r>
          </w:p>
        </w:tc>
        <w:tc>
          <w:tcPr>
            <w:tcW w:w="0" w:type="dxa"/>
            <w:vAlign w:val="bottom"/>
          </w:tcPr>
          <w:p>
            <w:pPr>
              <w:spacing w:after="0"/>
              <w:rPr>
                <w:sz w:val="1"/>
                <w:szCs w:val="1"/>
                <w:color w:val="auto"/>
              </w:rPr>
            </w:pPr>
          </w:p>
        </w:tc>
      </w:tr>
      <w:tr>
        <w:trPr>
          <w:trHeight w:val="270"/>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TRAK Acquisition Corp.</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12/29/2015</w:t>
            </w:r>
          </w:p>
        </w:tc>
        <w:tc>
          <w:tcPr>
            <w:tcW w:w="0" w:type="dxa"/>
            <w:vAlign w:val="bottom"/>
          </w:tcPr>
          <w:p>
            <w:pPr>
              <w:spacing w:after="0"/>
              <w:rPr>
                <w:sz w:val="1"/>
                <w:szCs w:val="1"/>
                <w:color w:val="auto"/>
              </w:rPr>
            </w:pPr>
          </w:p>
        </w:tc>
      </w:tr>
      <w:tr>
        <w:trPr>
          <w:trHeight w:val="270"/>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Trizetto Group, Inc.</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10/01/2016</w:t>
            </w:r>
          </w:p>
        </w:tc>
        <w:tc>
          <w:tcPr>
            <w:tcW w:w="0" w:type="dxa"/>
            <w:vAlign w:val="bottom"/>
          </w:tcPr>
          <w:p>
            <w:pPr>
              <w:spacing w:after="0"/>
              <w:rPr>
                <w:sz w:val="1"/>
                <w:szCs w:val="1"/>
                <w:color w:val="auto"/>
              </w:rPr>
            </w:pPr>
          </w:p>
        </w:tc>
      </w:tr>
      <w:tr>
        <w:trPr>
          <w:trHeight w:val="270"/>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UP Acquisition Sub., Inc.</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02/08/2015</w:t>
            </w:r>
          </w:p>
        </w:tc>
        <w:tc>
          <w:tcPr>
            <w:tcW w:w="0" w:type="dxa"/>
            <w:vAlign w:val="bottom"/>
          </w:tcPr>
          <w:p>
            <w:pPr>
              <w:spacing w:after="0"/>
              <w:rPr>
                <w:sz w:val="1"/>
                <w:szCs w:val="1"/>
                <w:color w:val="auto"/>
              </w:rPr>
            </w:pPr>
          </w:p>
        </w:tc>
      </w:tr>
      <w:tr>
        <w:trPr>
          <w:trHeight w:val="270"/>
        </w:trPr>
        <w:tc>
          <w:tcPr>
            <w:tcW w:w="2820" w:type="dxa"/>
            <w:vAlign w:val="bottom"/>
            <w:gridSpan w:val="3"/>
          </w:tcPr>
          <w:p>
            <w:pPr>
              <w:ind w:left="40"/>
              <w:spacing w:after="0"/>
              <w:rPr>
                <w:sz w:val="20"/>
                <w:szCs w:val="20"/>
                <w:color w:val="auto"/>
              </w:rPr>
            </w:pPr>
            <w:r>
              <w:rPr>
                <w:rFonts w:ascii="Arial" w:cs="Arial" w:eastAsia="Arial" w:hAnsi="Arial"/>
                <w:sz w:val="14"/>
                <w:szCs w:val="14"/>
                <w:color w:val="auto"/>
              </w:rPr>
              <w:t>Veritext Corp.</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12/31/2015</w:t>
            </w:r>
          </w:p>
        </w:tc>
        <w:tc>
          <w:tcPr>
            <w:tcW w:w="0" w:type="dxa"/>
            <w:vAlign w:val="bottom"/>
          </w:tcPr>
          <w:p>
            <w:pPr>
              <w:spacing w:after="0"/>
              <w:rPr>
                <w:sz w:val="1"/>
                <w:szCs w:val="1"/>
                <w:color w:val="auto"/>
              </w:rPr>
            </w:pPr>
          </w:p>
        </w:tc>
      </w:tr>
      <w:tr>
        <w:trPr>
          <w:trHeight w:val="243"/>
        </w:trPr>
        <w:tc>
          <w:tcPr>
            <w:tcW w:w="2820" w:type="dxa"/>
            <w:vAlign w:val="bottom"/>
            <w:gridSpan w:val="3"/>
            <w:vMerge w:val="restart"/>
          </w:tcPr>
          <w:p>
            <w:pPr>
              <w:ind w:left="40"/>
              <w:spacing w:after="0"/>
              <w:rPr>
                <w:sz w:val="20"/>
                <w:szCs w:val="20"/>
                <w:color w:val="auto"/>
              </w:rPr>
            </w:pPr>
            <w:r>
              <w:rPr>
                <w:rFonts w:ascii="Arial" w:cs="Arial" w:eastAsia="Arial" w:hAnsi="Arial"/>
                <w:sz w:val="14"/>
                <w:szCs w:val="14"/>
                <w:color w:val="auto"/>
              </w:rPr>
              <w:t>Veritext Corp.</w:t>
            </w:r>
            <w:r>
              <w:rPr>
                <w:rFonts w:ascii="Arial" w:cs="Arial" w:eastAsia="Arial" w:hAnsi="Arial"/>
                <w:sz w:val="8"/>
                <w:szCs w:val="8"/>
                <w:color w:val="auto"/>
              </w:rPr>
              <w:t>(9)</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12/31/2012</w:t>
            </w:r>
          </w:p>
        </w:tc>
        <w:tc>
          <w:tcPr>
            <w:tcW w:w="0" w:type="dxa"/>
            <w:vAlign w:val="bottom"/>
          </w:tcPr>
          <w:p>
            <w:pPr>
              <w:spacing w:after="0"/>
              <w:rPr>
                <w:sz w:val="1"/>
                <w:szCs w:val="1"/>
                <w:color w:val="auto"/>
              </w:rPr>
            </w:pPr>
          </w:p>
        </w:tc>
      </w:tr>
      <w:tr>
        <w:trPr>
          <w:trHeight w:val="135"/>
        </w:trPr>
        <w:tc>
          <w:tcPr>
            <w:tcW w:w="282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Subordinated Debt/Corporate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Industry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Energy/Utilities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Energy/Utilities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3"/>
          <w:szCs w:val="13"/>
          <w:color w:val="auto"/>
        </w:rPr>
        <w:t>Environmental Services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Healthcare, Education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Childcare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Cargo Transport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Hotels, Motels, Inns and</w:t>
      </w:r>
    </w:p>
    <w:p>
      <w:pPr>
        <w:jc w:val="center"/>
        <w:spacing w:after="0"/>
        <w:rPr>
          <w:sz w:val="20"/>
          <w:szCs w:val="20"/>
          <w:color w:val="auto"/>
        </w:rPr>
      </w:pPr>
      <w:r>
        <w:rPr>
          <w:rFonts w:ascii="Arial" w:cs="Arial" w:eastAsia="Arial" w:hAnsi="Arial"/>
          <w:sz w:val="14"/>
          <w:szCs w:val="14"/>
          <w:color w:val="auto"/>
        </w:rPr>
        <w:t>Gaming</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Other Media</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Other Media</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Buildings and Real Estate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Transportation</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Transportation</w:t>
      </w:r>
    </w:p>
    <w:p>
      <w:pPr>
        <w:spacing w:after="0" w:line="312" w:lineRule="exact"/>
        <w:rPr>
          <w:sz w:val="20"/>
          <w:szCs w:val="20"/>
          <w:color w:val="auto"/>
        </w:rPr>
      </w:pPr>
    </w:p>
    <w:p>
      <w:pPr>
        <w:jc w:val="center"/>
        <w:spacing w:after="0" w:line="253" w:lineRule="auto"/>
        <w:rPr>
          <w:sz w:val="20"/>
          <w:szCs w:val="20"/>
          <w:color w:val="auto"/>
        </w:rPr>
      </w:pPr>
      <w:r>
        <w:rPr>
          <w:rFonts w:ascii="Arial" w:cs="Arial" w:eastAsia="Arial" w:hAnsi="Arial"/>
          <w:sz w:val="14"/>
          <w:szCs w:val="14"/>
          <w:color w:val="auto"/>
        </w:rPr>
        <w:t>Healthcare, Education and Childcare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Chemical, Plastics and</w:t>
      </w:r>
    </w:p>
    <w:p>
      <w:pPr>
        <w:jc w:val="center"/>
        <w:spacing w:after="0"/>
        <w:rPr>
          <w:sz w:val="20"/>
          <w:szCs w:val="20"/>
          <w:color w:val="auto"/>
        </w:rPr>
      </w:pPr>
      <w:r>
        <w:rPr>
          <w:rFonts w:ascii="Arial" w:cs="Arial" w:eastAsia="Arial" w:hAnsi="Arial"/>
          <w:sz w:val="14"/>
          <w:szCs w:val="14"/>
          <w:color w:val="auto"/>
        </w:rPr>
        <w:t>Rubber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Financial Services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Consumer Products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Diversified /</w:t>
      </w:r>
    </w:p>
    <w:p>
      <w:pPr>
        <w:jc w:val="center"/>
        <w:spacing w:after="0"/>
        <w:rPr>
          <w:sz w:val="20"/>
          <w:szCs w:val="20"/>
          <w:color w:val="auto"/>
        </w:rPr>
      </w:pPr>
      <w:r>
        <w:rPr>
          <w:rFonts w:ascii="Arial" w:cs="Arial" w:eastAsia="Arial" w:hAnsi="Arial"/>
          <w:sz w:val="14"/>
          <w:szCs w:val="14"/>
          <w:color w:val="auto"/>
        </w:rPr>
        <w:t>Conglomerate Services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Aerospace and Defense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Business Services</w:t>
      </w:r>
    </w:p>
    <w:p>
      <w:pPr>
        <w:spacing w:after="0" w:line="190" w:lineRule="exact"/>
        <w:rPr>
          <w:sz w:val="20"/>
          <w:szCs w:val="20"/>
          <w:color w:val="auto"/>
        </w:rPr>
      </w:pPr>
    </w:p>
    <w:p>
      <w:pPr>
        <w:jc w:val="center"/>
        <w:ind w:left="20" w:right="20"/>
        <w:spacing w:after="0" w:line="281" w:lineRule="auto"/>
        <w:rPr>
          <w:sz w:val="20"/>
          <w:szCs w:val="20"/>
          <w:color w:val="auto"/>
        </w:rPr>
      </w:pPr>
      <w:r>
        <w:rPr>
          <w:rFonts w:ascii="Arial" w:cs="Arial" w:eastAsia="Arial" w:hAnsi="Arial"/>
          <w:sz w:val="12"/>
          <w:szCs w:val="12"/>
          <w:color w:val="auto"/>
        </w:rPr>
        <w:t>Home and Office Furnishings, Housewares and Durable Consumer Products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Aerospace and Defense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Education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Business Services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Buildings and Real Estate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Business Services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Insurance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Oil and Gas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Business Services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Business Services</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Basis Points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gridSpan w:val="3"/>
            <w:vMerge w:val="continue"/>
          </w:tcPr>
          <w:p>
            <w:pPr>
              <w:spacing w:after="0"/>
              <w:rPr>
                <w:sz w:val="12"/>
                <w:szCs w:val="12"/>
                <w:color w:val="auto"/>
              </w:rPr>
            </w:pPr>
          </w:p>
        </w:tc>
        <w:tc>
          <w:tcPr>
            <w:tcW w:w="6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Above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Par / Shares</w:t>
            </w:r>
          </w:p>
        </w:tc>
        <w:tc>
          <w:tcPr>
            <w:tcW w:w="240" w:type="dxa"/>
            <w:vAlign w:val="bottom"/>
          </w:tcPr>
          <w:p>
            <w:pPr>
              <w:spacing w:after="0"/>
              <w:rPr>
                <w:sz w:val="12"/>
                <w:szCs w:val="12"/>
                <w:color w:val="auto"/>
              </w:rPr>
            </w:pP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2"/>
                <w:szCs w:val="12"/>
                <w:color w:val="auto"/>
              </w:rPr>
            </w:pP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192"/>
        </w:trPr>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90"/>
              </w:rPr>
              <w:t>Coupon</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4"/>
              </w:rPr>
              <w:t>Index</w:t>
            </w:r>
            <w:r>
              <w:rPr>
                <w:rFonts w:ascii="Arial" w:cs="Arial" w:eastAsia="Arial" w:hAnsi="Arial"/>
                <w:sz w:val="8"/>
                <w:szCs w:val="8"/>
                <w:b w:val="1"/>
                <w:bCs w:val="1"/>
                <w:color w:val="auto"/>
                <w:w w:val="94"/>
              </w:rPr>
              <w:t>(4)</w:t>
            </w:r>
          </w:p>
        </w:tc>
        <w:tc>
          <w:tcPr>
            <w:tcW w:w="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60"/>
        </w:trPr>
        <w:tc>
          <w:tcPr>
            <w:tcW w:w="700" w:type="dxa"/>
            <w:vAlign w:val="bottom"/>
          </w:tcPr>
          <w:p>
            <w:pPr>
              <w:jc w:val="right"/>
              <w:spacing w:after="0"/>
              <w:rPr>
                <w:sz w:val="20"/>
                <w:szCs w:val="20"/>
                <w:color w:val="auto"/>
              </w:rPr>
            </w:pPr>
            <w:r>
              <w:rPr>
                <w:rFonts w:ascii="Arial" w:cs="Arial" w:eastAsia="Arial" w:hAnsi="Arial"/>
                <w:sz w:val="14"/>
                <w:szCs w:val="14"/>
                <w:color w:val="auto"/>
              </w:rPr>
              <w:t>6.43%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L+600</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13,600,000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13,216,845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11,696,000</w:t>
            </w:r>
          </w:p>
        </w:tc>
        <w:tc>
          <w:tcPr>
            <w:tcW w:w="0" w:type="dxa"/>
            <w:vAlign w:val="bottom"/>
          </w:tcPr>
          <w:p>
            <w:pPr>
              <w:spacing w:after="0"/>
              <w:rPr>
                <w:sz w:val="1"/>
                <w:szCs w:val="1"/>
                <w:color w:val="auto"/>
              </w:rPr>
            </w:pPr>
          </w:p>
        </w:tc>
      </w:tr>
      <w:tr>
        <w:trPr>
          <w:trHeight w:val="351"/>
        </w:trPr>
        <w:tc>
          <w:tcPr>
            <w:tcW w:w="700" w:type="dxa"/>
            <w:vAlign w:val="bottom"/>
          </w:tcPr>
          <w:p>
            <w:pPr>
              <w:jc w:val="right"/>
              <w:spacing w:after="0"/>
              <w:rPr>
                <w:sz w:val="20"/>
                <w:szCs w:val="20"/>
                <w:color w:val="auto"/>
              </w:rPr>
            </w:pPr>
            <w:r>
              <w:rPr>
                <w:rFonts w:ascii="Arial" w:cs="Arial" w:eastAsia="Arial" w:hAnsi="Arial"/>
                <w:sz w:val="14"/>
                <w:szCs w:val="14"/>
                <w:color w:val="auto"/>
              </w:rPr>
              <w:t>7.39%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L+700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12,000,000</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11,776,589</w:t>
            </w:r>
          </w:p>
        </w:tc>
        <w:tc>
          <w:tcPr>
            <w:tcW w:w="2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10,410,000</w:t>
            </w:r>
          </w:p>
        </w:tc>
        <w:tc>
          <w:tcPr>
            <w:tcW w:w="0" w:type="dxa"/>
            <w:vAlign w:val="bottom"/>
          </w:tcPr>
          <w:p>
            <w:pPr>
              <w:spacing w:after="0"/>
              <w:rPr>
                <w:sz w:val="1"/>
                <w:szCs w:val="1"/>
                <w:color w:val="auto"/>
              </w:rPr>
            </w:pPr>
          </w:p>
        </w:tc>
      </w:tr>
      <w:tr>
        <w:trPr>
          <w:trHeight w:val="378"/>
        </w:trPr>
        <w:tc>
          <w:tcPr>
            <w:tcW w:w="700" w:type="dxa"/>
            <w:vAlign w:val="bottom"/>
          </w:tcPr>
          <w:p>
            <w:pPr>
              <w:jc w:val="right"/>
              <w:spacing w:after="0"/>
              <w:rPr>
                <w:sz w:val="20"/>
                <w:szCs w:val="20"/>
                <w:color w:val="auto"/>
              </w:rPr>
            </w:pPr>
            <w:r>
              <w:rPr>
                <w:rFonts w:ascii="Arial" w:cs="Arial" w:eastAsia="Arial" w:hAnsi="Arial"/>
                <w:sz w:val="14"/>
                <w:szCs w:val="14"/>
                <w:color w:val="auto"/>
              </w:rPr>
              <w:t>8.00%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L+600</w:t>
            </w:r>
          </w:p>
        </w:tc>
        <w:tc>
          <w:tcPr>
            <w:tcW w:w="200" w:type="dxa"/>
            <w:vAlign w:val="bottom"/>
          </w:tcPr>
          <w:p>
            <w:pPr>
              <w:jc w:val="right"/>
              <w:ind w:right="35"/>
              <w:spacing w:after="0"/>
              <w:rPr>
                <w:sz w:val="20"/>
                <w:szCs w:val="20"/>
                <w:color w:val="auto"/>
              </w:rPr>
            </w:pPr>
            <w:r>
              <w:rPr>
                <w:rFonts w:ascii="Arial" w:cs="Arial" w:eastAsia="Arial" w:hAnsi="Arial"/>
                <w:sz w:val="9"/>
                <w:szCs w:val="9"/>
                <w:color w:val="auto"/>
                <w:w w:val="90"/>
              </w:rPr>
              <w:t>(8)</w:t>
            </w:r>
          </w:p>
        </w:tc>
        <w:tc>
          <w:tcPr>
            <w:tcW w:w="14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6,237,317</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6,237,317</w:t>
            </w:r>
          </w:p>
        </w:tc>
        <w:tc>
          <w:tcPr>
            <w:tcW w:w="2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5,950,400</w:t>
            </w:r>
          </w:p>
        </w:tc>
        <w:tc>
          <w:tcPr>
            <w:tcW w:w="0" w:type="dxa"/>
            <w:vAlign w:val="bottom"/>
          </w:tcPr>
          <w:p>
            <w:pPr>
              <w:spacing w:after="0"/>
              <w:rPr>
                <w:sz w:val="1"/>
                <w:szCs w:val="1"/>
                <w:color w:val="auto"/>
              </w:rPr>
            </w:pPr>
          </w:p>
        </w:tc>
      </w:tr>
      <w:tr>
        <w:trPr>
          <w:trHeight w:val="243"/>
        </w:trPr>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7.79%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L+750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12,000,000</w:t>
            </w:r>
          </w:p>
        </w:tc>
        <w:tc>
          <w:tcPr>
            <w:tcW w:w="2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11,958,469</w:t>
            </w:r>
          </w:p>
        </w:tc>
        <w:tc>
          <w:tcPr>
            <w:tcW w:w="2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11,940,000</w:t>
            </w:r>
          </w:p>
        </w:tc>
        <w:tc>
          <w:tcPr>
            <w:tcW w:w="0" w:type="dxa"/>
            <w:vAlign w:val="bottom"/>
          </w:tcPr>
          <w:p>
            <w:pPr>
              <w:spacing w:after="0"/>
              <w:rPr>
                <w:sz w:val="1"/>
                <w:szCs w:val="1"/>
                <w:color w:val="auto"/>
              </w:rPr>
            </w:pPr>
          </w:p>
        </w:tc>
      </w:tr>
      <w:tr>
        <w:trPr>
          <w:trHeight w:val="68"/>
        </w:trPr>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700" w:type="dxa"/>
            <w:vAlign w:val="bottom"/>
          </w:tcPr>
          <w:p>
            <w:pPr>
              <w:jc w:val="right"/>
              <w:spacing w:after="0"/>
              <w:rPr>
                <w:sz w:val="20"/>
                <w:szCs w:val="20"/>
                <w:color w:val="auto"/>
              </w:rPr>
            </w:pPr>
            <w:r>
              <w:rPr>
                <w:rFonts w:ascii="Arial" w:cs="Arial" w:eastAsia="Arial" w:hAnsi="Arial"/>
                <w:sz w:val="14"/>
                <w:szCs w:val="14"/>
                <w:color w:val="auto"/>
              </w:rPr>
              <w:t>11.00%</w:t>
            </w:r>
          </w:p>
        </w:tc>
        <w:tc>
          <w:tcPr>
            <w:tcW w:w="180" w:type="dxa"/>
            <w:vAlign w:val="bottom"/>
          </w:tcPr>
          <w:p>
            <w:pPr>
              <w:jc w:val="right"/>
              <w:ind w:right="35"/>
              <w:spacing w:after="0"/>
              <w:rPr>
                <w:sz w:val="20"/>
                <w:szCs w:val="20"/>
                <w:color w:val="auto"/>
              </w:rPr>
            </w:pPr>
            <w:r>
              <w:rPr>
                <w:rFonts w:ascii="Arial" w:cs="Arial" w:eastAsia="Arial" w:hAnsi="Arial"/>
                <w:sz w:val="9"/>
                <w:szCs w:val="9"/>
                <w:color w:val="auto"/>
                <w:w w:val="72"/>
              </w:rPr>
              <w:t>(6)</w:t>
            </w: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L+700</w:t>
            </w:r>
          </w:p>
        </w:tc>
        <w:tc>
          <w:tcPr>
            <w:tcW w:w="200" w:type="dxa"/>
            <w:vAlign w:val="bottom"/>
          </w:tcPr>
          <w:p>
            <w:pPr>
              <w:jc w:val="right"/>
              <w:ind w:right="35"/>
              <w:spacing w:after="0"/>
              <w:rPr>
                <w:sz w:val="20"/>
                <w:szCs w:val="20"/>
                <w:color w:val="auto"/>
              </w:rPr>
            </w:pPr>
            <w:r>
              <w:rPr>
                <w:rFonts w:ascii="Arial" w:cs="Arial" w:eastAsia="Arial" w:hAnsi="Arial"/>
                <w:sz w:val="9"/>
                <w:szCs w:val="9"/>
                <w:color w:val="auto"/>
                <w:w w:val="90"/>
              </w:rPr>
              <w:t>(8)</w:t>
            </w:r>
          </w:p>
        </w:tc>
        <w:tc>
          <w:tcPr>
            <w:tcW w:w="14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2,570,357</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2,570,357</w:t>
            </w:r>
          </w:p>
        </w:tc>
        <w:tc>
          <w:tcPr>
            <w:tcW w:w="2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2,594,775</w:t>
            </w:r>
          </w:p>
        </w:tc>
        <w:tc>
          <w:tcPr>
            <w:tcW w:w="0" w:type="dxa"/>
            <w:vAlign w:val="bottom"/>
          </w:tcPr>
          <w:p>
            <w:pPr>
              <w:spacing w:after="0"/>
              <w:rPr>
                <w:sz w:val="1"/>
                <w:szCs w:val="1"/>
                <w:color w:val="auto"/>
              </w:rPr>
            </w:pPr>
          </w:p>
        </w:tc>
      </w:tr>
      <w:tr>
        <w:trPr>
          <w:trHeight w:val="243"/>
        </w:trPr>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11.50%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4,825,762</w:t>
            </w:r>
          </w:p>
        </w:tc>
        <w:tc>
          <w:tcPr>
            <w:tcW w:w="2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4,475,000</w:t>
            </w:r>
          </w:p>
        </w:tc>
        <w:tc>
          <w:tcPr>
            <w:tcW w:w="0" w:type="dxa"/>
            <w:vAlign w:val="bottom"/>
          </w:tcPr>
          <w:p>
            <w:pPr>
              <w:spacing w:after="0"/>
              <w:rPr>
                <w:sz w:val="1"/>
                <w:szCs w:val="1"/>
                <w:color w:val="auto"/>
              </w:rPr>
            </w:pPr>
          </w:p>
        </w:tc>
      </w:tr>
      <w:tr>
        <w:trPr>
          <w:trHeight w:val="68"/>
        </w:trPr>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700" w:type="dxa"/>
            <w:vAlign w:val="bottom"/>
          </w:tcPr>
          <w:p>
            <w:pPr>
              <w:jc w:val="right"/>
              <w:spacing w:after="0"/>
              <w:rPr>
                <w:sz w:val="20"/>
                <w:szCs w:val="20"/>
                <w:color w:val="auto"/>
              </w:rPr>
            </w:pPr>
            <w:r>
              <w:rPr>
                <w:rFonts w:ascii="Arial" w:cs="Arial" w:eastAsia="Arial" w:hAnsi="Arial"/>
                <w:sz w:val="14"/>
                <w:szCs w:val="14"/>
                <w:color w:val="auto"/>
              </w:rPr>
              <w:t>9.50%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L+650</w:t>
            </w:r>
          </w:p>
        </w:tc>
        <w:tc>
          <w:tcPr>
            <w:tcW w:w="200" w:type="dxa"/>
            <w:vAlign w:val="bottom"/>
          </w:tcPr>
          <w:p>
            <w:pPr>
              <w:jc w:val="right"/>
              <w:ind w:right="35"/>
              <w:spacing w:after="0"/>
              <w:rPr>
                <w:sz w:val="20"/>
                <w:szCs w:val="20"/>
                <w:color w:val="auto"/>
              </w:rPr>
            </w:pPr>
            <w:r>
              <w:rPr>
                <w:rFonts w:ascii="Arial" w:cs="Arial" w:eastAsia="Arial" w:hAnsi="Arial"/>
                <w:sz w:val="9"/>
                <w:szCs w:val="9"/>
                <w:color w:val="auto"/>
                <w:w w:val="90"/>
              </w:rPr>
              <w:t>(8)</w:t>
            </w:r>
          </w:p>
        </w:tc>
        <w:tc>
          <w:tcPr>
            <w:tcW w:w="14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3,219,319</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3,219,319</w:t>
            </w:r>
          </w:p>
        </w:tc>
        <w:tc>
          <w:tcPr>
            <w:tcW w:w="2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2,675,254</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11.50%</w:t>
            </w:r>
          </w:p>
        </w:tc>
        <w:tc>
          <w:tcPr>
            <w:tcW w:w="180" w:type="dxa"/>
            <w:vAlign w:val="bottom"/>
          </w:tcPr>
          <w:p>
            <w:pPr>
              <w:jc w:val="right"/>
              <w:ind w:right="35"/>
              <w:spacing w:after="0"/>
              <w:rPr>
                <w:sz w:val="20"/>
                <w:szCs w:val="20"/>
                <w:color w:val="auto"/>
              </w:rPr>
            </w:pPr>
            <w:r>
              <w:rPr>
                <w:rFonts w:ascii="Arial" w:cs="Arial" w:eastAsia="Arial" w:hAnsi="Arial"/>
                <w:sz w:val="9"/>
                <w:szCs w:val="9"/>
                <w:color w:val="auto"/>
                <w:w w:val="72"/>
              </w:rPr>
              <w:t>(6)</w:t>
            </w:r>
          </w:p>
        </w:tc>
        <w:tc>
          <w:tcPr>
            <w:tcW w:w="1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L+850</w:t>
            </w:r>
          </w:p>
        </w:tc>
        <w:tc>
          <w:tcPr>
            <w:tcW w:w="200" w:type="dxa"/>
            <w:vAlign w:val="bottom"/>
          </w:tcPr>
          <w:p>
            <w:pPr>
              <w:jc w:val="right"/>
              <w:ind w:right="35"/>
              <w:spacing w:after="0"/>
              <w:rPr>
                <w:sz w:val="20"/>
                <w:szCs w:val="20"/>
                <w:color w:val="auto"/>
              </w:rPr>
            </w:pPr>
            <w:r>
              <w:rPr>
                <w:rFonts w:ascii="Arial" w:cs="Arial" w:eastAsia="Arial" w:hAnsi="Arial"/>
                <w:sz w:val="9"/>
                <w:szCs w:val="9"/>
                <w:color w:val="auto"/>
                <w:w w:val="90"/>
              </w:rPr>
              <w:t>(8)</w:t>
            </w:r>
          </w:p>
        </w:tc>
        <w:tc>
          <w:tcPr>
            <w:tcW w:w="1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1,773,703</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1,773,703</w:t>
            </w:r>
          </w:p>
        </w:tc>
        <w:tc>
          <w:tcPr>
            <w:tcW w:w="2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1,349,788</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4"/>
                <w:szCs w:val="14"/>
                <w:color w:val="auto"/>
              </w:rPr>
              <w:t>13.50%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10,000,000</w:t>
            </w:r>
          </w:p>
        </w:tc>
        <w:tc>
          <w:tcPr>
            <w:tcW w:w="2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10,000,000</w:t>
            </w:r>
          </w:p>
        </w:tc>
        <w:tc>
          <w:tcPr>
            <w:tcW w:w="2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10,600,000</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8.13%</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L+775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10,000,000</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9,950,907</w:t>
            </w:r>
          </w:p>
        </w:tc>
        <w:tc>
          <w:tcPr>
            <w:tcW w:w="2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9,325,000</w:t>
            </w:r>
          </w:p>
        </w:tc>
        <w:tc>
          <w:tcPr>
            <w:tcW w:w="0" w:type="dxa"/>
            <w:vAlign w:val="bottom"/>
          </w:tcPr>
          <w:p>
            <w:pPr>
              <w:spacing w:after="0"/>
              <w:rPr>
                <w:sz w:val="1"/>
                <w:szCs w:val="1"/>
                <w:color w:val="auto"/>
              </w:rPr>
            </w:pPr>
          </w:p>
        </w:tc>
      </w:tr>
      <w:tr>
        <w:trPr>
          <w:trHeight w:val="473"/>
        </w:trPr>
        <w:tc>
          <w:tcPr>
            <w:tcW w:w="700" w:type="dxa"/>
            <w:vAlign w:val="bottom"/>
          </w:tcPr>
          <w:p>
            <w:pPr>
              <w:jc w:val="right"/>
              <w:spacing w:after="0"/>
              <w:rPr>
                <w:sz w:val="20"/>
                <w:szCs w:val="20"/>
                <w:color w:val="auto"/>
              </w:rPr>
            </w:pPr>
            <w:r>
              <w:rPr>
                <w:rFonts w:ascii="Arial" w:cs="Arial" w:eastAsia="Arial" w:hAnsi="Arial"/>
                <w:sz w:val="14"/>
                <w:szCs w:val="14"/>
                <w:color w:val="auto"/>
              </w:rPr>
              <w:t>12.50%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19,000,000</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17,039,991</w:t>
            </w:r>
          </w:p>
        </w:tc>
        <w:tc>
          <w:tcPr>
            <w:tcW w:w="2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19,118,750</w:t>
            </w:r>
          </w:p>
        </w:tc>
        <w:tc>
          <w:tcPr>
            <w:tcW w:w="0" w:type="dxa"/>
            <w:vAlign w:val="bottom"/>
          </w:tcPr>
          <w:p>
            <w:pPr>
              <w:spacing w:after="0"/>
              <w:rPr>
                <w:sz w:val="1"/>
                <w:szCs w:val="1"/>
                <w:color w:val="auto"/>
              </w:rPr>
            </w:pPr>
          </w:p>
        </w:tc>
      </w:tr>
      <w:tr>
        <w:trPr>
          <w:trHeight w:val="540"/>
        </w:trPr>
        <w:tc>
          <w:tcPr>
            <w:tcW w:w="700" w:type="dxa"/>
            <w:vAlign w:val="bottom"/>
          </w:tcPr>
          <w:p>
            <w:pPr>
              <w:jc w:val="right"/>
              <w:spacing w:after="0"/>
              <w:rPr>
                <w:sz w:val="20"/>
                <w:szCs w:val="20"/>
                <w:color w:val="auto"/>
              </w:rPr>
            </w:pPr>
            <w:r>
              <w:rPr>
                <w:rFonts w:ascii="Arial" w:cs="Arial" w:eastAsia="Arial" w:hAnsi="Arial"/>
                <w:sz w:val="14"/>
                <w:szCs w:val="14"/>
                <w:color w:val="auto"/>
              </w:rPr>
              <w:t>6.05%</w:t>
            </w:r>
          </w:p>
        </w:tc>
        <w:tc>
          <w:tcPr>
            <w:tcW w:w="180" w:type="dxa"/>
            <w:vAlign w:val="bottom"/>
          </w:tcPr>
          <w:p>
            <w:pPr>
              <w:jc w:val="right"/>
              <w:ind w:right="35"/>
              <w:spacing w:after="0"/>
              <w:rPr>
                <w:sz w:val="20"/>
                <w:szCs w:val="20"/>
                <w:color w:val="auto"/>
              </w:rPr>
            </w:pPr>
            <w:r>
              <w:rPr>
                <w:rFonts w:ascii="Arial" w:cs="Arial" w:eastAsia="Arial" w:hAnsi="Arial"/>
                <w:sz w:val="9"/>
                <w:szCs w:val="9"/>
                <w:color w:val="auto"/>
                <w:w w:val="72"/>
              </w:rPr>
              <w:t>(6)</w:t>
            </w: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L+575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21,500,000</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19,211,412</w:t>
            </w:r>
          </w:p>
        </w:tc>
        <w:tc>
          <w:tcPr>
            <w:tcW w:w="2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19,887,500</w:t>
            </w:r>
          </w:p>
        </w:tc>
        <w:tc>
          <w:tcPr>
            <w:tcW w:w="0" w:type="dxa"/>
            <w:vAlign w:val="bottom"/>
          </w:tcPr>
          <w:p>
            <w:pPr>
              <w:spacing w:after="0"/>
              <w:rPr>
                <w:sz w:val="1"/>
                <w:szCs w:val="1"/>
                <w:color w:val="auto"/>
              </w:rPr>
            </w:pPr>
          </w:p>
        </w:tc>
      </w:tr>
      <w:tr>
        <w:trPr>
          <w:trHeight w:val="351"/>
        </w:trPr>
        <w:tc>
          <w:tcPr>
            <w:tcW w:w="700" w:type="dxa"/>
            <w:vAlign w:val="bottom"/>
          </w:tcPr>
          <w:p>
            <w:pPr>
              <w:jc w:val="right"/>
              <w:spacing w:after="0"/>
              <w:rPr>
                <w:sz w:val="20"/>
                <w:szCs w:val="20"/>
                <w:color w:val="auto"/>
              </w:rPr>
            </w:pPr>
            <w:r>
              <w:rPr>
                <w:rFonts w:ascii="Arial" w:cs="Arial" w:eastAsia="Arial" w:hAnsi="Arial"/>
                <w:sz w:val="14"/>
                <w:szCs w:val="14"/>
                <w:color w:val="auto"/>
              </w:rPr>
              <w:t>7.26%</w:t>
            </w:r>
          </w:p>
        </w:tc>
        <w:tc>
          <w:tcPr>
            <w:tcW w:w="180" w:type="dxa"/>
            <w:vAlign w:val="bottom"/>
          </w:tcPr>
          <w:p>
            <w:pPr>
              <w:jc w:val="right"/>
              <w:ind w:right="35"/>
              <w:spacing w:after="0"/>
              <w:rPr>
                <w:sz w:val="20"/>
                <w:szCs w:val="20"/>
                <w:color w:val="auto"/>
              </w:rPr>
            </w:pPr>
            <w:r>
              <w:rPr>
                <w:rFonts w:ascii="Arial" w:cs="Arial" w:eastAsia="Arial" w:hAnsi="Arial"/>
                <w:sz w:val="9"/>
                <w:szCs w:val="9"/>
                <w:color w:val="auto"/>
                <w:w w:val="72"/>
              </w:rPr>
              <w:t>(6)</w:t>
            </w: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L+700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22,500,000</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22,490,129</w:t>
            </w:r>
          </w:p>
        </w:tc>
        <w:tc>
          <w:tcPr>
            <w:tcW w:w="2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22,500,000</w:t>
            </w:r>
          </w:p>
        </w:tc>
        <w:tc>
          <w:tcPr>
            <w:tcW w:w="0" w:type="dxa"/>
            <w:vAlign w:val="bottom"/>
          </w:tcPr>
          <w:p>
            <w:pPr>
              <w:spacing w:after="0"/>
              <w:rPr>
                <w:sz w:val="1"/>
                <w:szCs w:val="1"/>
                <w:color w:val="auto"/>
              </w:rPr>
            </w:pPr>
          </w:p>
        </w:tc>
      </w:tr>
      <w:tr>
        <w:trPr>
          <w:trHeight w:val="311"/>
        </w:trPr>
        <w:tc>
          <w:tcPr>
            <w:tcW w:w="700" w:type="dxa"/>
            <w:vAlign w:val="bottom"/>
          </w:tcPr>
          <w:p>
            <w:pPr>
              <w:jc w:val="right"/>
              <w:spacing w:after="0"/>
              <w:rPr>
                <w:sz w:val="20"/>
                <w:szCs w:val="20"/>
                <w:color w:val="auto"/>
              </w:rPr>
            </w:pPr>
            <w:r>
              <w:rPr>
                <w:rFonts w:ascii="Arial" w:cs="Arial" w:eastAsia="Arial" w:hAnsi="Arial"/>
                <w:sz w:val="14"/>
                <w:szCs w:val="14"/>
                <w:color w:val="auto"/>
              </w:rPr>
              <w:t>6.29%</w:t>
            </w:r>
          </w:p>
        </w:tc>
        <w:tc>
          <w:tcPr>
            <w:tcW w:w="180" w:type="dxa"/>
            <w:vAlign w:val="bottom"/>
          </w:tcPr>
          <w:p>
            <w:pPr>
              <w:jc w:val="right"/>
              <w:ind w:right="35"/>
              <w:spacing w:after="0"/>
              <w:rPr>
                <w:sz w:val="20"/>
                <w:szCs w:val="20"/>
                <w:color w:val="auto"/>
              </w:rPr>
            </w:pPr>
            <w:r>
              <w:rPr>
                <w:rFonts w:ascii="Arial" w:cs="Arial" w:eastAsia="Arial" w:hAnsi="Arial"/>
                <w:sz w:val="9"/>
                <w:szCs w:val="9"/>
                <w:color w:val="auto"/>
                <w:w w:val="72"/>
              </w:rPr>
              <w:t>(6)</w:t>
            </w: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L+600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17,811,488</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17,341,134</w:t>
            </w:r>
          </w:p>
        </w:tc>
        <w:tc>
          <w:tcPr>
            <w:tcW w:w="2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16,564,684</w:t>
            </w:r>
          </w:p>
        </w:tc>
        <w:tc>
          <w:tcPr>
            <w:tcW w:w="0" w:type="dxa"/>
            <w:vAlign w:val="bottom"/>
          </w:tcPr>
          <w:p>
            <w:pPr>
              <w:spacing w:after="0"/>
              <w:rPr>
                <w:sz w:val="1"/>
                <w:szCs w:val="1"/>
                <w:color w:val="auto"/>
              </w:rPr>
            </w:pPr>
          </w:p>
        </w:tc>
      </w:tr>
      <w:tr>
        <w:trPr>
          <w:trHeight w:val="53"/>
        </w:trPr>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151,611,934</w:t>
            </w:r>
          </w:p>
        </w:tc>
        <w:tc>
          <w:tcPr>
            <w:tcW w:w="24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149,087,151</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4"/>
        </w:trPr>
        <w:tc>
          <w:tcPr>
            <w:tcW w:w="700" w:type="dxa"/>
            <w:vAlign w:val="bottom"/>
          </w:tcPr>
          <w:p>
            <w:pPr>
              <w:jc w:val="right"/>
              <w:spacing w:after="0"/>
              <w:rPr>
                <w:sz w:val="20"/>
                <w:szCs w:val="20"/>
                <w:color w:val="auto"/>
              </w:rPr>
            </w:pPr>
            <w:r>
              <w:rPr>
                <w:rFonts w:ascii="Arial" w:cs="Arial" w:eastAsia="Arial" w:hAnsi="Arial"/>
                <w:sz w:val="14"/>
                <w:szCs w:val="14"/>
                <w:color w:val="auto"/>
              </w:rPr>
              <w:t>11.63%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10,000,000</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9,855,000</w:t>
            </w:r>
          </w:p>
        </w:tc>
        <w:tc>
          <w:tcPr>
            <w:tcW w:w="2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9,855,000</w:t>
            </w:r>
          </w:p>
        </w:tc>
        <w:tc>
          <w:tcPr>
            <w:tcW w:w="0" w:type="dxa"/>
            <w:vAlign w:val="bottom"/>
          </w:tcPr>
          <w:p>
            <w:pPr>
              <w:spacing w:after="0"/>
              <w:rPr>
                <w:sz w:val="1"/>
                <w:szCs w:val="1"/>
                <w:color w:val="auto"/>
              </w:rPr>
            </w:pPr>
          </w:p>
        </w:tc>
      </w:tr>
      <w:tr>
        <w:trPr>
          <w:trHeight w:val="473"/>
        </w:trPr>
        <w:tc>
          <w:tcPr>
            <w:tcW w:w="700" w:type="dxa"/>
            <w:vAlign w:val="bottom"/>
          </w:tcPr>
          <w:p>
            <w:pPr>
              <w:jc w:val="right"/>
              <w:spacing w:after="0"/>
              <w:rPr>
                <w:sz w:val="20"/>
                <w:szCs w:val="20"/>
                <w:color w:val="auto"/>
              </w:rPr>
            </w:pPr>
            <w:r>
              <w:rPr>
                <w:rFonts w:ascii="Arial" w:cs="Arial" w:eastAsia="Arial" w:hAnsi="Arial"/>
                <w:sz w:val="14"/>
                <w:szCs w:val="14"/>
                <w:color w:val="auto"/>
              </w:rPr>
              <w:t>11.13%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18,885,000</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18,380,337</w:t>
            </w:r>
          </w:p>
        </w:tc>
        <w:tc>
          <w:tcPr>
            <w:tcW w:w="2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18,696,150</w:t>
            </w:r>
          </w:p>
        </w:tc>
        <w:tc>
          <w:tcPr>
            <w:tcW w:w="0" w:type="dxa"/>
            <w:vAlign w:val="bottom"/>
          </w:tcPr>
          <w:p>
            <w:pPr>
              <w:spacing w:after="0"/>
              <w:rPr>
                <w:sz w:val="1"/>
                <w:szCs w:val="1"/>
                <w:color w:val="auto"/>
              </w:rPr>
            </w:pPr>
          </w:p>
        </w:tc>
      </w:tr>
      <w:tr>
        <w:trPr>
          <w:trHeight w:val="499"/>
        </w:trPr>
        <w:tc>
          <w:tcPr>
            <w:tcW w:w="700" w:type="dxa"/>
            <w:vAlign w:val="bottom"/>
          </w:tcPr>
          <w:p>
            <w:pPr>
              <w:jc w:val="right"/>
              <w:spacing w:after="0"/>
              <w:rPr>
                <w:sz w:val="20"/>
                <w:szCs w:val="20"/>
                <w:color w:val="auto"/>
              </w:rPr>
            </w:pPr>
            <w:r>
              <w:rPr>
                <w:rFonts w:ascii="Arial" w:cs="Arial" w:eastAsia="Arial" w:hAnsi="Arial"/>
                <w:sz w:val="14"/>
                <w:szCs w:val="14"/>
                <w:color w:val="auto"/>
              </w:rPr>
              <w:t>14.25%</w:t>
            </w:r>
          </w:p>
        </w:tc>
        <w:tc>
          <w:tcPr>
            <w:tcW w:w="180" w:type="dxa"/>
            <w:vAlign w:val="bottom"/>
          </w:tcPr>
          <w:p>
            <w:pPr>
              <w:jc w:val="right"/>
              <w:ind w:right="35"/>
              <w:spacing w:after="0"/>
              <w:rPr>
                <w:sz w:val="20"/>
                <w:szCs w:val="20"/>
                <w:color w:val="auto"/>
              </w:rPr>
            </w:pPr>
            <w:r>
              <w:rPr>
                <w:rFonts w:ascii="Arial" w:cs="Arial" w:eastAsia="Arial" w:hAnsi="Arial"/>
                <w:sz w:val="9"/>
                <w:szCs w:val="9"/>
                <w:color w:val="auto"/>
                <w:w w:val="72"/>
              </w:rPr>
              <w:t>(6)</w:t>
            </w: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8,109,468</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7,973,429</w:t>
            </w:r>
          </w:p>
        </w:tc>
        <w:tc>
          <w:tcPr>
            <w:tcW w:w="2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8,170,289</w:t>
            </w:r>
          </w:p>
        </w:tc>
        <w:tc>
          <w:tcPr>
            <w:tcW w:w="0" w:type="dxa"/>
            <w:vAlign w:val="bottom"/>
          </w:tcPr>
          <w:p>
            <w:pPr>
              <w:spacing w:after="0"/>
              <w:rPr>
                <w:sz w:val="1"/>
                <w:szCs w:val="1"/>
                <w:color w:val="auto"/>
              </w:rPr>
            </w:pPr>
          </w:p>
        </w:tc>
      </w:tr>
      <w:tr>
        <w:trPr>
          <w:trHeight w:val="310"/>
        </w:trPr>
        <w:tc>
          <w:tcPr>
            <w:tcW w:w="700" w:type="dxa"/>
            <w:vAlign w:val="bottom"/>
          </w:tcPr>
          <w:p>
            <w:pPr>
              <w:jc w:val="right"/>
              <w:spacing w:after="0"/>
              <w:rPr>
                <w:sz w:val="20"/>
                <w:szCs w:val="20"/>
                <w:color w:val="auto"/>
              </w:rPr>
            </w:pPr>
            <w:r>
              <w:rPr>
                <w:rFonts w:ascii="Arial" w:cs="Arial" w:eastAsia="Arial" w:hAnsi="Arial"/>
                <w:sz w:val="14"/>
                <w:szCs w:val="14"/>
                <w:color w:val="auto"/>
              </w:rPr>
              <w:t>14.00%</w:t>
            </w:r>
          </w:p>
        </w:tc>
        <w:tc>
          <w:tcPr>
            <w:tcW w:w="180" w:type="dxa"/>
            <w:vAlign w:val="bottom"/>
          </w:tcPr>
          <w:p>
            <w:pPr>
              <w:jc w:val="right"/>
              <w:ind w:right="35"/>
              <w:spacing w:after="0"/>
              <w:rPr>
                <w:sz w:val="20"/>
                <w:szCs w:val="20"/>
                <w:color w:val="auto"/>
              </w:rPr>
            </w:pPr>
            <w:r>
              <w:rPr>
                <w:rFonts w:ascii="Arial" w:cs="Arial" w:eastAsia="Arial" w:hAnsi="Arial"/>
                <w:sz w:val="9"/>
                <w:szCs w:val="9"/>
                <w:color w:val="auto"/>
                <w:w w:val="72"/>
              </w:rPr>
              <w:t>(6)</w:t>
            </w: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20,720,892</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20,359,932</w:t>
            </w:r>
          </w:p>
        </w:tc>
        <w:tc>
          <w:tcPr>
            <w:tcW w:w="2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21,425,401</w:t>
            </w:r>
          </w:p>
        </w:tc>
        <w:tc>
          <w:tcPr>
            <w:tcW w:w="0" w:type="dxa"/>
            <w:vAlign w:val="bottom"/>
          </w:tcPr>
          <w:p>
            <w:pPr>
              <w:spacing w:after="0"/>
              <w:rPr>
                <w:sz w:val="1"/>
                <w:szCs w:val="1"/>
                <w:color w:val="auto"/>
              </w:rPr>
            </w:pPr>
          </w:p>
        </w:tc>
      </w:tr>
      <w:tr>
        <w:trPr>
          <w:trHeight w:val="284"/>
        </w:trPr>
        <w:tc>
          <w:tcPr>
            <w:tcW w:w="700" w:type="dxa"/>
            <w:vAlign w:val="bottom"/>
          </w:tcPr>
          <w:p>
            <w:pPr>
              <w:jc w:val="right"/>
              <w:spacing w:after="0"/>
              <w:rPr>
                <w:sz w:val="20"/>
                <w:szCs w:val="20"/>
                <w:color w:val="auto"/>
              </w:rPr>
            </w:pPr>
            <w:r>
              <w:rPr>
                <w:rFonts w:ascii="Arial" w:cs="Arial" w:eastAsia="Arial" w:hAnsi="Arial"/>
                <w:sz w:val="14"/>
                <w:szCs w:val="14"/>
                <w:color w:val="auto"/>
              </w:rPr>
              <w:t>12.50%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25,000,000</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24,379,843</w:t>
            </w:r>
          </w:p>
        </w:tc>
        <w:tc>
          <w:tcPr>
            <w:tcW w:w="2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25,625,000</w:t>
            </w:r>
          </w:p>
        </w:tc>
        <w:tc>
          <w:tcPr>
            <w:tcW w:w="0" w:type="dxa"/>
            <w:vAlign w:val="bottom"/>
          </w:tcPr>
          <w:p>
            <w:pPr>
              <w:spacing w:after="0"/>
              <w:rPr>
                <w:sz w:val="1"/>
                <w:szCs w:val="1"/>
                <w:color w:val="auto"/>
              </w:rPr>
            </w:pPr>
          </w:p>
        </w:tc>
      </w:tr>
      <w:tr>
        <w:trPr>
          <w:trHeight w:val="783"/>
        </w:trPr>
        <w:tc>
          <w:tcPr>
            <w:tcW w:w="700" w:type="dxa"/>
            <w:vAlign w:val="bottom"/>
          </w:tcPr>
          <w:p>
            <w:pPr>
              <w:jc w:val="right"/>
              <w:spacing w:after="0"/>
              <w:rPr>
                <w:sz w:val="20"/>
                <w:szCs w:val="20"/>
                <w:color w:val="auto"/>
              </w:rPr>
            </w:pPr>
            <w:r>
              <w:rPr>
                <w:rFonts w:ascii="Arial" w:cs="Arial" w:eastAsia="Arial" w:hAnsi="Arial"/>
                <w:sz w:val="14"/>
                <w:szCs w:val="14"/>
                <w:color w:val="auto"/>
              </w:rPr>
              <w:t>14.75%</w:t>
            </w:r>
          </w:p>
        </w:tc>
        <w:tc>
          <w:tcPr>
            <w:tcW w:w="180" w:type="dxa"/>
            <w:vAlign w:val="bottom"/>
          </w:tcPr>
          <w:p>
            <w:pPr>
              <w:jc w:val="right"/>
              <w:ind w:right="35"/>
              <w:spacing w:after="0"/>
              <w:rPr>
                <w:sz w:val="20"/>
                <w:szCs w:val="20"/>
                <w:color w:val="auto"/>
              </w:rPr>
            </w:pPr>
            <w:r>
              <w:rPr>
                <w:rFonts w:ascii="Arial" w:cs="Arial" w:eastAsia="Arial" w:hAnsi="Arial"/>
                <w:sz w:val="9"/>
                <w:szCs w:val="9"/>
                <w:color w:val="auto"/>
                <w:w w:val="72"/>
              </w:rPr>
              <w:t>(6)</w:t>
            </w: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23,283,292</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22,970,124</w:t>
            </w:r>
          </w:p>
        </w:tc>
        <w:tc>
          <w:tcPr>
            <w:tcW w:w="2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23,283,292</w:t>
            </w:r>
          </w:p>
        </w:tc>
        <w:tc>
          <w:tcPr>
            <w:tcW w:w="0" w:type="dxa"/>
            <w:vAlign w:val="bottom"/>
          </w:tcPr>
          <w:p>
            <w:pPr>
              <w:spacing w:after="0"/>
              <w:rPr>
                <w:sz w:val="1"/>
                <w:szCs w:val="1"/>
                <w:color w:val="auto"/>
              </w:rPr>
            </w:pPr>
          </w:p>
        </w:tc>
      </w:tr>
      <w:tr>
        <w:trPr>
          <w:trHeight w:val="365"/>
        </w:trPr>
        <w:tc>
          <w:tcPr>
            <w:tcW w:w="700" w:type="dxa"/>
            <w:vAlign w:val="bottom"/>
          </w:tcPr>
          <w:p>
            <w:pPr>
              <w:jc w:val="right"/>
              <w:spacing w:after="0"/>
              <w:rPr>
                <w:sz w:val="20"/>
                <w:szCs w:val="20"/>
                <w:color w:val="auto"/>
              </w:rPr>
            </w:pPr>
            <w:r>
              <w:rPr>
                <w:rFonts w:ascii="Arial" w:cs="Arial" w:eastAsia="Arial" w:hAnsi="Arial"/>
                <w:sz w:val="14"/>
                <w:szCs w:val="14"/>
                <w:color w:val="auto"/>
              </w:rPr>
              <w:t>15.00%</w:t>
            </w:r>
          </w:p>
        </w:tc>
        <w:tc>
          <w:tcPr>
            <w:tcW w:w="180" w:type="dxa"/>
            <w:vAlign w:val="bottom"/>
          </w:tcPr>
          <w:p>
            <w:pPr>
              <w:jc w:val="right"/>
              <w:ind w:right="35"/>
              <w:spacing w:after="0"/>
              <w:rPr>
                <w:sz w:val="20"/>
                <w:szCs w:val="20"/>
                <w:color w:val="auto"/>
              </w:rPr>
            </w:pPr>
            <w:r>
              <w:rPr>
                <w:rFonts w:ascii="Arial" w:cs="Arial" w:eastAsia="Arial" w:hAnsi="Arial"/>
                <w:sz w:val="9"/>
                <w:szCs w:val="9"/>
                <w:color w:val="auto"/>
                <w:w w:val="72"/>
              </w:rPr>
              <w:t>(6)</w:t>
            </w: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3,947,368</w:t>
            </w: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3,194,611</w:t>
            </w:r>
          </w:p>
        </w:tc>
        <w:tc>
          <w:tcPr>
            <w:tcW w:w="2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3,592,105</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13.00%</w:t>
            </w:r>
          </w:p>
        </w:tc>
        <w:tc>
          <w:tcPr>
            <w:tcW w:w="180" w:type="dxa"/>
            <w:vAlign w:val="bottom"/>
          </w:tcPr>
          <w:p>
            <w:pPr>
              <w:jc w:val="right"/>
              <w:ind w:right="35"/>
              <w:spacing w:after="0"/>
              <w:rPr>
                <w:sz w:val="20"/>
                <w:szCs w:val="20"/>
                <w:color w:val="auto"/>
              </w:rPr>
            </w:pPr>
            <w:r>
              <w:rPr>
                <w:rFonts w:ascii="Arial" w:cs="Arial" w:eastAsia="Arial" w:hAnsi="Arial"/>
                <w:sz w:val="9"/>
                <w:szCs w:val="9"/>
                <w:color w:val="auto"/>
                <w:w w:val="72"/>
              </w:rPr>
              <w:t>(6)</w:t>
            </w:r>
          </w:p>
        </w:tc>
        <w:tc>
          <w:tcPr>
            <w:tcW w:w="1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19,000,000</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18,430,000</w:t>
            </w:r>
          </w:p>
        </w:tc>
        <w:tc>
          <w:tcPr>
            <w:tcW w:w="2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18,430,000</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12.38%</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10,000,000</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9,055,731</w:t>
            </w:r>
          </w:p>
        </w:tc>
        <w:tc>
          <w:tcPr>
            <w:tcW w:w="2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7,900,000</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15.00%</w:t>
            </w:r>
          </w:p>
        </w:tc>
        <w:tc>
          <w:tcPr>
            <w:tcW w:w="180" w:type="dxa"/>
            <w:vAlign w:val="bottom"/>
          </w:tcPr>
          <w:p>
            <w:pPr>
              <w:jc w:val="right"/>
              <w:ind w:right="35"/>
              <w:spacing w:after="0"/>
              <w:rPr>
                <w:sz w:val="20"/>
                <w:szCs w:val="20"/>
                <w:color w:val="auto"/>
              </w:rPr>
            </w:pPr>
            <w:r>
              <w:rPr>
                <w:rFonts w:ascii="Arial" w:cs="Arial" w:eastAsia="Arial" w:hAnsi="Arial"/>
                <w:sz w:val="9"/>
                <w:szCs w:val="9"/>
                <w:color w:val="auto"/>
                <w:w w:val="72"/>
              </w:rPr>
              <w:t>(6)</w:t>
            </w:r>
          </w:p>
        </w:tc>
        <w:tc>
          <w:tcPr>
            <w:tcW w:w="1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11,721,019</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11,361,858</w:t>
            </w:r>
          </w:p>
        </w:tc>
        <w:tc>
          <w:tcPr>
            <w:tcW w:w="2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11,838,229</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13.50%</w:t>
            </w:r>
          </w:p>
        </w:tc>
        <w:tc>
          <w:tcPr>
            <w:tcW w:w="180" w:type="dxa"/>
            <w:vAlign w:val="bottom"/>
          </w:tcPr>
          <w:p>
            <w:pPr>
              <w:jc w:val="right"/>
              <w:ind w:right="35"/>
              <w:spacing w:after="0"/>
              <w:rPr>
                <w:sz w:val="20"/>
                <w:szCs w:val="20"/>
                <w:color w:val="auto"/>
              </w:rPr>
            </w:pPr>
            <w:r>
              <w:rPr>
                <w:rFonts w:ascii="Arial" w:cs="Arial" w:eastAsia="Arial" w:hAnsi="Arial"/>
                <w:sz w:val="9"/>
                <w:szCs w:val="9"/>
                <w:color w:val="auto"/>
                <w:w w:val="72"/>
              </w:rPr>
              <w:t>(6)</w:t>
            </w:r>
          </w:p>
        </w:tc>
        <w:tc>
          <w:tcPr>
            <w:tcW w:w="1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20,501,960</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20,331,704</w:t>
            </w:r>
          </w:p>
        </w:tc>
        <w:tc>
          <w:tcPr>
            <w:tcW w:w="2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21,117,018</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15.50%</w:t>
            </w:r>
          </w:p>
        </w:tc>
        <w:tc>
          <w:tcPr>
            <w:tcW w:w="180" w:type="dxa"/>
            <w:vAlign w:val="bottom"/>
          </w:tcPr>
          <w:p>
            <w:pPr>
              <w:jc w:val="right"/>
              <w:ind w:right="35"/>
              <w:spacing w:after="0"/>
              <w:rPr>
                <w:sz w:val="20"/>
                <w:szCs w:val="20"/>
                <w:color w:val="auto"/>
              </w:rPr>
            </w:pPr>
            <w:r>
              <w:rPr>
                <w:rFonts w:ascii="Arial" w:cs="Arial" w:eastAsia="Arial" w:hAnsi="Arial"/>
                <w:sz w:val="9"/>
                <w:szCs w:val="9"/>
                <w:color w:val="auto"/>
                <w:w w:val="72"/>
              </w:rPr>
              <w:t>(6)</w:t>
            </w:r>
          </w:p>
        </w:tc>
        <w:tc>
          <w:tcPr>
            <w:tcW w:w="1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21,098,000</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20,642,507</w:t>
            </w:r>
          </w:p>
        </w:tc>
        <w:tc>
          <w:tcPr>
            <w:tcW w:w="2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20,148,590</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14.00%</w:t>
            </w:r>
          </w:p>
        </w:tc>
        <w:tc>
          <w:tcPr>
            <w:tcW w:w="180" w:type="dxa"/>
            <w:vAlign w:val="bottom"/>
          </w:tcPr>
          <w:p>
            <w:pPr>
              <w:jc w:val="right"/>
              <w:ind w:right="35"/>
              <w:spacing w:after="0"/>
              <w:rPr>
                <w:sz w:val="20"/>
                <w:szCs w:val="20"/>
                <w:color w:val="auto"/>
              </w:rPr>
            </w:pPr>
            <w:r>
              <w:rPr>
                <w:rFonts w:ascii="Arial" w:cs="Arial" w:eastAsia="Arial" w:hAnsi="Arial"/>
                <w:sz w:val="9"/>
                <w:szCs w:val="9"/>
                <w:color w:val="auto"/>
                <w:w w:val="72"/>
              </w:rPr>
              <w:t>(6)</w:t>
            </w:r>
          </w:p>
        </w:tc>
        <w:tc>
          <w:tcPr>
            <w:tcW w:w="1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15,000,000</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14,636,487</w:t>
            </w:r>
          </w:p>
        </w:tc>
        <w:tc>
          <w:tcPr>
            <w:tcW w:w="2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243"/>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12,000,000</w:t>
            </w:r>
          </w:p>
        </w:tc>
        <w:tc>
          <w:tcPr>
            <w:tcW w:w="2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11,700,000</w:t>
            </w:r>
          </w:p>
        </w:tc>
        <w:tc>
          <w:tcPr>
            <w:tcW w:w="2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12,000,000</w:t>
            </w:r>
          </w:p>
        </w:tc>
        <w:tc>
          <w:tcPr>
            <w:tcW w:w="0" w:type="dxa"/>
            <w:vAlign w:val="bottom"/>
          </w:tcPr>
          <w:p>
            <w:pPr>
              <w:spacing w:after="0"/>
              <w:rPr>
                <w:sz w:val="1"/>
                <w:szCs w:val="1"/>
                <w:color w:val="auto"/>
              </w:rPr>
            </w:pPr>
          </w:p>
        </w:tc>
      </w:tr>
      <w:tr>
        <w:trPr>
          <w:trHeight w:val="282"/>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213,271,563</w:t>
            </w:r>
          </w:p>
        </w:tc>
        <w:tc>
          <w:tcPr>
            <w:tcW w:w="24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217,081,074</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-6480175</wp:posOffset>
            </wp:positionV>
            <wp:extent cx="689229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92290" cy="22288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-6085840</wp:posOffset>
            </wp:positionV>
            <wp:extent cx="689229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92290" cy="22288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-5691505</wp:posOffset>
            </wp:positionV>
            <wp:extent cx="6892290"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92290" cy="22288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-5297170</wp:posOffset>
            </wp:positionV>
            <wp:extent cx="689229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9229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-4954270</wp:posOffset>
            </wp:positionV>
            <wp:extent cx="6892290" cy="300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92290" cy="30035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-4354195</wp:posOffset>
            </wp:positionV>
            <wp:extent cx="6892290"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92290" cy="22288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-3908425</wp:posOffset>
            </wp:positionV>
            <wp:extent cx="689229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9229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-3565525</wp:posOffset>
            </wp:positionV>
            <wp:extent cx="689229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92290" cy="17970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-3085465</wp:posOffset>
            </wp:positionV>
            <wp:extent cx="6892290" cy="30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92290" cy="30035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-2613660</wp:posOffset>
            </wp:positionV>
            <wp:extent cx="6892290" cy="2228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92290" cy="22288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-1979295</wp:posOffset>
            </wp:positionV>
            <wp:extent cx="6892290" cy="299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92290" cy="29972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-1508125</wp:posOffset>
            </wp:positionV>
            <wp:extent cx="689229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9229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-1165225</wp:posOffset>
            </wp:positionV>
            <wp:extent cx="689229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9229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-822325</wp:posOffset>
            </wp:positionV>
            <wp:extent cx="689229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9229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-479425</wp:posOffset>
            </wp:positionV>
            <wp:extent cx="6892290" cy="300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92290" cy="30035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-6882765</wp:posOffset>
            </wp:positionV>
            <wp:extent cx="689229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9229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560" w:space="140"/>
            <w:col w:w="1520" w:space="140"/>
            <w:col w:w="5500"/>
          </w:cols>
          <w:pgMar w:left="320" w:top="125"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SEE NOTES TO CONSOLIDATED FINANCIAL STATEMENTS</w:t>
      </w:r>
    </w:p>
    <w:p>
      <w:pPr>
        <w:sectPr>
          <w:pgSz w:w="11900" w:h="16838" w:orient="portrait"/>
          <w:cols w:equalWidth="0" w:num="1">
            <w:col w:w="10860"/>
          </w:cols>
          <w:pgMar w:left="320" w:top="125" w:right="719" w:bottom="1440" w:gutter="0" w:footer="0" w:header="0"/>
          <w:type w:val="continuous"/>
        </w:sectPr>
      </w:pPr>
    </w:p>
    <w:p>
      <w:pPr>
        <w:spacing w:after="0" w:line="264"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860"/>
          </w:cols>
          <w:pgMar w:left="320" w:top="125" w:right="7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540" w:right="2520"/>
        <w:spacing w:after="0" w:line="255"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 (continued) SEPTEMBER 30, 2010</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Basis Points</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Industry</w:t>
            </w:r>
          </w:p>
        </w:tc>
        <w:tc>
          <w:tcPr>
            <w:tcW w:w="980" w:type="dxa"/>
            <w:vAlign w:val="bottom"/>
            <w:gridSpan w:val="2"/>
            <w:vMerge w:val="continue"/>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Above</w:t>
            </w: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Par / Shares</w:t>
            </w:r>
          </w:p>
        </w:tc>
        <w:tc>
          <w:tcPr>
            <w:tcW w:w="140" w:type="dxa"/>
            <w:vAlign w:val="bottom"/>
          </w:tcPr>
          <w:p>
            <w:pPr>
              <w:spacing w:after="0"/>
              <w:rPr>
                <w:sz w:val="12"/>
                <w:szCs w:val="12"/>
                <w:color w:val="auto"/>
              </w:rPr>
            </w:pPr>
          </w:p>
        </w:tc>
        <w:tc>
          <w:tcPr>
            <w:tcW w:w="8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92"/>
        </w:trPr>
        <w:tc>
          <w:tcPr>
            <w:tcW w:w="22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Coupon</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(4)</w:t>
            </w: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31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8"/>
              </w:rPr>
              <w:t>Preferred Equity/Partnership Interests – 2.0%</w:t>
            </w:r>
            <w:r>
              <w:rPr>
                <w:rFonts w:ascii="Arial" w:cs="Arial" w:eastAsia="Arial" w:hAnsi="Arial"/>
                <w:sz w:val="12"/>
                <w:szCs w:val="12"/>
                <w:b w:val="1"/>
                <w:bCs w:val="1"/>
                <w:color w:val="auto"/>
                <w:w w:val="98"/>
              </w:rPr>
              <w:t>(7)</w:t>
            </w:r>
          </w:p>
        </w:tc>
        <w:tc>
          <w:tcPr>
            <w:tcW w:w="16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AHC Mezzanine, LLC (Advanstar</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74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96"/>
              </w:rPr>
              <w:t>Other Media</w:t>
            </w:r>
          </w:p>
        </w:tc>
        <w:tc>
          <w:tcPr>
            <w:tcW w:w="9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319</w:t>
            </w:r>
          </w:p>
        </w:tc>
        <w:tc>
          <w:tcPr>
            <w:tcW w:w="140" w:type="dxa"/>
            <w:vAlign w:val="bottom"/>
          </w:tcPr>
          <w:p>
            <w:pPr>
              <w:spacing w:after="0"/>
              <w:rPr>
                <w:sz w:val="13"/>
                <w:szCs w:val="13"/>
                <w:color w:val="auto"/>
              </w:rPr>
            </w:pP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318,896</w:t>
            </w: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319</w:t>
            </w:r>
          </w:p>
        </w:tc>
        <w:tc>
          <w:tcPr>
            <w:tcW w:w="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260" w:type="dxa"/>
            <w:vAlign w:val="bottom"/>
          </w:tcPr>
          <w:p>
            <w:pPr>
              <w:ind w:left="40"/>
              <w:spacing w:after="0"/>
              <w:rPr>
                <w:sz w:val="20"/>
                <w:szCs w:val="20"/>
                <w:color w:val="auto"/>
              </w:rPr>
            </w:pPr>
            <w:r>
              <w:rPr>
                <w:rFonts w:ascii="Arial" w:cs="Arial" w:eastAsia="Arial" w:hAnsi="Arial"/>
                <w:sz w:val="14"/>
                <w:szCs w:val="14"/>
                <w:color w:val="auto"/>
              </w:rPr>
              <w:t>Inc.)</w:t>
            </w:r>
          </w:p>
        </w:tc>
        <w:tc>
          <w:tcPr>
            <w:tcW w:w="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CFHC Holdings, Inc., Class A</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7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9"/>
              </w:rPr>
              <w:t>Aerospace and Defense</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797,288</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1,070,352</w:t>
            </w: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Foundries, Inc.)</w:t>
            </w:r>
          </w:p>
        </w:tc>
        <w:tc>
          <w:tcPr>
            <w:tcW w:w="9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CT Technologies Holdings, L.L.C.</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74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89"/>
              </w:rPr>
              <w:t>Business Services</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9.00%</w:t>
            </w:r>
          </w:p>
        </w:tc>
        <w:tc>
          <w:tcPr>
            <w:tcW w:w="100" w:type="dxa"/>
            <w:vAlign w:val="bottom"/>
          </w:tcPr>
          <w:p>
            <w:pPr>
              <w:spacing w:after="0"/>
              <w:rPr>
                <w:sz w:val="13"/>
                <w:szCs w:val="13"/>
                <w:color w:val="auto"/>
              </w:rPr>
            </w:pPr>
          </w:p>
        </w:tc>
        <w:tc>
          <w:tcPr>
            <w:tcW w:w="10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144,375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144,376</w:t>
            </w: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144,375</w:t>
            </w:r>
          </w:p>
        </w:tc>
        <w:tc>
          <w:tcPr>
            <w:tcW w:w="180" w:type="dxa"/>
            <w:vAlign w:val="bottom"/>
          </w:tcPr>
          <w:p>
            <w:pPr>
              <w:spacing w:after="0"/>
              <w:rPr>
                <w:sz w:val="13"/>
                <w:szCs w:val="13"/>
                <w:color w:val="auto"/>
              </w:rPr>
            </w:pPr>
          </w:p>
        </w:tc>
        <w:tc>
          <w:tcPr>
            <w:tcW w:w="10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148,909</w:t>
            </w:r>
          </w:p>
        </w:tc>
        <w:tc>
          <w:tcPr>
            <w:tcW w:w="0" w:type="dxa"/>
            <w:vAlign w:val="bottom"/>
          </w:tcPr>
          <w:p>
            <w:pPr>
              <w:spacing w:after="0"/>
              <w:rPr>
                <w:sz w:val="1"/>
                <w:szCs w:val="1"/>
                <w:color w:val="auto"/>
              </w:rPr>
            </w:pPr>
          </w:p>
        </w:tc>
      </w:tr>
      <w:tr>
        <w:trPr>
          <w:trHeight w:val="148"/>
        </w:trPr>
        <w:tc>
          <w:tcPr>
            <w:tcW w:w="2260" w:type="dxa"/>
            <w:vAlign w:val="bottom"/>
          </w:tcPr>
          <w:p>
            <w:pPr>
              <w:ind w:left="40"/>
              <w:spacing w:after="0" w:line="149" w:lineRule="exact"/>
              <w:rPr>
                <w:sz w:val="20"/>
                <w:szCs w:val="20"/>
                <w:color w:val="auto"/>
              </w:rPr>
            </w:pPr>
            <w:r>
              <w:rPr>
                <w:rFonts w:ascii="Arial" w:cs="Arial" w:eastAsia="Arial" w:hAnsi="Arial"/>
                <w:sz w:val="14"/>
                <w:szCs w:val="14"/>
                <w:color w:val="auto"/>
              </w:rPr>
              <w:t>(CT Technologies Intermediate</w:t>
            </w:r>
          </w:p>
        </w:tc>
        <w:tc>
          <w:tcPr>
            <w:tcW w:w="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tcPr>
          <w:p>
            <w:pPr>
              <w:ind w:left="40"/>
              <w:spacing w:after="0"/>
              <w:rPr>
                <w:sz w:val="20"/>
                <w:szCs w:val="20"/>
                <w:color w:val="auto"/>
              </w:rPr>
            </w:pPr>
            <w:r>
              <w:rPr>
                <w:rFonts w:ascii="Arial" w:cs="Arial" w:eastAsia="Arial" w:hAnsi="Arial"/>
                <w:sz w:val="14"/>
                <w:szCs w:val="14"/>
                <w:color w:val="auto"/>
              </w:rPr>
              <w:t>Holdings, Inc.)</w:t>
            </w:r>
          </w:p>
        </w:tc>
        <w:tc>
          <w:tcPr>
            <w:tcW w:w="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i2 Holdings Ltd.</w:t>
            </w:r>
            <w:r>
              <w:rPr>
                <w:rFonts w:ascii="Arial" w:cs="Arial" w:eastAsia="Arial" w:hAnsi="Arial"/>
                <w:sz w:val="12"/>
                <w:szCs w:val="12"/>
                <w:color w:val="auto"/>
              </w:rPr>
              <w:t>(10)</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7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9"/>
              </w:rPr>
              <w:t>Aerospace and Defense</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4,137,240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4,137,240</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3"/>
              </w:rPr>
              <w:t>4,137,240</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3,869,263</w:t>
            </w:r>
          </w:p>
        </w:tc>
        <w:tc>
          <w:tcPr>
            <w:tcW w:w="0" w:type="dxa"/>
            <w:vAlign w:val="bottom"/>
          </w:tcPr>
          <w:p>
            <w:pPr>
              <w:spacing w:after="0"/>
              <w:rPr>
                <w:sz w:val="1"/>
                <w:szCs w:val="1"/>
                <w:color w:val="auto"/>
              </w:rPr>
            </w:pPr>
          </w:p>
        </w:tc>
      </w:tr>
      <w:tr>
        <w:trPr>
          <w:trHeight w:val="135"/>
        </w:trPr>
        <w:tc>
          <w:tcPr>
            <w:tcW w:w="2260" w:type="dxa"/>
            <w:vAlign w:val="bottom"/>
            <w:vMerge w:val="continue"/>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TZ Holdings, L.P., Series A</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74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91"/>
              </w:rPr>
              <w:t>Insurance</w:t>
            </w:r>
          </w:p>
        </w:tc>
        <w:tc>
          <w:tcPr>
            <w:tcW w:w="9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686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685,820</w:t>
            </w: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686</w:t>
            </w:r>
          </w:p>
        </w:tc>
        <w:tc>
          <w:tcPr>
            <w:tcW w:w="180" w:type="dxa"/>
            <w:vAlign w:val="bottom"/>
          </w:tcPr>
          <w:p>
            <w:pPr>
              <w:spacing w:after="0"/>
              <w:rPr>
                <w:sz w:val="13"/>
                <w:szCs w:val="13"/>
                <w:color w:val="auto"/>
              </w:rPr>
            </w:pPr>
          </w:p>
        </w:tc>
        <w:tc>
          <w:tcPr>
            <w:tcW w:w="10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88"/>
        </w:trPr>
        <w:tc>
          <w:tcPr>
            <w:tcW w:w="2260" w:type="dxa"/>
            <w:vAlign w:val="bottom"/>
          </w:tcPr>
          <w:p>
            <w:pPr>
              <w:ind w:left="40"/>
              <w:spacing w:after="0"/>
              <w:rPr>
                <w:sz w:val="20"/>
                <w:szCs w:val="20"/>
                <w:color w:val="auto"/>
              </w:rPr>
            </w:pPr>
            <w:r>
              <w:rPr>
                <w:rFonts w:ascii="Arial" w:cs="Arial" w:eastAsia="Arial" w:hAnsi="Arial"/>
                <w:sz w:val="14"/>
                <w:szCs w:val="14"/>
                <w:color w:val="auto"/>
              </w:rPr>
              <w:t>(Trizetto Group, Inc.)</w:t>
            </w:r>
          </w:p>
        </w:tc>
        <w:tc>
          <w:tcPr>
            <w:tcW w:w="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TZ Holdings, L.P., Series B</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74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1"/>
              </w:rPr>
              <w:t>Insurance</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1,312,006</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1,312</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1,495,885</w:t>
            </w: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(Trizetto Group, Inc.)</w:t>
            </w:r>
          </w:p>
        </w:tc>
        <w:tc>
          <w:tcPr>
            <w:tcW w:w="9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UP Holdings, Inc., Class A-1 (UP</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74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94"/>
              </w:rPr>
              <w:t>Oil and Gas</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8.00%</w:t>
            </w:r>
          </w:p>
        </w:tc>
        <w:tc>
          <w:tcPr>
            <w:tcW w:w="100" w:type="dxa"/>
            <w:vAlign w:val="bottom"/>
          </w:tcPr>
          <w:p>
            <w:pPr>
              <w:spacing w:after="0"/>
              <w:rPr>
                <w:sz w:val="13"/>
                <w:szCs w:val="13"/>
                <w:color w:val="auto"/>
              </w:rPr>
            </w:pPr>
          </w:p>
        </w:tc>
        <w:tc>
          <w:tcPr>
            <w:tcW w:w="10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91,608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2,499,066</w:t>
            </w: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91,608</w:t>
            </w:r>
          </w:p>
        </w:tc>
        <w:tc>
          <w:tcPr>
            <w:tcW w:w="180" w:type="dxa"/>
            <w:vAlign w:val="bottom"/>
          </w:tcPr>
          <w:p>
            <w:pPr>
              <w:spacing w:after="0"/>
              <w:rPr>
                <w:sz w:val="13"/>
                <w:szCs w:val="13"/>
                <w:color w:val="auto"/>
              </w:rPr>
            </w:pPr>
          </w:p>
        </w:tc>
        <w:tc>
          <w:tcPr>
            <w:tcW w:w="10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495,851</w:t>
            </w:r>
          </w:p>
        </w:tc>
        <w:tc>
          <w:tcPr>
            <w:tcW w:w="0" w:type="dxa"/>
            <w:vAlign w:val="bottom"/>
          </w:tcPr>
          <w:p>
            <w:pPr>
              <w:spacing w:after="0"/>
              <w:rPr>
                <w:sz w:val="1"/>
                <w:szCs w:val="1"/>
                <w:color w:val="auto"/>
              </w:rPr>
            </w:pPr>
          </w:p>
        </w:tc>
      </w:tr>
      <w:tr>
        <w:trPr>
          <w:trHeight w:val="188"/>
        </w:trPr>
        <w:tc>
          <w:tcPr>
            <w:tcW w:w="2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Acquisitions Sub, Inc.)</w:t>
            </w:r>
          </w:p>
        </w:tc>
        <w:tc>
          <w:tcPr>
            <w:tcW w:w="9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Preferred Equity/Partnership Interests</w:t>
            </w:r>
          </w:p>
        </w:tc>
        <w:tc>
          <w:tcPr>
            <w:tcW w:w="1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9,894,692</w:t>
            </w:r>
          </w:p>
        </w:tc>
        <w:tc>
          <w:tcPr>
            <w:tcW w:w="7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7,766,080</w:t>
            </w:r>
          </w:p>
        </w:tc>
        <w:tc>
          <w:tcPr>
            <w:tcW w:w="0" w:type="dxa"/>
            <w:vAlign w:val="bottom"/>
          </w:tcPr>
          <w:p>
            <w:pPr>
              <w:spacing w:after="0"/>
              <w:rPr>
                <w:sz w:val="1"/>
                <w:szCs w:val="1"/>
                <w:color w:val="auto"/>
              </w:rPr>
            </w:pPr>
          </w:p>
        </w:tc>
      </w:tr>
      <w:tr>
        <w:trPr>
          <w:trHeight w:val="305"/>
        </w:trPr>
        <w:tc>
          <w:tcPr>
            <w:tcW w:w="4900" w:type="dxa"/>
            <w:vAlign w:val="bottom"/>
            <w:gridSpan w:val="4"/>
          </w:tcPr>
          <w:p>
            <w:pPr>
              <w:ind w:left="40"/>
              <w:spacing w:after="0"/>
              <w:rPr>
                <w:sz w:val="20"/>
                <w:szCs w:val="20"/>
                <w:color w:val="auto"/>
              </w:rPr>
            </w:pPr>
            <w:r>
              <w:rPr>
                <w:rFonts w:ascii="Arial" w:cs="Arial" w:eastAsia="Arial" w:hAnsi="Arial"/>
                <w:sz w:val="14"/>
                <w:szCs w:val="14"/>
                <w:b w:val="1"/>
                <w:bCs w:val="1"/>
                <w:color w:val="auto"/>
              </w:rPr>
              <w:t>Common Equity/Warrants/Partnership Interests – 9.9%</w:t>
            </w:r>
            <w:r>
              <w:rPr>
                <w:rFonts w:ascii="Arial" w:cs="Arial" w:eastAsia="Arial" w:hAnsi="Arial"/>
                <w:sz w:val="12"/>
                <w:szCs w:val="12"/>
                <w:b w:val="1"/>
                <w:bCs w:val="1"/>
                <w:color w:val="auto"/>
              </w:rPr>
              <w:t>(7)</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CEA Autumn Management, L.L.C.</w:t>
            </w:r>
          </w:p>
        </w:tc>
        <w:tc>
          <w:tcPr>
            <w:tcW w:w="9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w:t>
            </w:r>
          </w:p>
        </w:tc>
        <w:tc>
          <w:tcPr>
            <w:tcW w:w="1740" w:type="dxa"/>
            <w:vAlign w:val="bottom"/>
            <w:gridSpan w:val="2"/>
            <w:shd w:val="clear" w:color="auto" w:fill="CCEEFF"/>
          </w:tcPr>
          <w:p>
            <w:pPr>
              <w:jc w:val="center"/>
              <w:ind w:right="40"/>
              <w:spacing w:after="0" w:line="157" w:lineRule="exact"/>
              <w:rPr>
                <w:sz w:val="20"/>
                <w:szCs w:val="20"/>
                <w:color w:val="auto"/>
              </w:rPr>
            </w:pPr>
            <w:r>
              <w:rPr>
                <w:rFonts w:ascii="Arial" w:cs="Arial" w:eastAsia="Arial" w:hAnsi="Arial"/>
                <w:sz w:val="14"/>
                <w:szCs w:val="14"/>
                <w:color w:val="auto"/>
                <w:w w:val="93"/>
              </w:rPr>
              <w:t>Broadcasting and</w:t>
            </w:r>
          </w:p>
        </w:tc>
        <w:tc>
          <w:tcPr>
            <w:tcW w:w="98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1,333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3,000,000</w:t>
            </w: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4"/>
              </w:rPr>
              <w:t>Entertainment</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CFHC Holdings, Inc. (Consolidated</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74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89"/>
              </w:rPr>
              <w:t>Aerospace and Defense</w:t>
            </w:r>
          </w:p>
        </w:tc>
        <w:tc>
          <w:tcPr>
            <w:tcW w:w="9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1,627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16,271</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387,012</w:t>
            </w:r>
          </w:p>
        </w:tc>
        <w:tc>
          <w:tcPr>
            <w:tcW w:w="0" w:type="dxa"/>
            <w:vAlign w:val="bottom"/>
          </w:tcPr>
          <w:p>
            <w:pPr>
              <w:spacing w:after="0"/>
              <w:rPr>
                <w:sz w:val="1"/>
                <w:szCs w:val="1"/>
                <w:color w:val="auto"/>
              </w:rPr>
            </w:pPr>
          </w:p>
        </w:tc>
      </w:tr>
      <w:tr>
        <w:trPr>
          <w:trHeight w:val="188"/>
        </w:trPr>
        <w:tc>
          <w:tcPr>
            <w:tcW w:w="2260" w:type="dxa"/>
            <w:vAlign w:val="bottom"/>
          </w:tcPr>
          <w:p>
            <w:pPr>
              <w:ind w:left="40"/>
              <w:spacing w:after="0"/>
              <w:rPr>
                <w:sz w:val="20"/>
                <w:szCs w:val="20"/>
                <w:color w:val="auto"/>
              </w:rPr>
            </w:pPr>
            <w:r>
              <w:rPr>
                <w:rFonts w:ascii="Arial" w:cs="Arial" w:eastAsia="Arial" w:hAnsi="Arial"/>
                <w:sz w:val="14"/>
                <w:szCs w:val="14"/>
                <w:color w:val="auto"/>
              </w:rPr>
              <w:t>Foundries, Inc.)</w:t>
            </w:r>
          </w:p>
        </w:tc>
        <w:tc>
          <w:tcPr>
            <w:tcW w:w="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CT Technologies Holdings, L.L.C.</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7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9"/>
              </w:rPr>
              <w:t>Business Services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3,200,000</w:t>
            </w: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7,987,755</w:t>
            </w: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(CT Technologies Intermediate</w:t>
            </w:r>
          </w:p>
        </w:tc>
        <w:tc>
          <w:tcPr>
            <w:tcW w:w="9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Holdings, Inc.)</w:t>
            </w:r>
          </w:p>
        </w:tc>
        <w:tc>
          <w:tcPr>
            <w:tcW w:w="9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60" w:type="dxa"/>
            <w:vAlign w:val="bottom"/>
          </w:tcPr>
          <w:p>
            <w:pPr>
              <w:ind w:left="40"/>
              <w:spacing w:after="0"/>
              <w:rPr>
                <w:sz w:val="20"/>
                <w:szCs w:val="20"/>
                <w:color w:val="auto"/>
              </w:rPr>
            </w:pPr>
            <w:r>
              <w:rPr>
                <w:rFonts w:ascii="Arial" w:cs="Arial" w:eastAsia="Arial" w:hAnsi="Arial"/>
                <w:sz w:val="14"/>
                <w:szCs w:val="14"/>
                <w:color w:val="auto"/>
              </w:rPr>
              <w:t>EnviroSolutions, Inc.</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74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Environmental Services</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24,375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1,506,076</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1,998,008</w:t>
            </w:r>
          </w:p>
        </w:tc>
        <w:tc>
          <w:tcPr>
            <w:tcW w:w="0" w:type="dxa"/>
            <w:vAlign w:val="bottom"/>
          </w:tcPr>
          <w:p>
            <w:pPr>
              <w:spacing w:after="0"/>
              <w:rPr>
                <w:sz w:val="1"/>
                <w:szCs w:val="1"/>
                <w:color w:val="auto"/>
              </w:rPr>
            </w:pPr>
          </w:p>
        </w:tc>
      </w:tr>
      <w:tr>
        <w:trPr>
          <w:trHeight w:val="79"/>
        </w:trPr>
        <w:tc>
          <w:tcPr>
            <w:tcW w:w="2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EnviroSolutions, Inc. (Warrants)</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7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3"/>
              </w:rPr>
              <w:t>Environmental Services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49,005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3,027,906</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4,016,429</w:t>
            </w:r>
          </w:p>
        </w:tc>
        <w:tc>
          <w:tcPr>
            <w:tcW w:w="0" w:type="dxa"/>
            <w:vAlign w:val="bottom"/>
          </w:tcPr>
          <w:p>
            <w:pPr>
              <w:spacing w:after="0"/>
              <w:rPr>
                <w:sz w:val="1"/>
                <w:szCs w:val="1"/>
                <w:color w:val="auto"/>
              </w:rPr>
            </w:pPr>
          </w:p>
        </w:tc>
      </w:tr>
      <w:tr>
        <w:trPr>
          <w:trHeight w:val="79"/>
        </w:trPr>
        <w:tc>
          <w:tcPr>
            <w:tcW w:w="2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260" w:type="dxa"/>
            <w:vAlign w:val="bottom"/>
            <w:vMerge w:val="restart"/>
          </w:tcPr>
          <w:p>
            <w:pPr>
              <w:ind w:left="40"/>
              <w:spacing w:after="0"/>
              <w:rPr>
                <w:sz w:val="20"/>
                <w:szCs w:val="20"/>
                <w:color w:val="auto"/>
              </w:rPr>
            </w:pPr>
            <w:r>
              <w:rPr>
                <w:rFonts w:ascii="Arial" w:cs="Arial" w:eastAsia="Arial" w:hAnsi="Arial"/>
                <w:sz w:val="14"/>
                <w:szCs w:val="14"/>
                <w:color w:val="auto"/>
              </w:rPr>
              <w:t>i2 Holdings Ltd.</w:t>
            </w:r>
            <w:r>
              <w:rPr>
                <w:rFonts w:ascii="Arial" w:cs="Arial" w:eastAsia="Arial" w:hAnsi="Arial"/>
                <w:sz w:val="12"/>
                <w:szCs w:val="12"/>
                <w:color w:val="auto"/>
              </w:rPr>
              <w:t>(10)</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74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Aerospace and Defense</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457,322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454,030</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2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Kadmon Holdings, L.L.C., Class A</w:t>
            </w:r>
          </w:p>
        </w:tc>
        <w:tc>
          <w:tcPr>
            <w:tcW w:w="9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w:t>
            </w:r>
          </w:p>
        </w:tc>
        <w:tc>
          <w:tcPr>
            <w:tcW w:w="1740" w:type="dxa"/>
            <w:vAlign w:val="bottom"/>
            <w:gridSpan w:val="2"/>
            <w:shd w:val="clear" w:color="auto" w:fill="CCEEFF"/>
          </w:tcPr>
          <w:p>
            <w:pPr>
              <w:jc w:val="center"/>
              <w:ind w:right="40"/>
              <w:spacing w:after="0" w:line="157" w:lineRule="exact"/>
              <w:rPr>
                <w:sz w:val="20"/>
                <w:szCs w:val="20"/>
                <w:color w:val="auto"/>
              </w:rPr>
            </w:pPr>
            <w:r>
              <w:rPr>
                <w:rFonts w:ascii="Arial" w:cs="Arial" w:eastAsia="Arial" w:hAnsi="Arial"/>
                <w:sz w:val="14"/>
                <w:szCs w:val="14"/>
                <w:color w:val="auto"/>
                <w:w w:val="93"/>
              </w:rPr>
              <w:t>Healthcare, Education and</w:t>
            </w:r>
          </w:p>
        </w:tc>
        <w:tc>
          <w:tcPr>
            <w:tcW w:w="98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8,999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1,780,693</w:t>
            </w: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1,780,693</w:t>
            </w: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(Three Rivers Pharmaceutical,</w:t>
            </w:r>
          </w:p>
        </w:tc>
        <w:tc>
          <w:tcPr>
            <w:tcW w:w="9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4"/>
              </w:rPr>
              <w:t>Childcare</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L.L.C.)</w:t>
            </w:r>
          </w:p>
        </w:tc>
        <w:tc>
          <w:tcPr>
            <w:tcW w:w="9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Kadmon Holdings, L.L.C., Class D</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74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93"/>
              </w:rPr>
              <w:t>Healthcare, Education and</w:t>
            </w:r>
          </w:p>
        </w:tc>
        <w:tc>
          <w:tcPr>
            <w:tcW w:w="9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8,999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857,339</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857,339</w:t>
            </w:r>
          </w:p>
        </w:tc>
        <w:tc>
          <w:tcPr>
            <w:tcW w:w="0" w:type="dxa"/>
            <w:vAlign w:val="bottom"/>
          </w:tcPr>
          <w:p>
            <w:pPr>
              <w:spacing w:after="0"/>
              <w:rPr>
                <w:sz w:val="1"/>
                <w:szCs w:val="1"/>
                <w:color w:val="auto"/>
              </w:rPr>
            </w:pPr>
          </w:p>
        </w:tc>
      </w:tr>
      <w:tr>
        <w:trPr>
          <w:trHeight w:val="148"/>
        </w:trPr>
        <w:tc>
          <w:tcPr>
            <w:tcW w:w="2260" w:type="dxa"/>
            <w:vAlign w:val="bottom"/>
          </w:tcPr>
          <w:p>
            <w:pPr>
              <w:ind w:left="40"/>
              <w:spacing w:after="0" w:line="149" w:lineRule="exact"/>
              <w:rPr>
                <w:sz w:val="20"/>
                <w:szCs w:val="20"/>
                <w:color w:val="auto"/>
              </w:rPr>
            </w:pPr>
            <w:r>
              <w:rPr>
                <w:rFonts w:ascii="Arial" w:cs="Arial" w:eastAsia="Arial" w:hAnsi="Arial"/>
                <w:sz w:val="14"/>
                <w:szCs w:val="14"/>
                <w:color w:val="auto"/>
              </w:rPr>
              <w:t>(Three Rivers Pharmaceutical,</w:t>
            </w:r>
          </w:p>
        </w:tc>
        <w:tc>
          <w:tcPr>
            <w:tcW w:w="900" w:type="dxa"/>
            <w:vAlign w:val="bottom"/>
          </w:tcPr>
          <w:p>
            <w:pPr>
              <w:spacing w:after="0"/>
              <w:rPr>
                <w:sz w:val="12"/>
                <w:szCs w:val="12"/>
                <w:color w:val="auto"/>
              </w:rPr>
            </w:pPr>
          </w:p>
        </w:tc>
        <w:tc>
          <w:tcPr>
            <w:tcW w:w="17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Childcare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tcPr>
          <w:p>
            <w:pPr>
              <w:ind w:left="40"/>
              <w:spacing w:after="0"/>
              <w:rPr>
                <w:sz w:val="20"/>
                <w:szCs w:val="20"/>
                <w:color w:val="auto"/>
              </w:rPr>
            </w:pPr>
            <w:r>
              <w:rPr>
                <w:rFonts w:ascii="Arial" w:cs="Arial" w:eastAsia="Arial" w:hAnsi="Arial"/>
                <w:sz w:val="14"/>
                <w:szCs w:val="14"/>
                <w:color w:val="auto"/>
              </w:rPr>
              <w:t>L.L.C.)</w:t>
            </w:r>
          </w:p>
        </w:tc>
        <w:tc>
          <w:tcPr>
            <w:tcW w:w="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Learning Care Group (U.S.), Inc.</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04/27/2020</w:t>
            </w:r>
          </w:p>
        </w:tc>
        <w:tc>
          <w:tcPr>
            <w:tcW w:w="17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3"/>
              </w:rPr>
              <w:t>Education</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779,920</w:t>
            </w: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633,308</w:t>
            </w: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(Warrants)</w:t>
            </w:r>
          </w:p>
        </w:tc>
        <w:tc>
          <w:tcPr>
            <w:tcW w:w="9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Magnum Hunter Resources</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74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94"/>
              </w:rPr>
              <w:t>Oil and Gas</w:t>
            </w:r>
          </w:p>
        </w:tc>
        <w:tc>
          <w:tcPr>
            <w:tcW w:w="9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1,055,932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2,464,999</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4,350,440</w:t>
            </w:r>
          </w:p>
        </w:tc>
        <w:tc>
          <w:tcPr>
            <w:tcW w:w="0" w:type="dxa"/>
            <w:vAlign w:val="bottom"/>
          </w:tcPr>
          <w:p>
            <w:pPr>
              <w:spacing w:after="0"/>
              <w:rPr>
                <w:sz w:val="1"/>
                <w:szCs w:val="1"/>
                <w:color w:val="auto"/>
              </w:rPr>
            </w:pPr>
          </w:p>
        </w:tc>
      </w:tr>
      <w:tr>
        <w:trPr>
          <w:trHeight w:val="188"/>
        </w:trPr>
        <w:tc>
          <w:tcPr>
            <w:tcW w:w="2260" w:type="dxa"/>
            <w:vAlign w:val="bottom"/>
          </w:tcPr>
          <w:p>
            <w:pPr>
              <w:ind w:left="40"/>
              <w:spacing w:after="0"/>
              <w:rPr>
                <w:sz w:val="20"/>
                <w:szCs w:val="20"/>
                <w:color w:val="auto"/>
              </w:rPr>
            </w:pPr>
            <w:r>
              <w:rPr>
                <w:rFonts w:ascii="Arial" w:cs="Arial" w:eastAsia="Arial" w:hAnsi="Arial"/>
                <w:sz w:val="14"/>
                <w:szCs w:val="14"/>
                <w:color w:val="auto"/>
              </w:rPr>
              <w:t>Corporation</w:t>
            </w:r>
          </w:p>
        </w:tc>
        <w:tc>
          <w:tcPr>
            <w:tcW w:w="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QMG HoldCo, LLC, Class A</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7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6"/>
              </w:rPr>
              <w:t>Other Media</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1,306,167</w:t>
            </w: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1,081,683</w:t>
            </w: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(Questex Media Group, Inc.)</w:t>
            </w:r>
          </w:p>
        </w:tc>
        <w:tc>
          <w:tcPr>
            <w:tcW w:w="9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QMG HoldCo, LLC, Class B</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74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96"/>
              </w:rPr>
              <w:t>Other Media</w:t>
            </w:r>
          </w:p>
        </w:tc>
        <w:tc>
          <w:tcPr>
            <w:tcW w:w="9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531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132,803</w:t>
            </w:r>
          </w:p>
        </w:tc>
        <w:tc>
          <w:tcPr>
            <w:tcW w:w="0" w:type="dxa"/>
            <w:vAlign w:val="bottom"/>
          </w:tcPr>
          <w:p>
            <w:pPr>
              <w:spacing w:after="0"/>
              <w:rPr>
                <w:sz w:val="1"/>
                <w:szCs w:val="1"/>
                <w:color w:val="auto"/>
              </w:rPr>
            </w:pPr>
          </w:p>
        </w:tc>
      </w:tr>
      <w:tr>
        <w:trPr>
          <w:trHeight w:val="188"/>
        </w:trPr>
        <w:tc>
          <w:tcPr>
            <w:tcW w:w="2260" w:type="dxa"/>
            <w:vAlign w:val="bottom"/>
          </w:tcPr>
          <w:p>
            <w:pPr>
              <w:ind w:left="40"/>
              <w:spacing w:after="0"/>
              <w:rPr>
                <w:sz w:val="20"/>
                <w:szCs w:val="20"/>
                <w:color w:val="auto"/>
              </w:rPr>
            </w:pPr>
            <w:r>
              <w:rPr>
                <w:rFonts w:ascii="Arial" w:cs="Arial" w:eastAsia="Arial" w:hAnsi="Arial"/>
                <w:sz w:val="14"/>
                <w:szCs w:val="14"/>
                <w:color w:val="auto"/>
              </w:rPr>
              <w:t>(Questex Media Group, Inc.)</w:t>
            </w:r>
          </w:p>
        </w:tc>
        <w:tc>
          <w:tcPr>
            <w:tcW w:w="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TRAK Acquisition Corp.</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12/29/2019</w:t>
            </w:r>
          </w:p>
        </w:tc>
        <w:tc>
          <w:tcPr>
            <w:tcW w:w="17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9"/>
              </w:rPr>
              <w:t>Business Services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29,400</w:t>
            </w: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973,875</w:t>
            </w: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(Warrants)</w:t>
            </w:r>
          </w:p>
        </w:tc>
        <w:tc>
          <w:tcPr>
            <w:tcW w:w="9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Transportation 100 Holdco, L.L.C.</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74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92"/>
              </w:rPr>
              <w:t>Cargo Transport</w:t>
            </w:r>
          </w:p>
        </w:tc>
        <w:tc>
          <w:tcPr>
            <w:tcW w:w="9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137,923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2,111,588</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4,589,906</w:t>
            </w:r>
          </w:p>
        </w:tc>
        <w:tc>
          <w:tcPr>
            <w:tcW w:w="0" w:type="dxa"/>
            <w:vAlign w:val="bottom"/>
          </w:tcPr>
          <w:p>
            <w:pPr>
              <w:spacing w:after="0"/>
              <w:rPr>
                <w:sz w:val="1"/>
                <w:szCs w:val="1"/>
                <w:color w:val="auto"/>
              </w:rPr>
            </w:pPr>
          </w:p>
        </w:tc>
      </w:tr>
      <w:tr>
        <w:trPr>
          <w:trHeight w:val="149"/>
        </w:trPr>
        <w:tc>
          <w:tcPr>
            <w:tcW w:w="2260" w:type="dxa"/>
            <w:vAlign w:val="bottom"/>
          </w:tcPr>
          <w:p>
            <w:pPr>
              <w:ind w:left="40"/>
              <w:spacing w:after="0" w:line="149" w:lineRule="exact"/>
              <w:rPr>
                <w:sz w:val="20"/>
                <w:szCs w:val="20"/>
                <w:color w:val="auto"/>
              </w:rPr>
            </w:pPr>
            <w:r>
              <w:rPr>
                <w:rFonts w:ascii="Arial" w:cs="Arial" w:eastAsia="Arial" w:hAnsi="Arial"/>
                <w:sz w:val="14"/>
                <w:szCs w:val="14"/>
                <w:color w:val="auto"/>
              </w:rPr>
              <w:t>(Greatwide Logistics Services,</w:t>
            </w:r>
          </w:p>
        </w:tc>
        <w:tc>
          <w:tcPr>
            <w:tcW w:w="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tcPr>
          <w:p>
            <w:pPr>
              <w:ind w:left="40"/>
              <w:spacing w:after="0"/>
              <w:rPr>
                <w:sz w:val="20"/>
                <w:szCs w:val="20"/>
                <w:color w:val="auto"/>
              </w:rPr>
            </w:pPr>
            <w:r>
              <w:rPr>
                <w:rFonts w:ascii="Arial" w:cs="Arial" w:eastAsia="Arial" w:hAnsi="Arial"/>
                <w:sz w:val="14"/>
                <w:szCs w:val="14"/>
                <w:color w:val="auto"/>
              </w:rPr>
              <w:t>L.L.C)</w:t>
            </w:r>
          </w:p>
        </w:tc>
        <w:tc>
          <w:tcPr>
            <w:tcW w:w="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TZ Holdings, L.P. (Trizetto Group,</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74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1"/>
              </w:rPr>
              <w:t>Insurance</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9,843</w:t>
            </w: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1,688,629</w:t>
            </w: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w:t>
            </w:r>
          </w:p>
        </w:tc>
        <w:tc>
          <w:tcPr>
            <w:tcW w:w="9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UP Holdings, Inc. (UP Acquisitions</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74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94"/>
              </w:rPr>
              <w:t>Oil and Gas</w:t>
            </w:r>
          </w:p>
        </w:tc>
        <w:tc>
          <w:tcPr>
            <w:tcW w:w="9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91,608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916</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260" w:type="dxa"/>
            <w:vAlign w:val="bottom"/>
          </w:tcPr>
          <w:p>
            <w:pPr>
              <w:ind w:left="40"/>
              <w:spacing w:after="0"/>
              <w:rPr>
                <w:sz w:val="20"/>
                <w:szCs w:val="20"/>
                <w:color w:val="auto"/>
              </w:rPr>
            </w:pPr>
            <w:r>
              <w:rPr>
                <w:rFonts w:ascii="Arial" w:cs="Arial" w:eastAsia="Arial" w:hAnsi="Arial"/>
                <w:sz w:val="14"/>
                <w:szCs w:val="14"/>
                <w:color w:val="auto"/>
              </w:rPr>
              <w:t>Sub, Inc.)</w:t>
            </w:r>
          </w:p>
        </w:tc>
        <w:tc>
          <w:tcPr>
            <w:tcW w:w="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VText Holdings, Inc.</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7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9"/>
              </w:rPr>
              <w:t>Business Services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35,526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4,050,000</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4,634,758</w:t>
            </w:r>
          </w:p>
        </w:tc>
        <w:tc>
          <w:tcPr>
            <w:tcW w:w="0" w:type="dxa"/>
            <w:vAlign w:val="bottom"/>
          </w:tcPr>
          <w:p>
            <w:pPr>
              <w:spacing w:after="0"/>
              <w:rPr>
                <w:sz w:val="1"/>
                <w:szCs w:val="1"/>
                <w:color w:val="auto"/>
              </w:rPr>
            </w:pPr>
          </w:p>
        </w:tc>
      </w:tr>
      <w:tr>
        <w:trPr>
          <w:trHeight w:val="79"/>
        </w:trPr>
        <w:tc>
          <w:tcPr>
            <w:tcW w:w="4800" w:type="dxa"/>
            <w:vAlign w:val="bottom"/>
            <w:gridSpan w:val="3"/>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490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24,595,148</w:t>
            </w:r>
          </w:p>
        </w:tc>
        <w:tc>
          <w:tcPr>
            <w:tcW w:w="7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38,112,638</w:t>
            </w:r>
          </w:p>
        </w:tc>
        <w:tc>
          <w:tcPr>
            <w:tcW w:w="0" w:type="dxa"/>
            <w:vAlign w:val="bottom"/>
          </w:tcPr>
          <w:p>
            <w:pPr>
              <w:spacing w:after="0"/>
              <w:rPr>
                <w:sz w:val="1"/>
                <w:szCs w:val="1"/>
                <w:color w:val="auto"/>
              </w:rPr>
            </w:pPr>
          </w:p>
        </w:tc>
      </w:tr>
      <w:tr>
        <w:trPr>
          <w:trHeight w:val="263"/>
        </w:trPr>
        <w:tc>
          <w:tcPr>
            <w:tcW w:w="49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 in Non-Controlled, Non-Affiliated Portfolio Companies</w:t>
            </w: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631,280,755</w:t>
            </w:r>
          </w:p>
        </w:tc>
        <w:tc>
          <w:tcPr>
            <w:tcW w:w="7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641,290,626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040"/>
          </w:cols>
          <w:pgMar w:left="320" w:top="125" w:right="5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40"/>
          </w:cols>
          <w:pgMar w:left="320" w:top="125" w:right="5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20"/>
        <w:spacing w:after="0" w:line="255"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 (continued) SEPTEMBER 30, 2010</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Current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Basis Points</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11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Maturity</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20" w:type="dxa"/>
            <w:vAlign w:val="bottom"/>
            <w:vMerge w:val="restart"/>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Above</w:t>
            </w:r>
          </w:p>
        </w:tc>
        <w:tc>
          <w:tcPr>
            <w:tcW w:w="460" w:type="dxa"/>
            <w:vAlign w:val="bottom"/>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6"/>
              </w:rPr>
              <w:t>Par / Shares</w:t>
            </w:r>
          </w:p>
        </w:tc>
        <w:tc>
          <w:tcPr>
            <w:tcW w:w="240" w:type="dxa"/>
            <w:vAlign w:val="bottom"/>
          </w:tcPr>
          <w:p>
            <w:pPr>
              <w:spacing w:after="0"/>
              <w:rPr>
                <w:sz w:val="12"/>
                <w:szCs w:val="12"/>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2"/>
                <w:szCs w:val="12"/>
                <w:color w:val="auto"/>
              </w:rPr>
            </w:pP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Coupon</w:t>
            </w:r>
          </w:p>
        </w:tc>
        <w:tc>
          <w:tcPr>
            <w:tcW w:w="4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(4)</w:t>
            </w:r>
          </w:p>
        </w:tc>
        <w:tc>
          <w:tcPr>
            <w:tcW w:w="4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51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 in Non-Controlled, Affiliated Portfolio Companies – 4.0%</w:t>
            </w:r>
            <w:r>
              <w:rPr>
                <w:rFonts w:ascii="Arial" w:cs="Arial" w:eastAsia="Arial" w:hAnsi="Arial"/>
                <w:sz w:val="8"/>
                <w:szCs w:val="8"/>
                <w:b w:val="1"/>
                <w:bCs w:val="1"/>
                <w:color w:val="auto"/>
              </w:rPr>
              <w:t>(1),(2)</w:t>
            </w: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4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40"/>
              <w:spacing w:after="0"/>
              <w:rPr>
                <w:sz w:val="20"/>
                <w:szCs w:val="20"/>
                <w:color w:val="auto"/>
              </w:rPr>
            </w:pPr>
            <w:r>
              <w:rPr>
                <w:rFonts w:ascii="Arial" w:cs="Arial" w:eastAsia="Arial" w:hAnsi="Arial"/>
                <w:sz w:val="14"/>
                <w:szCs w:val="14"/>
                <w:b w:val="1"/>
                <w:bCs w:val="1"/>
                <w:color w:val="auto"/>
              </w:rPr>
              <w:t>Second Lien Secured Debt – 2.0%</w:t>
            </w: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4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4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Performance, Inc. (Performance</w:t>
            </w:r>
          </w:p>
        </w:tc>
        <w:tc>
          <w:tcPr>
            <w:tcW w:w="1160" w:type="dxa"/>
            <w:vAlign w:val="bottom"/>
            <w:shd w:val="clear" w:color="auto" w:fill="CCEEFF"/>
          </w:tcPr>
          <w:p>
            <w:pPr>
              <w:jc w:val="right"/>
              <w:ind w:right="128"/>
              <w:spacing w:after="0" w:line="157" w:lineRule="exact"/>
              <w:rPr>
                <w:sz w:val="20"/>
                <w:szCs w:val="20"/>
                <w:color w:val="auto"/>
              </w:rPr>
            </w:pPr>
            <w:r>
              <w:rPr>
                <w:rFonts w:ascii="Arial" w:cs="Arial" w:eastAsia="Arial" w:hAnsi="Arial"/>
                <w:sz w:val="14"/>
                <w:szCs w:val="14"/>
                <w:color w:val="auto"/>
              </w:rPr>
              <w:t>01/16/2015</w:t>
            </w:r>
          </w:p>
        </w:tc>
        <w:tc>
          <w:tcPr>
            <w:tcW w:w="1480" w:type="dxa"/>
            <w:vAlign w:val="bottom"/>
            <w:gridSpan w:val="2"/>
            <w:shd w:val="clear" w:color="auto" w:fill="CCEEFF"/>
          </w:tcPr>
          <w:p>
            <w:pPr>
              <w:jc w:val="center"/>
              <w:ind w:right="180"/>
              <w:spacing w:after="0" w:line="157" w:lineRule="exact"/>
              <w:rPr>
                <w:sz w:val="20"/>
                <w:szCs w:val="20"/>
                <w:color w:val="auto"/>
              </w:rPr>
            </w:pPr>
            <w:r>
              <w:rPr>
                <w:rFonts w:ascii="Arial" w:cs="Arial" w:eastAsia="Arial" w:hAnsi="Arial"/>
                <w:sz w:val="14"/>
                <w:szCs w:val="14"/>
                <w:color w:val="auto"/>
                <w:w w:val="92"/>
              </w:rPr>
              <w:t>Leisure, Amusement,</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7.50%</w:t>
            </w: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L+650</w:t>
            </w:r>
          </w:p>
        </w:tc>
        <w:tc>
          <w:tcPr>
            <w:tcW w:w="4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8,000,000</w:t>
            </w:r>
          </w:p>
        </w:tc>
        <w:tc>
          <w:tcPr>
            <w:tcW w:w="2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8,000,000</w:t>
            </w:r>
          </w:p>
        </w:tc>
        <w:tc>
          <w:tcPr>
            <w:tcW w:w="2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7,584,000</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Holdings, Inc.)</w:t>
            </w:r>
          </w:p>
        </w:tc>
        <w:tc>
          <w:tcPr>
            <w:tcW w:w="1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Motion Pictures and</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4"/>
              </w:rPr>
              <w:t>Entertainment</w:t>
            </w: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620" w:type="dxa"/>
            <w:vAlign w:val="bottom"/>
            <w:gridSpan w:val="2"/>
          </w:tcPr>
          <w:p>
            <w:pPr>
              <w:ind w:left="40"/>
              <w:spacing w:after="0"/>
              <w:rPr>
                <w:sz w:val="20"/>
                <w:szCs w:val="20"/>
                <w:color w:val="auto"/>
              </w:rPr>
            </w:pPr>
            <w:r>
              <w:rPr>
                <w:rFonts w:ascii="Arial" w:cs="Arial" w:eastAsia="Arial" w:hAnsi="Arial"/>
                <w:sz w:val="14"/>
                <w:szCs w:val="14"/>
                <w:b w:val="1"/>
                <w:bCs w:val="1"/>
                <w:color w:val="auto"/>
              </w:rPr>
              <w:t>Subordinated Debt/Corporate Notes – 1.5%</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4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Performance Holdings, Inc.</w:t>
            </w:r>
          </w:p>
        </w:tc>
        <w:tc>
          <w:tcPr>
            <w:tcW w:w="11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180"/>
              <w:spacing w:after="0" w:line="157" w:lineRule="exact"/>
              <w:rPr>
                <w:sz w:val="20"/>
                <w:szCs w:val="20"/>
                <w:color w:val="auto"/>
              </w:rPr>
            </w:pPr>
            <w:r>
              <w:rPr>
                <w:rFonts w:ascii="Arial" w:cs="Arial" w:eastAsia="Arial" w:hAnsi="Arial"/>
                <w:sz w:val="14"/>
                <w:szCs w:val="14"/>
                <w:color w:val="auto"/>
                <w:w w:val="92"/>
              </w:rPr>
              <w:t>Leisure, Amusement,</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07/16/2015</w:t>
            </w:r>
          </w:p>
        </w:tc>
        <w:tc>
          <w:tcPr>
            <w:tcW w:w="14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Motion Pictures and</w:t>
            </w:r>
          </w:p>
        </w:tc>
        <w:tc>
          <w:tcPr>
            <w:tcW w:w="13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 xml:space="preserve">15.00% </w:t>
            </w:r>
            <w:r>
              <w:rPr>
                <w:rFonts w:ascii="Arial" w:cs="Arial" w:eastAsia="Arial" w:hAnsi="Arial"/>
                <w:sz w:val="8"/>
                <w:szCs w:val="8"/>
                <w:color w:val="auto"/>
              </w:rPr>
              <w:t>(6)</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5,848,176</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5,677,648</w:t>
            </w: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5,745,832</w:t>
            </w:r>
          </w:p>
        </w:tc>
        <w:tc>
          <w:tcPr>
            <w:tcW w:w="0" w:type="dxa"/>
            <w:vAlign w:val="bottom"/>
          </w:tcPr>
          <w:p>
            <w:pPr>
              <w:spacing w:after="0"/>
              <w:rPr>
                <w:sz w:val="1"/>
                <w:szCs w:val="1"/>
                <w:color w:val="auto"/>
              </w:rPr>
            </w:pPr>
          </w:p>
        </w:tc>
      </w:tr>
      <w:tr>
        <w:trPr>
          <w:trHeight w:val="194"/>
        </w:trPr>
        <w:tc>
          <w:tcPr>
            <w:tcW w:w="24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4"/>
              </w:rPr>
              <w:t>Entertainment</w:t>
            </w: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36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Common Equity/Partnership Interest – 0.5%</w:t>
            </w:r>
            <w:r>
              <w:rPr>
                <w:rFonts w:ascii="Arial" w:cs="Arial" w:eastAsia="Arial" w:hAnsi="Arial"/>
                <w:sz w:val="8"/>
                <w:szCs w:val="8"/>
                <w:b w:val="1"/>
                <w:bCs w:val="1"/>
                <w:color w:val="auto"/>
              </w:rPr>
              <w:t>(7)</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NCP-Performance (Performance</w:t>
            </w:r>
          </w:p>
        </w:tc>
        <w:tc>
          <w:tcPr>
            <w:tcW w:w="1160" w:type="dxa"/>
            <w:vAlign w:val="bottom"/>
            <w:shd w:val="clear" w:color="auto" w:fill="CCEEFF"/>
          </w:tcPr>
          <w:p>
            <w:pPr>
              <w:jc w:val="right"/>
              <w:ind w:right="488"/>
              <w:spacing w:after="0" w:line="157"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180"/>
              <w:spacing w:after="0" w:line="157" w:lineRule="exact"/>
              <w:rPr>
                <w:sz w:val="20"/>
                <w:szCs w:val="20"/>
                <w:color w:val="auto"/>
              </w:rPr>
            </w:pPr>
            <w:r>
              <w:rPr>
                <w:rFonts w:ascii="Arial" w:cs="Arial" w:eastAsia="Arial" w:hAnsi="Arial"/>
                <w:sz w:val="14"/>
                <w:szCs w:val="14"/>
                <w:color w:val="auto"/>
                <w:w w:val="92"/>
              </w:rPr>
              <w:t>Leisure, Amusement,</w:t>
            </w:r>
          </w:p>
        </w:tc>
        <w:tc>
          <w:tcPr>
            <w:tcW w:w="1360" w:type="dxa"/>
            <w:vAlign w:val="bottom"/>
            <w:gridSpan w:val="2"/>
            <w:shd w:val="clear" w:color="auto" w:fill="CCEEFF"/>
          </w:tcPr>
          <w:p>
            <w:pPr>
              <w:jc w:val="right"/>
              <w:ind w:right="580"/>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375,000</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3,750,000</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2,103,848</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Holdings, Inc.)</w:t>
            </w:r>
          </w:p>
        </w:tc>
        <w:tc>
          <w:tcPr>
            <w:tcW w:w="1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Motion Pictures and</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4"/>
              </w:rPr>
              <w:t>Entertainment</w:t>
            </w: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b w:val="1"/>
                <w:bCs w:val="1"/>
                <w:color w:val="auto"/>
              </w:rPr>
              <w:t>Investments in Non-Controlled, Affiliated Portfolio Companies</w:t>
            </w:r>
          </w:p>
        </w:tc>
        <w:tc>
          <w:tcPr>
            <w:tcW w:w="9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17,427,648</w:t>
            </w: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15,433,680</w:t>
            </w:r>
          </w:p>
        </w:tc>
        <w:tc>
          <w:tcPr>
            <w:tcW w:w="0" w:type="dxa"/>
            <w:vAlign w:val="bottom"/>
          </w:tcPr>
          <w:p>
            <w:pPr>
              <w:spacing w:after="0"/>
              <w:rPr>
                <w:sz w:val="1"/>
                <w:szCs w:val="1"/>
                <w:color w:val="auto"/>
              </w:rPr>
            </w:pPr>
          </w:p>
        </w:tc>
      </w:tr>
      <w:tr>
        <w:trPr>
          <w:trHeight w:val="311"/>
        </w:trPr>
        <w:tc>
          <w:tcPr>
            <w:tcW w:w="51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 in Controlled, Affiliated Portfolio Companies – 2.1%</w:t>
            </w:r>
            <w:r>
              <w:rPr>
                <w:rFonts w:ascii="Arial" w:cs="Arial" w:eastAsia="Arial" w:hAnsi="Arial"/>
                <w:sz w:val="8"/>
                <w:szCs w:val="8"/>
                <w:b w:val="1"/>
                <w:bCs w:val="1"/>
                <w:color w:val="auto"/>
              </w:rPr>
              <w:t>(1),(2)</w:t>
            </w: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4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40"/>
              <w:spacing w:after="0"/>
              <w:rPr>
                <w:sz w:val="20"/>
                <w:szCs w:val="20"/>
                <w:color w:val="auto"/>
              </w:rPr>
            </w:pPr>
            <w:r>
              <w:rPr>
                <w:rFonts w:ascii="Arial" w:cs="Arial" w:eastAsia="Arial" w:hAnsi="Arial"/>
                <w:sz w:val="14"/>
                <w:szCs w:val="14"/>
                <w:b w:val="1"/>
                <w:bCs w:val="1"/>
                <w:color w:val="auto"/>
              </w:rPr>
              <w:t>First Lien Secured Debt – 1.4%</w:t>
            </w: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4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SuttonPark Holdings, Inc.</w:t>
            </w:r>
          </w:p>
        </w:tc>
        <w:tc>
          <w:tcPr>
            <w:tcW w:w="11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06/30/2020</w:t>
            </w:r>
          </w:p>
        </w:tc>
        <w:tc>
          <w:tcPr>
            <w:tcW w:w="14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0"/>
              </w:rPr>
              <w:t>Business Services</w:t>
            </w: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 xml:space="preserve">14.00% </w:t>
            </w:r>
            <w:r>
              <w:rPr>
                <w:rFonts w:ascii="Arial" w:cs="Arial" w:eastAsia="Arial" w:hAnsi="Arial"/>
                <w:sz w:val="8"/>
                <w:szCs w:val="8"/>
                <w:color w:val="auto"/>
              </w:rPr>
              <w:t>(6)</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4,800,000</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4,800,000</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5,352,000</w:t>
            </w:r>
          </w:p>
        </w:tc>
        <w:tc>
          <w:tcPr>
            <w:tcW w:w="0" w:type="dxa"/>
            <w:vAlign w:val="bottom"/>
          </w:tcPr>
          <w:p>
            <w:pPr>
              <w:spacing w:after="0"/>
              <w:rPr>
                <w:sz w:val="1"/>
                <w:szCs w:val="1"/>
                <w:color w:val="auto"/>
              </w:rPr>
            </w:pPr>
          </w:p>
        </w:tc>
      </w:tr>
      <w:tr>
        <w:trPr>
          <w:trHeight w:val="170"/>
        </w:trPr>
        <w:tc>
          <w:tcPr>
            <w:tcW w:w="3620" w:type="dxa"/>
            <w:vAlign w:val="bottom"/>
            <w:gridSpan w:val="2"/>
          </w:tcPr>
          <w:p>
            <w:pPr>
              <w:ind w:left="40"/>
              <w:spacing w:after="0"/>
              <w:rPr>
                <w:sz w:val="20"/>
                <w:szCs w:val="20"/>
                <w:color w:val="auto"/>
              </w:rPr>
            </w:pPr>
            <w:r>
              <w:rPr>
                <w:rFonts w:ascii="Arial" w:cs="Arial" w:eastAsia="Arial" w:hAnsi="Arial"/>
                <w:sz w:val="14"/>
                <w:szCs w:val="14"/>
                <w:b w:val="1"/>
                <w:bCs w:val="1"/>
                <w:color w:val="auto"/>
              </w:rPr>
              <w:t>Subordinated Debt/Corporate Notes – 0.3%</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SuttonPark Holdings, Inc.</w:t>
            </w:r>
          </w:p>
        </w:tc>
        <w:tc>
          <w:tcPr>
            <w:tcW w:w="11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06/30/2020</w:t>
            </w:r>
          </w:p>
        </w:tc>
        <w:tc>
          <w:tcPr>
            <w:tcW w:w="14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0"/>
              </w:rPr>
              <w:t>Business Services</w:t>
            </w: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 xml:space="preserve">14.00% </w:t>
            </w:r>
            <w:r>
              <w:rPr>
                <w:rFonts w:ascii="Arial" w:cs="Arial" w:eastAsia="Arial" w:hAnsi="Arial"/>
                <w:sz w:val="8"/>
                <w:szCs w:val="8"/>
                <w:color w:val="auto"/>
              </w:rPr>
              <w:t>(6)</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1,200,000</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1,200,000</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1,142,398</w:t>
            </w:r>
          </w:p>
        </w:tc>
        <w:tc>
          <w:tcPr>
            <w:tcW w:w="0" w:type="dxa"/>
            <w:vAlign w:val="bottom"/>
          </w:tcPr>
          <w:p>
            <w:pPr>
              <w:spacing w:after="0"/>
              <w:rPr>
                <w:sz w:val="1"/>
                <w:szCs w:val="1"/>
                <w:color w:val="auto"/>
              </w:rPr>
            </w:pPr>
          </w:p>
        </w:tc>
      </w:tr>
      <w:tr>
        <w:trPr>
          <w:trHeight w:val="305"/>
        </w:trPr>
        <w:tc>
          <w:tcPr>
            <w:tcW w:w="2460" w:type="dxa"/>
            <w:vAlign w:val="bottom"/>
          </w:tcPr>
          <w:p>
            <w:pPr>
              <w:ind w:left="40"/>
              <w:spacing w:after="0"/>
              <w:rPr>
                <w:sz w:val="20"/>
                <w:szCs w:val="20"/>
                <w:color w:val="auto"/>
              </w:rPr>
            </w:pPr>
            <w:r>
              <w:rPr>
                <w:rFonts w:ascii="Arial" w:cs="Arial" w:eastAsia="Arial" w:hAnsi="Arial"/>
                <w:sz w:val="14"/>
                <w:szCs w:val="14"/>
                <w:b w:val="1"/>
                <w:bCs w:val="1"/>
                <w:color w:val="auto"/>
              </w:rPr>
              <w:t>Preferred Equity – 0.4%</w:t>
            </w:r>
            <w:r>
              <w:rPr>
                <w:rFonts w:ascii="Arial" w:cs="Arial" w:eastAsia="Arial" w:hAnsi="Arial"/>
                <w:sz w:val="8"/>
                <w:szCs w:val="8"/>
                <w:b w:val="1"/>
                <w:bCs w:val="1"/>
                <w:color w:val="auto"/>
              </w:rPr>
              <w:t>(7)</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SuttonPark Holdings, Inc.</w:t>
            </w:r>
          </w:p>
        </w:tc>
        <w:tc>
          <w:tcPr>
            <w:tcW w:w="11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0"/>
              </w:rPr>
              <w:t>Business Services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2,000,000</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1,505,602</w:t>
            </w:r>
          </w:p>
        </w:tc>
        <w:tc>
          <w:tcPr>
            <w:tcW w:w="0" w:type="dxa"/>
            <w:vAlign w:val="bottom"/>
          </w:tcPr>
          <w:p>
            <w:pPr>
              <w:spacing w:after="0"/>
              <w:rPr>
                <w:sz w:val="1"/>
                <w:szCs w:val="1"/>
                <w:color w:val="auto"/>
              </w:rPr>
            </w:pPr>
          </w:p>
        </w:tc>
      </w:tr>
      <w:tr>
        <w:trPr>
          <w:trHeight w:val="80"/>
        </w:trPr>
        <w:tc>
          <w:tcPr>
            <w:tcW w:w="24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2460" w:type="dxa"/>
            <w:vAlign w:val="bottom"/>
          </w:tcPr>
          <w:p>
            <w:pPr>
              <w:ind w:left="40"/>
              <w:spacing w:after="0"/>
              <w:rPr>
                <w:sz w:val="20"/>
                <w:szCs w:val="20"/>
                <w:color w:val="auto"/>
              </w:rPr>
            </w:pPr>
            <w:r>
              <w:rPr>
                <w:rFonts w:ascii="Arial" w:cs="Arial" w:eastAsia="Arial" w:hAnsi="Arial"/>
                <w:sz w:val="14"/>
                <w:szCs w:val="14"/>
                <w:b w:val="1"/>
                <w:bCs w:val="1"/>
                <w:color w:val="auto"/>
              </w:rPr>
              <w:t>Common Equity – 0.0%</w:t>
            </w:r>
            <w:r>
              <w:rPr>
                <w:rFonts w:ascii="Arial" w:cs="Arial" w:eastAsia="Arial" w:hAnsi="Arial"/>
                <w:sz w:val="8"/>
                <w:szCs w:val="8"/>
                <w:b w:val="1"/>
                <w:bCs w:val="1"/>
                <w:color w:val="auto"/>
              </w:rPr>
              <w:t>(7)</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SuttonPark Holdings, Inc.</w:t>
            </w:r>
          </w:p>
        </w:tc>
        <w:tc>
          <w:tcPr>
            <w:tcW w:w="11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0"/>
              </w:rPr>
              <w:t>Business Services</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79"/>
        </w:trPr>
        <w:tc>
          <w:tcPr>
            <w:tcW w:w="3620" w:type="dxa"/>
            <w:vAlign w:val="bottom"/>
            <w:gridSpan w:val="2"/>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w w:val="93"/>
              </w:rPr>
              <w:t>Investments in Controlled, Affiliated Portfolio Companies</w:t>
            </w:r>
          </w:p>
        </w:tc>
        <w:tc>
          <w:tcPr>
            <w:tcW w:w="13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8,000,100</w:t>
            </w: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8,000,100</w:t>
            </w:r>
          </w:p>
        </w:tc>
        <w:tc>
          <w:tcPr>
            <w:tcW w:w="0" w:type="dxa"/>
            <w:vAlign w:val="bottom"/>
          </w:tcPr>
          <w:p>
            <w:pPr>
              <w:spacing w:after="0"/>
              <w:rPr>
                <w:sz w:val="1"/>
                <w:szCs w:val="1"/>
                <w:color w:val="auto"/>
              </w:rPr>
            </w:pPr>
          </w:p>
        </w:tc>
      </w:tr>
      <w:tr>
        <w:trPr>
          <w:trHeight w:val="256"/>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Investments – 172.0%</w:t>
            </w:r>
          </w:p>
        </w:tc>
        <w:tc>
          <w:tcPr>
            <w:tcW w:w="1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656,708,503</w:t>
            </w:r>
          </w:p>
        </w:tc>
        <w:tc>
          <w:tcPr>
            <w:tcW w:w="26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664,724,406</w:t>
            </w:r>
          </w:p>
        </w:tc>
        <w:tc>
          <w:tcPr>
            <w:tcW w:w="0" w:type="dxa"/>
            <w:vAlign w:val="bottom"/>
          </w:tcPr>
          <w:p>
            <w:pPr>
              <w:spacing w:after="0"/>
              <w:rPr>
                <w:sz w:val="1"/>
                <w:szCs w:val="1"/>
                <w:color w:val="auto"/>
              </w:rPr>
            </w:pPr>
          </w:p>
        </w:tc>
      </w:tr>
      <w:tr>
        <w:trPr>
          <w:trHeight w:val="244"/>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and Cash Equivalents – 0.5%</w:t>
            </w:r>
          </w:p>
        </w:tc>
        <w:tc>
          <w:tcPr>
            <w:tcW w:w="116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1,814,451</w:t>
            </w:r>
          </w:p>
        </w:tc>
        <w:tc>
          <w:tcPr>
            <w:tcW w:w="24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1,814,451</w:t>
            </w: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1,814,451</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Total Investments and Cash and Cash Equivalents – 172.5%</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658,522,954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666,538,857</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Liabilities in Excess of Other Assets – (72.5%)</w:t>
            </w: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620" w:type="dxa"/>
            <w:vAlign w:val="bottom"/>
            <w:gridSpan w:val="2"/>
            <w:vMerge w:val="continue"/>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(279,963,634)</w:t>
            </w:r>
          </w:p>
        </w:tc>
        <w:tc>
          <w:tcPr>
            <w:tcW w:w="0" w:type="dxa"/>
            <w:vAlign w:val="bottom"/>
          </w:tcPr>
          <w:p>
            <w:pPr>
              <w:spacing w:after="0"/>
              <w:rPr>
                <w:sz w:val="1"/>
                <w:szCs w:val="1"/>
                <w:color w:val="auto"/>
              </w:rPr>
            </w:pPr>
          </w:p>
        </w:tc>
      </w:tr>
      <w:tr>
        <w:trPr>
          <w:trHeight w:val="263"/>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Assets – 100.0%</w:t>
            </w:r>
          </w:p>
        </w:tc>
        <w:tc>
          <w:tcPr>
            <w:tcW w:w="1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386,575,223</w:t>
            </w:r>
          </w:p>
        </w:tc>
        <w:tc>
          <w:tcPr>
            <w:tcW w:w="0" w:type="dxa"/>
            <w:vAlign w:val="bottom"/>
          </w:tcPr>
          <w:p>
            <w:pPr>
              <w:spacing w:after="0"/>
              <w:rPr>
                <w:sz w:val="1"/>
                <w:szCs w:val="1"/>
                <w:color w:val="auto"/>
              </w:rPr>
            </w:pPr>
          </w:p>
        </w:tc>
      </w:tr>
      <w:tr>
        <w:trPr>
          <w:trHeight w:val="20"/>
        </w:trPr>
        <w:tc>
          <w:tcPr>
            <w:tcW w:w="24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w:t>
            </w: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6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right="20" w:hanging="492"/>
        <w:spacing w:after="0" w:line="238" w:lineRule="auto"/>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500" w:hanging="492"/>
        <w:spacing w:after="0" w:line="238" w:lineRule="auto"/>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500" w:hanging="492"/>
        <w:spacing w:after="0" w:line="221"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Valued based on our valuation policy (See Note 2).</w:t>
      </w:r>
    </w:p>
    <w:p>
      <w:pPr>
        <w:ind w:left="500" w:hanging="492"/>
        <w:spacing w:after="0" w:line="221"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Prime Rate.</w:t>
      </w:r>
    </w:p>
    <w:p>
      <w:pPr>
        <w:ind w:left="500" w:hanging="492"/>
        <w:spacing w:after="0" w:line="221"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Security is exempt from or not subject to registration under Rule 144A promulgated under the Securities Act of 1933. The security may be resold in transactions that are exempt from registration, usually to qualified institutional buyers.</w:t>
      </w:r>
    </w:p>
    <w:p>
      <w:pPr>
        <w:ind w:left="500" w:hanging="492"/>
        <w:spacing w:after="0" w:line="221"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500" w:hanging="492"/>
        <w:spacing w:after="0" w:line="221"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500" w:hanging="492"/>
        <w:spacing w:after="0" w:line="221"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500" w:hanging="492"/>
        <w:spacing w:after="0" w:line="221"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7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PennantPark Investment Corporation was organized as a Maryland corporation on January 11, 2007. PennantPark Investment is a closed-end, externally managed, non-diversified investment company that has elected to be treated as a business development company under the Investment Company Act of 1940, as amended (the “1940 Act”). PennantPark Investment’s objective is to generate both current income and capital appreciation through debt and equity investments. PennantPark Investment invests primarily in U.S. middle-market companies in the form of senior secured loans, mezzanine debt and equity investments.</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April 24, 2007, PennantPark Investment closed its initial public offering and its common stock trades on the NASDAQ Global Select Market under the symbol “PNNT”. PennantPark Investment entered into an investment management agreement (the “Investment Management Agreement”) with PennantPark Investment Advisers, LLC (the “Investment Adviser” or “PennantPark Investment Advisers”), an external adviser that manages our day-to-day operations. PennantPark Investment also entered into an administration agreement (the “Administration Agreement”) with PennantPark Investment Administration, LLC (the “Administrator” or “PennantPark Investment Administration”) that provides the administrative services necessary for us to operate.</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PennantPark Investment, through the Investment Adviser, manages day-to-day operations of and provides investment advisory services to SBIC LP under a separate investment management agreement. PennantPark Investment, through the Administrator, also provides similar services to SBIC LP and our controlled affiliate SuttonPark Holdings, Inc. and its subsidiaries (“SPH”) under separate administration agreements. See Note 3.</w:t>
      </w:r>
    </w:p>
    <w:p>
      <w:pPr>
        <w:spacing w:after="0" w:line="111"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SBIC LP and its general partner, SBIC GP, were organized in Delaware as a limited partnership and a limited liability company, respectively, on May 7, 2010 and began operations on June 11, 2010. SBIC LP received a license from the Small Business Administration (“SBA”) to operate as a Small Business Investment Company (“SBIC”) effective July 30, 2010 under Section 301(c) of the Small Business Investment Act of 1958 (the “1958 Act”). Our subsidiaries are consolidated and wholly owned by PennantPark Investment. The SBIC LP’s investment objective is substantially similar to PennantPark Investment, generally co-investing in SBA eligible businesses that meet the investment criteria of PennantPark Investment.</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PennantPark Investment completed its initial public offering of common stock in 2007 and issued 21.0 million shares raising $294.1 million in net proceeds. Since PennantPark Investment’s initial public offering, it has sold 24.3 million shares of common stock through follow-on public offerings, resulting in net proceeds of $242.5 million. On February 11, 2011, PennantPark Investment sold 9.2 million shares in a follow-on public offering including the overallotment, resulting in net proceeds of $108.3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 of our consolidated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 all intercompany balances and transactions. References to the Accounting Standards Codification (“ASC”) serve as a single source of accounting literature. Subsequent events are evaluated and disclosed as appropriate for events occurring through the date the Consolidated Financial Statements are issued.</w:t>
      </w:r>
    </w:p>
    <w:p>
      <w:pPr>
        <w:spacing w:after="0" w:line="1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10-Q and Article 6 or 10 of Regulation S-X, as appropriate. In accordance with Article 6-09 of Regulation S-X under the Exchange Act, we have provided a Consolidated Statement of Changes in Net Assets in lieu of a Consolidated Statement of Changes in Stockholders’ Equity.</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JUNE 30,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available. Investments, of sufficient credit quality, purchased within 60 days of maturity are valued at cost plus accreted discount, or minus amortized premium, which approximates fair value.</w:t>
      </w:r>
    </w:p>
    <w:p>
      <w:pPr>
        <w:spacing w:after="0" w:line="11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w:t>
      </w:r>
    </w:p>
    <w:p>
      <w:pPr>
        <w:spacing w:after="0" w:line="1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16" w:lineRule="exact"/>
        <w:rPr>
          <w:sz w:val="20"/>
          <w:szCs w:val="20"/>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2" w:lineRule="exact"/>
        <w:rPr>
          <w:rFonts w:ascii="Arial" w:cs="Arial" w:eastAsia="Arial" w:hAnsi="Arial"/>
          <w:sz w:val="18"/>
          <w:szCs w:val="18"/>
          <w:color w:val="auto"/>
        </w:rPr>
      </w:pPr>
    </w:p>
    <w:p>
      <w:pPr>
        <w:ind w:left="660" w:hanging="328"/>
        <w:spacing w:after="0" w:line="342" w:lineRule="auto"/>
        <w:tabs>
          <w:tab w:leader="none" w:pos="6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3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and deferred financing costs are capitalized and we then accreted or amortized such amounts using the effective interest method as interest income or interest expense as it relates to our deferred financing costs. We record prepayment premiums on loans and debt investments as income. Dividend income, if any, is recognized on an accrual basis on the ex-dividend date to the extent that we expect to collect such amounts.</w:t>
      </w:r>
    </w:p>
    <w:p>
      <w:pPr>
        <w:spacing w:after="0" w:line="1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Loans are placed on non-accrual status when principal or interest payments are past due 30 days or more and/or when there is reasonable doubt that principal or interest will be collected. Accrued interest is generally reversed when a loan is placed on non-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JUNE 30,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Income Taxes</w:t>
      </w:r>
    </w:p>
    <w:p>
      <w:pPr>
        <w:spacing w:after="0" w:line="17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Since May 1, 2007, PennantPark Investment has complied with the requirements of Subchapter M of the Internal Revenue Code of 1986, as amended, (the “Code”), and expects to be subject to tax as a regulated investment company (“RIC”). As a result, PennantPark Investment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subject to tax as a RIC, we elected to retain a portion of our calendar year income and incurred an excise tax of $0.2 million and $0.1 million for the nine months ended June 30, 2011 and 2010, respectively. 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inception-to-date federal tax years remain subject to examination by the Internal Revenue Service.</w:t>
      </w:r>
    </w:p>
    <w:p>
      <w:pPr>
        <w:spacing w:after="0" w:line="118"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Book and tax basis differences relating to permanent book and tax differences are reclassified among PennantPark Investment’s capital accounts, as appropriate. Additionally, the tax characteristics of distributions are determined in accordance with income tax regulations that may differ from GAAP.</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17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Consolidation</w:t>
      </w:r>
    </w:p>
    <w:p>
      <w:pPr>
        <w:spacing w:after="0" w:line="77"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investment company subsidiaries in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PennantPark Investment’s Investment Management Agreement with the Investment Adviser was re-approved by our board of directors, including a majority of our independent directors of PennantPark Investment, in February 2011. Under the Investment Management Agreement the Investment Adviser, subject to the overall supervision of PennantPark Investment’s board of directors, manages the day-to-day operations of and provides investment advisory services to PennantPark Investment. SBIC LP’s investment management agreement does not affect the management or incentive fees that we pay to the Investment Adviser on a consolidated basis. For providing these services, the Investment Adviser receives a fee from PennantPark Investment, consisting of two components—a base management fee and an incentive fee (collectively, “Management Fees”).</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base management fee is calculated at an annual rate of 2.00% on PennantPark Investment’s “average adjusted gross assets” (net of U.S. Treasury Bills and/or temporary draws, if any, on the Credit Facility, as defined in Note 10). The base management fee is 2.00%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the three and nine months ended June 30, 2011, the Investment Adviser earned a base management fee of $3.8 million and $10.9 million, respectively, from us. For the three and nine months ended June 30, 2010, the Investment Adviser earned a base management fee of $3.0 million and $8.3 million, respectively, from us.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JUNE 30,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3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and nine months ended June 30, 2011, the Investment Adviser earned an incentive fee of $3.3 million and $9.4 million, respectively from us on net investment income. For the three and nine months ended June 30, 2010, the Investment Adviser earned an incentive fee of $2.2 million and $5.8 million, respectively from us on net investment income. As of June 30, 2011, our unrealized capital gains did not exceed our cumulative realized and unrealized capital losses.</w:t>
      </w:r>
    </w:p>
    <w:p>
      <w:pPr>
        <w:spacing w:after="0" w:line="17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PennantPark Investment's Administration Agreement with the Administrator was re-approved by our board of directors, including a majority of our independent directors, in February 2011. Under the Administration Agreement PennantPark Investment Administration provides administrative services for PennantPark Investment. The Administrator provides similar services to SBIC LP under its administration agreement with PennantPark Investment.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three and nine months ended June 30, 2011, the Investment Adviser was reimbursed $0.3 million and $2.2 million, respectively, from us, including expenses it incurred on behalf of the Administrator, for services described above. For the three and nine months ended June 30, 2010, the Investment Adviser was reimbursed $0.3 million and $1.8 million, respectively, from us, including expenses it incurred on behalf of the Administrator.</w:t>
      </w:r>
    </w:p>
    <w:p>
      <w:pPr>
        <w:spacing w:after="0" w:line="179"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PennantPark Investment entered into an administration agreement with its controlled affiliate SPH. Under the administration agreement with SPH,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duties,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respective staff. For the nine months ended June 30, 2011, PennantPark Investment was reimbursed $0.4 million for such services.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JUNE 30,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4"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Purchases of long-term investments including PIK for the three and nine months ended June 30, 2011 totaled $147.8 million and $349.5 million, respectively. For the same period in the prior year, purchases of long-term investments including PIK totaled $94.9 million and $217.3 million, respectively. Sales and repayments of long-term investments for the three and nine months ended June 30, 2011 totaled $119.3 million and $256.4 million, respectively. For the same period in the prior year, sales and repayments of long-term investments totaled $59.2 million and $82.7 million, respectively.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September 30, 2010</w:t>
            </w:r>
          </w:p>
        </w:tc>
      </w:tr>
      <w:tr>
        <w:trPr>
          <w:trHeight w:val="263"/>
        </w:trPr>
        <w:tc>
          <w:tcPr>
            <w:tcW w:w="4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22"/>
                <w:szCs w:val="22"/>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22"/>
                <w:szCs w:val="22"/>
                <w:color w:val="auto"/>
              </w:rPr>
            </w:pPr>
          </w:p>
        </w:tc>
        <w:tc>
          <w:tcPr>
            <w:tcW w:w="1160" w:type="dxa"/>
            <w:vAlign w:val="bottom"/>
          </w:tcPr>
          <w:p>
            <w:pPr>
              <w:jc w:val="right"/>
              <w:ind w:right="292"/>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lien</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293,646,536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299,007,924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236,707,418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234,595,683</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Second lien</w:t>
            </w:r>
          </w:p>
        </w:tc>
        <w:tc>
          <w:tcPr>
            <w:tcW w:w="36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146,796,555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127,282,377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159,611,934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156,671,151</w:t>
            </w:r>
          </w:p>
        </w:tc>
      </w:tr>
      <w:tr>
        <w:trPr>
          <w:trHeight w:val="27"/>
        </w:trPr>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Subordinated debt / corporate notes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278,597,272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284,550,605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220,149,211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223,969,304</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Preferred equity</w:t>
            </w:r>
          </w:p>
        </w:tc>
        <w:tc>
          <w:tcPr>
            <w:tcW w:w="36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16,405,427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15,940,004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11,894,692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9,271,682</w:t>
            </w:r>
          </w:p>
        </w:tc>
      </w:tr>
      <w:tr>
        <w:trPr>
          <w:trHeight w:val="27"/>
        </w:trPr>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equity</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28,431,706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52,163,048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28,345,248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40,216,586</w:t>
            </w: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763,877,496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778,943,958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656,708,503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664,724,406</w:t>
            </w:r>
          </w:p>
        </w:tc>
      </w:tr>
      <w:tr>
        <w:trPr>
          <w:trHeight w:val="27"/>
        </w:trPr>
        <w:tc>
          <w:tcPr>
            <w:tcW w:w="4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28,808,966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28,808,966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1,814,451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1,814,451</w:t>
            </w: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Total Investments and cash equivalents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792,686,462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807,752,924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658,522,954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666,538,857</w:t>
            </w:r>
          </w:p>
        </w:tc>
      </w:tr>
      <w:tr>
        <w:trPr>
          <w:trHeight w:val="27"/>
        </w:trPr>
        <w:tc>
          <w:tcPr>
            <w:tcW w:w="4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June 30, 2011 and September 30, 2010.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Industry Classification</w:t>
            </w:r>
          </w:p>
        </w:tc>
        <w:tc>
          <w:tcPr>
            <w:tcW w:w="200" w:type="dxa"/>
            <w:vAlign w:val="bottom"/>
          </w:tcPr>
          <w:p>
            <w:pPr>
              <w:spacing w:after="0"/>
              <w:rPr>
                <w:sz w:val="20"/>
                <w:szCs w:val="20"/>
                <w:color w:val="auto"/>
              </w:rPr>
            </w:pPr>
          </w:p>
        </w:tc>
        <w:tc>
          <w:tcPr>
            <w:tcW w:w="1780" w:type="dxa"/>
            <w:vAlign w:val="bottom"/>
            <w:gridSpan w:val="2"/>
          </w:tcPr>
          <w:p>
            <w:pPr>
              <w:ind w:left="320"/>
              <w:spacing w:after="0"/>
              <w:rPr>
                <w:sz w:val="20"/>
                <w:szCs w:val="20"/>
                <w:color w:val="auto"/>
              </w:rPr>
            </w:pPr>
            <w:r>
              <w:rPr>
                <w:rFonts w:ascii="Arial" w:cs="Arial" w:eastAsia="Arial" w:hAnsi="Arial"/>
                <w:sz w:val="18"/>
                <w:szCs w:val="18"/>
                <w:b w:val="1"/>
                <w:bCs w:val="1"/>
                <w:color w:val="auto"/>
              </w:rPr>
              <w:t>June 30, 2011</w:t>
            </w:r>
          </w:p>
        </w:tc>
        <w:tc>
          <w:tcPr>
            <w:tcW w:w="228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September 30, 2010</w:t>
            </w:r>
          </w:p>
        </w:tc>
      </w:tr>
      <w:tr>
        <w:trPr>
          <w:trHeight w:val="27"/>
        </w:trPr>
        <w:tc>
          <w:tcPr>
            <w:tcW w:w="6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Services</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Healthcare, Education &amp; Childcare</w:t>
            </w:r>
          </w:p>
        </w:tc>
        <w:tc>
          <w:tcPr>
            <w:tcW w:w="186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8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Products</w:t>
            </w:r>
          </w:p>
        </w:tc>
        <w:tc>
          <w:tcPr>
            <w:tcW w:w="18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Oil &amp; Gas</w:t>
            </w:r>
          </w:p>
        </w:tc>
        <w:tc>
          <w:tcPr>
            <w:tcW w:w="186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8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Cargo Transport</w:t>
            </w:r>
          </w:p>
        </w:tc>
        <w:tc>
          <w:tcPr>
            <w:tcW w:w="18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Aerospace and Defense</w:t>
            </w:r>
          </w:p>
        </w:tc>
        <w:tc>
          <w:tcPr>
            <w:tcW w:w="186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8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Chemicals, Plastic and Rubber</w:t>
            </w:r>
          </w:p>
        </w:tc>
        <w:tc>
          <w:tcPr>
            <w:tcW w:w="18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Other Media</w:t>
            </w:r>
          </w:p>
        </w:tc>
        <w:tc>
          <w:tcPr>
            <w:tcW w:w="186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8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Personal, Food and Miscellaneous Services</w:t>
            </w:r>
          </w:p>
        </w:tc>
        <w:tc>
          <w:tcPr>
            <w:tcW w:w="18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Printing and Publishing</w:t>
            </w:r>
          </w:p>
        </w:tc>
        <w:tc>
          <w:tcPr>
            <w:tcW w:w="186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8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18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Buildings and Real Estate</w:t>
            </w:r>
          </w:p>
        </w:tc>
        <w:tc>
          <w:tcPr>
            <w:tcW w:w="186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8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Electronics</w:t>
            </w:r>
          </w:p>
        </w:tc>
        <w:tc>
          <w:tcPr>
            <w:tcW w:w="18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Energy / Utilities</w:t>
            </w:r>
          </w:p>
        </w:tc>
        <w:tc>
          <w:tcPr>
            <w:tcW w:w="186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8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Services</w:t>
            </w:r>
          </w:p>
        </w:tc>
        <w:tc>
          <w:tcPr>
            <w:tcW w:w="18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Mining, Steel, Iron, and Non-Precious Metals</w:t>
            </w:r>
          </w:p>
        </w:tc>
        <w:tc>
          <w:tcPr>
            <w:tcW w:w="186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Personal Transportation</w:t>
            </w:r>
          </w:p>
        </w:tc>
        <w:tc>
          <w:tcPr>
            <w:tcW w:w="18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Diversified/Conglomerate Services</w:t>
            </w:r>
          </w:p>
        </w:tc>
        <w:tc>
          <w:tcPr>
            <w:tcW w:w="186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8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Hotels, Motels, Inns and Gaming</w:t>
            </w:r>
          </w:p>
        </w:tc>
        <w:tc>
          <w:tcPr>
            <w:tcW w:w="18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Leisure, Amusement, Motion Picture, Entertainment</w:t>
            </w:r>
          </w:p>
        </w:tc>
        <w:tc>
          <w:tcPr>
            <w:tcW w:w="186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8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18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Home and Office Furnishings, Housewares, and Durable Consumer Products</w:t>
            </w:r>
          </w:p>
        </w:tc>
        <w:tc>
          <w:tcPr>
            <w:tcW w:w="186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8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Telecommunications</w:t>
            </w:r>
          </w:p>
        </w:tc>
        <w:tc>
          <w:tcPr>
            <w:tcW w:w="18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Insurance</w:t>
            </w:r>
          </w:p>
        </w:tc>
        <w:tc>
          <w:tcPr>
            <w:tcW w:w="200" w:type="dxa"/>
            <w:vAlign w:val="bottom"/>
          </w:tcPr>
          <w:p>
            <w:pPr>
              <w:spacing w:after="0"/>
              <w:rPr>
                <w:sz w:val="21"/>
                <w:szCs w:val="21"/>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Grocery</w:t>
            </w:r>
          </w:p>
        </w:tc>
        <w:tc>
          <w:tcPr>
            <w:tcW w:w="200" w:type="dxa"/>
            <w:vAlign w:val="bottom"/>
          </w:tcPr>
          <w:p>
            <w:pPr>
              <w:spacing w:after="0"/>
              <w:rPr>
                <w:sz w:val="21"/>
                <w:szCs w:val="21"/>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36"/>
        </w:trPr>
        <w:tc>
          <w:tcPr>
            <w:tcW w:w="6380" w:type="dxa"/>
            <w:vAlign w:val="bottom"/>
          </w:tcPr>
          <w:p>
            <w:pPr>
              <w:ind w:left="40"/>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ectPr>
          <w:pgSz w:w="11900" w:h="16838" w:orient="portrait"/>
          <w:cols w:equalWidth="0" w:num="1">
            <w:col w:w="11240"/>
          </w:cols>
          <w:pgMar w:left="320" w:top="125" w:right="339" w:bottom="1114"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25" w:right="339" w:bottom="1114"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60" w:right="2680"/>
        <w:spacing w:after="0" w:line="250"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JUNE 30, 2011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7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at the reporting period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00" w:lineRule="exact"/>
        <w:rPr>
          <w:sz w:val="20"/>
          <w:szCs w:val="20"/>
          <w:color w:val="auto"/>
        </w:rPr>
      </w:pPr>
    </w:p>
    <w:p>
      <w:pPr>
        <w:ind w:left="80" w:right="60" w:firstLine="567"/>
        <w:spacing w:after="0" w:line="263"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5" w:lineRule="exact"/>
        <w:rPr>
          <w:sz w:val="20"/>
          <w:szCs w:val="20"/>
          <w:color w:val="auto"/>
        </w:rPr>
      </w:pPr>
    </w:p>
    <w:p>
      <w:pPr>
        <w:ind w:left="80" w:right="20" w:firstLine="567"/>
        <w:spacing w:after="0" w:line="277"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long-term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are available, such information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37"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 for an investment. Ongoing reviews by the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5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2011, our ability to observe valuation inputs has resulted in a reclassification of assets from Level 3 to Level 2. There were no investments transferred between Levels 1 and 2 for the nine months ended June 30, 2011.</w:t>
      </w:r>
    </w:p>
    <w:p>
      <w:pPr>
        <w:spacing w:after="0" w:line="147"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In addition to using the above inputs in cash equivalents, investments and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JUNE 30,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At June 30, 2011 and September 30, 2010, our cash equivalents, investments and our long-term Credit Facility were categorized as follows in the fair value hierarchy for ASC 820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 and debt 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710,840,906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29,728,163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681,112,743</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Equity investments</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68,103,052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7,138,100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60,964,952</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778,943,958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7,138,100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29,728,163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742,077,695</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28,808,966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28,808,966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Investments and cash equivalents</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807,752,924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35,947,066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29,728,163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742,077,695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Long-Term Credit Facility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gridSpan w:val="2"/>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(134,649,500)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(134,649,500)</w:t>
            </w:r>
          </w:p>
        </w:tc>
        <w:tc>
          <w:tcPr>
            <w:tcW w:w="0" w:type="dxa"/>
            <w:vAlign w:val="bottom"/>
          </w:tcPr>
          <w:p>
            <w:pPr>
              <w:spacing w:after="0"/>
              <w:rPr>
                <w:sz w:val="1"/>
                <w:szCs w:val="1"/>
                <w:color w:val="auto"/>
              </w:rPr>
            </w:pPr>
          </w:p>
        </w:tc>
      </w:tr>
      <w:tr>
        <w:trPr>
          <w:trHeight w:val="27"/>
        </w:trPr>
        <w:tc>
          <w:tcPr>
            <w:tcW w:w="5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September 30, 2010</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4"/>
                <w:szCs w:val="14"/>
                <w:b w:val="1"/>
                <w:bCs w:val="1"/>
                <w:color w:val="auto"/>
              </w:rPr>
              <w:t>Level 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Loan and debt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615,236,138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615,236,138</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49,488,268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4,350,440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45,137,828</w:t>
            </w:r>
          </w:p>
        </w:tc>
        <w:tc>
          <w:tcPr>
            <w:tcW w:w="0" w:type="dxa"/>
            <w:vAlign w:val="bottom"/>
          </w:tcPr>
          <w:p>
            <w:pPr>
              <w:spacing w:after="0"/>
              <w:rPr>
                <w:sz w:val="1"/>
                <w:szCs w:val="1"/>
                <w:color w:val="auto"/>
              </w:rPr>
            </w:pPr>
          </w:p>
        </w:tc>
      </w:tr>
      <w:tr>
        <w:trPr>
          <w:trHeight w:val="237"/>
        </w:trPr>
        <w:tc>
          <w:tcPr>
            <w:tcW w:w="5080" w:type="dxa"/>
            <w:vAlign w:val="bottom"/>
            <w:gridSpan w:val="2"/>
          </w:tcPr>
          <w:p>
            <w:pPr>
              <w:ind w:left="380"/>
              <w:spacing w:after="0"/>
              <w:rPr>
                <w:sz w:val="20"/>
                <w:szCs w:val="20"/>
                <w:color w:val="auto"/>
              </w:rPr>
            </w:pPr>
            <w:r>
              <w:rPr>
                <w:rFonts w:ascii="Arial" w:cs="Arial" w:eastAsia="Arial" w:hAnsi="Arial"/>
                <w:sz w:val="18"/>
                <w:szCs w:val="18"/>
                <w:color w:val="auto"/>
              </w:rPr>
              <w:t>Total Investments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664,724,406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4,350,440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660,373,966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1,814,451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1,814,451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80" w:type="dxa"/>
            <w:vAlign w:val="bottom"/>
            <w:gridSpan w:val="2"/>
          </w:tcPr>
          <w:p>
            <w:pPr>
              <w:ind w:left="380"/>
              <w:spacing w:after="0"/>
              <w:rPr>
                <w:sz w:val="20"/>
                <w:szCs w:val="20"/>
                <w:color w:val="auto"/>
              </w:rPr>
            </w:pPr>
            <w:r>
              <w:rPr>
                <w:rFonts w:ascii="Arial" w:cs="Arial" w:eastAsia="Arial" w:hAnsi="Arial"/>
                <w:sz w:val="18"/>
                <w:szCs w:val="18"/>
                <w:color w:val="auto"/>
              </w:rPr>
              <w:t>Total Investments and cash equivalents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666,538,857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6,164,891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660,373,966</w:t>
            </w:r>
          </w:p>
        </w:tc>
        <w:tc>
          <w:tcPr>
            <w:tcW w:w="0" w:type="dxa"/>
            <w:vAlign w:val="bottom"/>
          </w:tcPr>
          <w:p>
            <w:pPr>
              <w:spacing w:after="0"/>
              <w:rPr>
                <w:sz w:val="1"/>
                <w:szCs w:val="1"/>
                <w:color w:val="auto"/>
              </w:rPr>
            </w:pPr>
          </w:p>
        </w:tc>
      </w:tr>
      <w:tr>
        <w:trPr>
          <w:trHeight w:val="67"/>
        </w:trPr>
        <w:tc>
          <w:tcPr>
            <w:tcW w:w="49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0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Long-Term Credit Facility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(213,941,125)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(213,941,125)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nine months ended June 30, 2011 and 2010: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Ended June 30, 2011</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ind w:left="240"/>
              <w:spacing w:after="0"/>
              <w:rPr>
                <w:sz w:val="20"/>
                <w:szCs w:val="20"/>
                <w:color w:val="auto"/>
              </w:rPr>
            </w:pPr>
            <w:r>
              <w:rPr>
                <w:rFonts w:ascii="Arial" w:cs="Arial" w:eastAsia="Arial" w:hAnsi="Arial"/>
                <w:sz w:val="14"/>
                <w:szCs w:val="14"/>
                <w:b w:val="1"/>
                <w:bCs w:val="1"/>
                <w:color w:val="auto"/>
              </w:rPr>
              <w:t>Loan and debt</w:t>
            </w:r>
          </w:p>
        </w:tc>
        <w:tc>
          <w:tcPr>
            <w:tcW w:w="380" w:type="dxa"/>
            <w:vAlign w:val="bottom"/>
          </w:tcPr>
          <w:p>
            <w:pPr>
              <w:spacing w:after="0"/>
              <w:rPr>
                <w:sz w:val="14"/>
                <w:szCs w:val="14"/>
                <w:color w:val="auto"/>
              </w:rPr>
            </w:pPr>
          </w:p>
        </w:tc>
        <w:tc>
          <w:tcPr>
            <w:tcW w:w="1760" w:type="dxa"/>
            <w:vAlign w:val="bottom"/>
            <w:gridSpan w:val="2"/>
          </w:tcPr>
          <w:p>
            <w:pPr>
              <w:ind w:left="420"/>
              <w:spacing w:after="0"/>
              <w:rPr>
                <w:sz w:val="20"/>
                <w:szCs w:val="20"/>
                <w:color w:val="auto"/>
              </w:rPr>
            </w:pPr>
            <w:r>
              <w:rPr>
                <w:rFonts w:ascii="Arial" w:cs="Arial" w:eastAsia="Arial" w:hAnsi="Arial"/>
                <w:sz w:val="14"/>
                <w:szCs w:val="14"/>
                <w:b w:val="1"/>
                <w:bCs w:val="1"/>
                <w:color w:val="auto"/>
              </w:rPr>
              <w:t>Equity</w:t>
            </w:r>
          </w:p>
        </w:tc>
        <w:tc>
          <w:tcPr>
            <w:tcW w:w="460" w:type="dxa"/>
            <w:vAlign w:val="bottom"/>
          </w:tcPr>
          <w:p>
            <w:pPr>
              <w:spacing w:after="0"/>
              <w:rPr>
                <w:sz w:val="14"/>
                <w:szCs w:val="14"/>
                <w:color w:val="auto"/>
              </w:rPr>
            </w:pPr>
          </w:p>
        </w:tc>
        <w:tc>
          <w:tcPr>
            <w:tcW w:w="1560" w:type="dxa"/>
            <w:vAlign w:val="bottom"/>
            <w:vMerge w:val="restart"/>
          </w:tcPr>
          <w:p>
            <w:pPr>
              <w:jc w:val="right"/>
              <w:ind w:right="73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 September 30, 2010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615,236,138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45,137,828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660,373,966</w:t>
            </w:r>
          </w:p>
        </w:tc>
        <w:tc>
          <w:tcPr>
            <w:tcW w:w="0" w:type="dxa"/>
            <w:vAlign w:val="bottom"/>
          </w:tcPr>
          <w:p>
            <w:pPr>
              <w:spacing w:after="0"/>
              <w:rPr>
                <w:sz w:val="1"/>
                <w:szCs w:val="1"/>
                <w:color w:val="auto"/>
              </w:rPr>
            </w:pPr>
          </w:p>
        </w:tc>
      </w:tr>
      <w:tr>
        <w:trPr>
          <w:trHeight w:val="243"/>
        </w:trPr>
        <w:tc>
          <w:tcPr>
            <w:tcW w:w="4940" w:type="dxa"/>
            <w:vAlign w:val="bottom"/>
            <w:gridSpan w:val="2"/>
          </w:tcPr>
          <w:p>
            <w:pPr>
              <w:ind w:left="380"/>
              <w:spacing w:after="0"/>
              <w:rPr>
                <w:sz w:val="20"/>
                <w:szCs w:val="20"/>
                <w:color w:val="auto"/>
              </w:rPr>
            </w:pPr>
            <w:r>
              <w:rPr>
                <w:rFonts w:ascii="Arial" w:cs="Arial" w:eastAsia="Arial" w:hAnsi="Arial"/>
                <w:sz w:val="18"/>
                <w:szCs w:val="18"/>
                <w:color w:val="auto"/>
              </w:rPr>
              <w:t>Realized gains</w:t>
            </w:r>
          </w:p>
        </w:tc>
        <w:tc>
          <w:tcPr>
            <w:tcW w:w="340" w:type="dxa"/>
            <w:vAlign w:val="bottom"/>
          </w:tcPr>
          <w:p>
            <w:pPr>
              <w:spacing w:after="0"/>
              <w:rPr>
                <w:sz w:val="21"/>
                <w:szCs w:val="21"/>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8,735,698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8,735,698</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Unrealized appreciation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(7,996,465)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11,229,930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3,233,465</w:t>
            </w:r>
          </w:p>
        </w:tc>
        <w:tc>
          <w:tcPr>
            <w:tcW w:w="0" w:type="dxa"/>
            <w:vAlign w:val="bottom"/>
          </w:tcPr>
          <w:p>
            <w:pPr>
              <w:spacing w:after="0"/>
              <w:rPr>
                <w:sz w:val="1"/>
                <w:szCs w:val="1"/>
                <w:color w:val="auto"/>
              </w:rPr>
            </w:pPr>
          </w:p>
        </w:tc>
      </w:tr>
      <w:tr>
        <w:trPr>
          <w:trHeight w:val="243"/>
        </w:trPr>
        <w:tc>
          <w:tcPr>
            <w:tcW w:w="4940" w:type="dxa"/>
            <w:vAlign w:val="bottom"/>
            <w:gridSpan w:val="2"/>
          </w:tcPr>
          <w:p>
            <w:pPr>
              <w:ind w:left="380"/>
              <w:spacing w:after="0"/>
              <w:rPr>
                <w:sz w:val="20"/>
                <w:szCs w:val="20"/>
                <w:color w:val="auto"/>
              </w:rPr>
            </w:pPr>
            <w:r>
              <w:rPr>
                <w:rFonts w:ascii="Arial" w:cs="Arial" w:eastAsia="Arial" w:hAnsi="Arial"/>
                <w:sz w:val="18"/>
                <w:szCs w:val="18"/>
                <w:color w:val="auto"/>
              </w:rPr>
              <w:t>Purchases, PIK and net discount accretion</w:t>
            </w:r>
          </w:p>
        </w:tc>
        <w:tc>
          <w:tcPr>
            <w:tcW w:w="340" w:type="dxa"/>
            <w:vAlign w:val="bottom"/>
          </w:tcPr>
          <w:p>
            <w:pPr>
              <w:spacing w:after="0"/>
              <w:rPr>
                <w:sz w:val="21"/>
                <w:szCs w:val="21"/>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349,129,365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5,664,360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354,793,725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Sales / repayments</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(255,345,930)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(1,067,166)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(256,413,096)</w:t>
            </w:r>
          </w:p>
        </w:tc>
        <w:tc>
          <w:tcPr>
            <w:tcW w:w="0" w:type="dxa"/>
            <w:vAlign w:val="bottom"/>
          </w:tcPr>
          <w:p>
            <w:pPr>
              <w:spacing w:after="0"/>
              <w:rPr>
                <w:sz w:val="1"/>
                <w:szCs w:val="1"/>
                <w:color w:val="auto"/>
              </w:rPr>
            </w:pPr>
          </w:p>
        </w:tc>
      </w:tr>
      <w:tr>
        <w:trPr>
          <w:trHeight w:val="243"/>
        </w:trPr>
        <w:tc>
          <w:tcPr>
            <w:tcW w:w="4940" w:type="dxa"/>
            <w:vAlign w:val="bottom"/>
            <w:gridSpan w:val="2"/>
          </w:tcPr>
          <w:p>
            <w:pPr>
              <w:ind w:left="380"/>
              <w:spacing w:after="0"/>
              <w:rPr>
                <w:sz w:val="20"/>
                <w:szCs w:val="20"/>
                <w:color w:val="auto"/>
              </w:rPr>
            </w:pPr>
            <w:r>
              <w:rPr>
                <w:rFonts w:ascii="Arial" w:cs="Arial" w:eastAsia="Arial" w:hAnsi="Arial"/>
                <w:sz w:val="18"/>
                <w:szCs w:val="18"/>
                <w:color w:val="auto"/>
              </w:rPr>
              <w:t>Non-cash exchanges</w:t>
            </w:r>
          </w:p>
        </w:tc>
        <w:tc>
          <w:tcPr>
            <w:tcW w:w="3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Transfers out of Level 3</w:t>
            </w:r>
          </w:p>
        </w:tc>
        <w:tc>
          <w:tcPr>
            <w:tcW w:w="3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(28,646,063)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(28,646,063)</w:t>
            </w:r>
          </w:p>
        </w:tc>
        <w:tc>
          <w:tcPr>
            <w:tcW w:w="0" w:type="dxa"/>
            <w:vAlign w:val="bottom"/>
          </w:tcPr>
          <w:p>
            <w:pPr>
              <w:spacing w:after="0"/>
              <w:rPr>
                <w:sz w:val="1"/>
                <w:szCs w:val="1"/>
                <w:color w:val="auto"/>
              </w:rPr>
            </w:pPr>
          </w:p>
        </w:tc>
      </w:tr>
      <w:tr>
        <w:trPr>
          <w:trHeight w:val="237"/>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Ending Balance, June 30, 2011</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681,112,743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60,964,952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742,077,695</w:t>
            </w:r>
          </w:p>
        </w:tc>
        <w:tc>
          <w:tcPr>
            <w:tcW w:w="0" w:type="dxa"/>
            <w:vAlign w:val="bottom"/>
          </w:tcPr>
          <w:p>
            <w:pPr>
              <w:spacing w:after="0"/>
              <w:rPr>
                <w:sz w:val="1"/>
                <w:szCs w:val="1"/>
                <w:color w:val="auto"/>
              </w:rPr>
            </w:pPr>
          </w:p>
        </w:tc>
      </w:tr>
      <w:tr>
        <w:trPr>
          <w:trHeight w:val="67"/>
        </w:trPr>
        <w:tc>
          <w:tcPr>
            <w:tcW w:w="48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940" w:type="dxa"/>
            <w:vAlign w:val="bottom"/>
            <w:gridSpan w:val="2"/>
            <w:shd w:val="clear" w:color="auto" w:fill="CCEEFF"/>
          </w:tcPr>
          <w:p>
            <w:pPr>
              <w:ind w:left="40"/>
              <w:spacing w:after="0" w:line="182" w:lineRule="exact"/>
              <w:rPr>
                <w:sz w:val="20"/>
                <w:szCs w:val="20"/>
                <w:color w:val="auto"/>
              </w:rPr>
            </w:pPr>
            <w:r>
              <w:rPr>
                <w:rFonts w:ascii="Arial" w:cs="Arial" w:eastAsia="Arial" w:hAnsi="Arial"/>
                <w:sz w:val="18"/>
                <w:szCs w:val="18"/>
                <w:color w:val="auto"/>
                <w:w w:val="95"/>
              </w:rPr>
              <w:t>Net change in unrealized (depreciation) appreciation for the nine</w:t>
            </w:r>
          </w:p>
        </w:tc>
        <w:tc>
          <w:tcPr>
            <w:tcW w:w="3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months ended June 30, 2011 reported within the net change in</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unrealized (depreciation) appreciation on investments in our</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Consolidated Statement of Operations that are attributable to our</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Level 3 assets still held at the reporting date.</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(1,066,913)</w:t>
            </w:r>
          </w:p>
        </w:tc>
        <w:tc>
          <w:tcPr>
            <w:tcW w:w="100" w:type="dxa"/>
            <w:vAlign w:val="bottom"/>
            <w:shd w:val="clear" w:color="auto" w:fill="CCEEFF"/>
          </w:tcPr>
          <w:p>
            <w:pPr>
              <w:spacing w:after="0"/>
              <w:rPr>
                <w:sz w:val="20"/>
                <w:szCs w:val="20"/>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11,234,463</w:t>
            </w:r>
          </w:p>
        </w:tc>
        <w:tc>
          <w:tcPr>
            <w:tcW w:w="120" w:type="dxa"/>
            <w:vAlign w:val="bottom"/>
            <w:shd w:val="clear" w:color="auto" w:fill="CCEEFF"/>
          </w:tcPr>
          <w:p>
            <w:pPr>
              <w:spacing w:after="0"/>
              <w:rPr>
                <w:sz w:val="20"/>
                <w:szCs w:val="20"/>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10,167,550</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vMerge w:val="continue"/>
            <w:shd w:val="clear" w:color="auto" w:fill="CCEEFF"/>
          </w:tcPr>
          <w:p>
            <w:pPr>
              <w:spacing w:after="0"/>
              <w:rPr>
                <w:sz w:val="19"/>
                <w:szCs w:val="19"/>
                <w:color w:val="auto"/>
              </w:rPr>
            </w:pPr>
          </w:p>
        </w:tc>
        <w:tc>
          <w:tcPr>
            <w:tcW w:w="17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vMerge w:val="continue"/>
            <w:shd w:val="clear" w:color="auto" w:fill="CCEEFF"/>
          </w:tcPr>
          <w:p>
            <w:pPr>
              <w:spacing w:after="0"/>
              <w:rPr>
                <w:sz w:val="19"/>
                <w:szCs w:val="19"/>
                <w:color w:val="auto"/>
              </w:rPr>
            </w:pPr>
          </w:p>
        </w:tc>
        <w:tc>
          <w:tcPr>
            <w:tcW w:w="16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vMerge w:val="continue"/>
            <w:shd w:val="clear" w:color="auto" w:fill="CCEEFF"/>
          </w:tcPr>
          <w:p>
            <w:pPr>
              <w:spacing w:after="0"/>
              <w:rPr>
                <w:sz w:val="19"/>
                <w:szCs w:val="19"/>
                <w:color w:val="auto"/>
              </w:rPr>
            </w:pPr>
          </w:p>
        </w:tc>
        <w:tc>
          <w:tcPr>
            <w:tcW w:w="15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JUNE 30,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Ended June 30, 2010</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4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Loan and debt</w:t>
            </w:r>
          </w:p>
        </w:tc>
        <w:tc>
          <w:tcPr>
            <w:tcW w:w="320" w:type="dxa"/>
            <w:vAlign w:val="bottom"/>
          </w:tcPr>
          <w:p>
            <w:pPr>
              <w:spacing w:after="0"/>
              <w:rPr>
                <w:sz w:val="14"/>
                <w:szCs w:val="14"/>
                <w:color w:val="auto"/>
              </w:rPr>
            </w:pPr>
          </w:p>
        </w:tc>
        <w:tc>
          <w:tcPr>
            <w:tcW w:w="1580" w:type="dxa"/>
            <w:vAlign w:val="bottom"/>
            <w:gridSpan w:val="2"/>
          </w:tcPr>
          <w:p>
            <w:pPr>
              <w:ind w:left="380"/>
              <w:spacing w:after="0"/>
              <w:rPr>
                <w:sz w:val="20"/>
                <w:szCs w:val="20"/>
                <w:color w:val="auto"/>
              </w:rPr>
            </w:pPr>
            <w:r>
              <w:rPr>
                <w:rFonts w:ascii="Arial" w:cs="Arial" w:eastAsia="Arial" w:hAnsi="Arial"/>
                <w:sz w:val="14"/>
                <w:szCs w:val="14"/>
                <w:b w:val="1"/>
                <w:bCs w:val="1"/>
                <w:color w:val="auto"/>
              </w:rPr>
              <w:t>Equity</w:t>
            </w:r>
          </w:p>
        </w:tc>
        <w:tc>
          <w:tcPr>
            <w:tcW w:w="420" w:type="dxa"/>
            <w:vAlign w:val="bottom"/>
          </w:tcPr>
          <w:p>
            <w:pPr>
              <w:spacing w:after="0"/>
              <w:rPr>
                <w:sz w:val="14"/>
                <w:szCs w:val="14"/>
                <w:color w:val="auto"/>
              </w:rPr>
            </w:pPr>
          </w:p>
        </w:tc>
        <w:tc>
          <w:tcPr>
            <w:tcW w:w="138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 September 30, 2009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442,128,049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27,632,024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43"/>
        </w:trPr>
        <w:tc>
          <w:tcPr>
            <w:tcW w:w="5640" w:type="dxa"/>
            <w:vAlign w:val="bottom"/>
            <w:gridSpan w:val="2"/>
          </w:tcPr>
          <w:p>
            <w:pPr>
              <w:ind w:left="380"/>
              <w:spacing w:after="0"/>
              <w:rPr>
                <w:sz w:val="20"/>
                <w:szCs w:val="20"/>
                <w:color w:val="auto"/>
              </w:rPr>
            </w:pPr>
            <w:r>
              <w:rPr>
                <w:rFonts w:ascii="Arial" w:cs="Arial" w:eastAsia="Arial" w:hAnsi="Arial"/>
                <w:sz w:val="18"/>
                <w:szCs w:val="18"/>
                <w:color w:val="auto"/>
              </w:rPr>
              <w:t>Realized losses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(13,639,393)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(3,005,163)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(16,644,556)</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Unrealized appreciation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29,508,937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705,441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30,214,378</w:t>
            </w:r>
          </w:p>
        </w:tc>
        <w:tc>
          <w:tcPr>
            <w:tcW w:w="0" w:type="dxa"/>
            <w:vAlign w:val="bottom"/>
          </w:tcPr>
          <w:p>
            <w:pPr>
              <w:spacing w:after="0"/>
              <w:rPr>
                <w:sz w:val="1"/>
                <w:szCs w:val="1"/>
                <w:color w:val="auto"/>
              </w:rPr>
            </w:pPr>
          </w:p>
        </w:tc>
      </w:tr>
      <w:tr>
        <w:trPr>
          <w:trHeight w:val="243"/>
        </w:trPr>
        <w:tc>
          <w:tcPr>
            <w:tcW w:w="5640" w:type="dxa"/>
            <w:vAlign w:val="bottom"/>
            <w:gridSpan w:val="2"/>
          </w:tcPr>
          <w:p>
            <w:pPr>
              <w:ind w:left="380"/>
              <w:spacing w:after="0"/>
              <w:rPr>
                <w:sz w:val="20"/>
                <w:szCs w:val="20"/>
                <w:color w:val="auto"/>
              </w:rPr>
            </w:pPr>
            <w:r>
              <w:rPr>
                <w:rFonts w:ascii="Arial" w:cs="Arial" w:eastAsia="Arial" w:hAnsi="Arial"/>
                <w:sz w:val="18"/>
                <w:szCs w:val="18"/>
                <w:color w:val="auto"/>
              </w:rPr>
              <w:t>Purchases, PIK and net discount accretion</w:t>
            </w:r>
          </w:p>
        </w:tc>
        <w:tc>
          <w:tcPr>
            <w:tcW w:w="2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209,323,669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8,657,354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217,981,023</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Sales / repayments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(76,384,680)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(76,384,680)</w:t>
            </w:r>
          </w:p>
        </w:tc>
        <w:tc>
          <w:tcPr>
            <w:tcW w:w="0" w:type="dxa"/>
            <w:vAlign w:val="bottom"/>
          </w:tcPr>
          <w:p>
            <w:pPr>
              <w:spacing w:after="0"/>
              <w:rPr>
                <w:sz w:val="1"/>
                <w:szCs w:val="1"/>
                <w:color w:val="auto"/>
              </w:rPr>
            </w:pPr>
          </w:p>
        </w:tc>
      </w:tr>
      <w:tr>
        <w:trPr>
          <w:trHeight w:val="243"/>
        </w:trPr>
        <w:tc>
          <w:tcPr>
            <w:tcW w:w="5640" w:type="dxa"/>
            <w:vAlign w:val="bottom"/>
            <w:gridSpan w:val="2"/>
          </w:tcPr>
          <w:p>
            <w:pPr>
              <w:ind w:left="380"/>
              <w:spacing w:after="0"/>
              <w:rPr>
                <w:sz w:val="20"/>
                <w:szCs w:val="20"/>
                <w:color w:val="auto"/>
              </w:rPr>
            </w:pPr>
            <w:r>
              <w:rPr>
                <w:rFonts w:ascii="Arial" w:cs="Arial" w:eastAsia="Arial" w:hAnsi="Arial"/>
                <w:sz w:val="18"/>
                <w:szCs w:val="18"/>
                <w:color w:val="auto"/>
              </w:rPr>
              <w:t>Non-cash exchanges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(7,637,552)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1,306,167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Transfers in and /or out of Level 3</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40" w:type="dxa"/>
            <w:vAlign w:val="bottom"/>
            <w:gridSpan w:val="2"/>
          </w:tcPr>
          <w:p>
            <w:pPr>
              <w:ind w:left="40"/>
              <w:spacing w:after="0"/>
              <w:rPr>
                <w:sz w:val="20"/>
                <w:szCs w:val="20"/>
                <w:color w:val="auto"/>
              </w:rPr>
            </w:pPr>
            <w:r>
              <w:rPr>
                <w:rFonts w:ascii="Arial" w:cs="Arial" w:eastAsia="Arial" w:hAnsi="Arial"/>
                <w:sz w:val="18"/>
                <w:szCs w:val="18"/>
                <w:color w:val="auto"/>
              </w:rPr>
              <w:t>Ending Balance, June 30, 2010</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583,299,030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35,295,823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618,594,853</w:t>
            </w:r>
          </w:p>
        </w:tc>
        <w:tc>
          <w:tcPr>
            <w:tcW w:w="0" w:type="dxa"/>
            <w:vAlign w:val="bottom"/>
          </w:tcPr>
          <w:p>
            <w:pPr>
              <w:spacing w:after="0"/>
              <w:rPr>
                <w:sz w:val="1"/>
                <w:szCs w:val="1"/>
                <w:color w:val="auto"/>
              </w:rPr>
            </w:pPr>
          </w:p>
        </w:tc>
      </w:tr>
      <w:tr>
        <w:trPr>
          <w:trHeight w:val="67"/>
        </w:trPr>
        <w:tc>
          <w:tcPr>
            <w:tcW w:w="54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640" w:type="dxa"/>
            <w:vAlign w:val="bottom"/>
            <w:gridSpan w:val="2"/>
            <w:shd w:val="clear" w:color="auto" w:fill="CCEEFF"/>
          </w:tcPr>
          <w:p>
            <w:pPr>
              <w:ind w:left="40"/>
              <w:spacing w:after="0" w:line="182" w:lineRule="exact"/>
              <w:rPr>
                <w:sz w:val="20"/>
                <w:szCs w:val="20"/>
                <w:color w:val="auto"/>
              </w:rPr>
            </w:pPr>
            <w:r>
              <w:rPr>
                <w:rFonts w:ascii="Arial" w:cs="Arial" w:eastAsia="Arial" w:hAnsi="Arial"/>
                <w:sz w:val="18"/>
                <w:szCs w:val="18"/>
                <w:color w:val="auto"/>
                <w:w w:val="96"/>
              </w:rPr>
              <w:t>Net change in unrealized appreciation (depreciation) for the nine months</w:t>
            </w: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ended June 30, 2010 reported within the net change in unrealized</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depreciation on investments in our Consolidated Statement of Operations</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12,834,100</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(2,299,720)</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10,534,380</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for the nine months ended June 30, 2011 and 2010, respectively.</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Period Ended June 30, 2011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Long-Term Credit Facility</w:t>
            </w:r>
          </w:p>
        </w:tc>
        <w:tc>
          <w:tcPr>
            <w:tcW w:w="460" w:type="dxa"/>
            <w:vAlign w:val="bottom"/>
          </w:tcPr>
          <w:p>
            <w:pPr>
              <w:spacing w:after="0"/>
              <w:rPr>
                <w:sz w:val="14"/>
                <w:szCs w:val="14"/>
                <w:color w:val="auto"/>
              </w:rPr>
            </w:pPr>
          </w:p>
        </w:tc>
        <w:tc>
          <w:tcPr>
            <w:tcW w:w="1780" w:type="dxa"/>
            <w:vAlign w:val="bottom"/>
          </w:tcPr>
          <w:p>
            <w:pPr>
              <w:jc w:val="right"/>
              <w:ind w:right="714"/>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92"/>
        </w:trPr>
        <w:tc>
          <w:tcPr>
            <w:tcW w:w="900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September 30, 2010 (Cost – $227,900,000)</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213,941,125</w:t>
            </w:r>
          </w:p>
        </w:tc>
        <w:tc>
          <w:tcPr>
            <w:tcW w:w="0" w:type="dxa"/>
            <w:vAlign w:val="bottom"/>
          </w:tcPr>
          <w:p>
            <w:pPr>
              <w:spacing w:after="0"/>
              <w:rPr>
                <w:sz w:val="1"/>
                <w:szCs w:val="1"/>
                <w:color w:val="auto"/>
              </w:rPr>
            </w:pPr>
          </w:p>
        </w:tc>
      </w:tr>
      <w:tr>
        <w:trPr>
          <w:trHeight w:val="243"/>
        </w:trPr>
        <w:tc>
          <w:tcPr>
            <w:tcW w:w="9000" w:type="dxa"/>
            <w:vAlign w:val="bottom"/>
          </w:tcPr>
          <w:p>
            <w:pPr>
              <w:ind w:left="380"/>
              <w:spacing w:after="0"/>
              <w:rPr>
                <w:sz w:val="20"/>
                <w:szCs w:val="20"/>
                <w:color w:val="auto"/>
              </w:rPr>
            </w:pPr>
            <w:r>
              <w:rPr>
                <w:rFonts w:ascii="Arial" w:cs="Arial" w:eastAsia="Arial" w:hAnsi="Arial"/>
                <w:sz w:val="18"/>
                <w:szCs w:val="18"/>
                <w:color w:val="auto"/>
              </w:rPr>
              <w:t>Total unrealized appreciation included in earnings</w:t>
            </w:r>
          </w:p>
        </w:tc>
        <w:tc>
          <w:tcPr>
            <w:tcW w:w="4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11,908,375</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w:t>
            </w:r>
          </w:p>
        </w:tc>
        <w:tc>
          <w:tcPr>
            <w:tcW w:w="4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187,900,000</w:t>
            </w:r>
          </w:p>
        </w:tc>
        <w:tc>
          <w:tcPr>
            <w:tcW w:w="0" w:type="dxa"/>
            <w:vAlign w:val="bottom"/>
          </w:tcPr>
          <w:p>
            <w:pPr>
              <w:spacing w:after="0"/>
              <w:rPr>
                <w:sz w:val="1"/>
                <w:szCs w:val="1"/>
                <w:color w:val="auto"/>
              </w:rPr>
            </w:pPr>
          </w:p>
        </w:tc>
      </w:tr>
      <w:tr>
        <w:trPr>
          <w:trHeight w:val="243"/>
        </w:trPr>
        <w:tc>
          <w:tcPr>
            <w:tcW w:w="9000" w:type="dxa"/>
            <w:vAlign w:val="bottom"/>
          </w:tcPr>
          <w:p>
            <w:pPr>
              <w:ind w:left="380"/>
              <w:spacing w:after="0"/>
              <w:rPr>
                <w:sz w:val="20"/>
                <w:szCs w:val="20"/>
                <w:color w:val="auto"/>
              </w:rPr>
            </w:pPr>
            <w:r>
              <w:rPr>
                <w:rFonts w:ascii="Arial" w:cs="Arial" w:eastAsia="Arial" w:hAnsi="Arial"/>
                <w:sz w:val="18"/>
                <w:szCs w:val="18"/>
                <w:color w:val="auto"/>
              </w:rPr>
              <w:t>Repayments</w:t>
            </w:r>
          </w:p>
        </w:tc>
        <w:tc>
          <w:tcPr>
            <w:tcW w:w="4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(279,100,000)</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Transfers in and/or out of Level 3</w:t>
            </w:r>
          </w:p>
        </w:tc>
        <w:tc>
          <w:tcPr>
            <w:tcW w:w="4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000" w:type="dxa"/>
            <w:vAlign w:val="bottom"/>
          </w:tcPr>
          <w:p>
            <w:pPr>
              <w:ind w:left="40"/>
              <w:spacing w:after="0"/>
              <w:rPr>
                <w:sz w:val="20"/>
                <w:szCs w:val="20"/>
                <w:color w:val="auto"/>
              </w:rPr>
            </w:pPr>
            <w:r>
              <w:rPr>
                <w:rFonts w:ascii="Arial" w:cs="Arial" w:eastAsia="Arial" w:hAnsi="Arial"/>
                <w:sz w:val="18"/>
                <w:szCs w:val="18"/>
                <w:color w:val="auto"/>
              </w:rPr>
              <w:t>Ending balance of long-term Credit Facility at fair value, (Cost – $136,700,000)</w:t>
            </w:r>
          </w:p>
        </w:tc>
        <w:tc>
          <w:tcPr>
            <w:tcW w:w="4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134,649,500</w:t>
            </w:r>
          </w:p>
        </w:tc>
        <w:tc>
          <w:tcPr>
            <w:tcW w:w="0" w:type="dxa"/>
            <w:vAlign w:val="bottom"/>
          </w:tcPr>
          <w:p>
            <w:pPr>
              <w:spacing w:after="0"/>
              <w:rPr>
                <w:sz w:val="1"/>
                <w:szCs w:val="1"/>
                <w:color w:val="auto"/>
              </w:rPr>
            </w:pPr>
          </w:p>
        </w:tc>
      </w:tr>
      <w:tr>
        <w:trPr>
          <w:trHeight w:val="27"/>
        </w:trPr>
        <w:tc>
          <w:tcPr>
            <w:tcW w:w="90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Temporary draw outstanding, at cost</w:t>
            </w:r>
          </w:p>
        </w:tc>
        <w:tc>
          <w:tcPr>
            <w:tcW w:w="4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21,000,000</w:t>
            </w:r>
          </w:p>
        </w:tc>
        <w:tc>
          <w:tcPr>
            <w:tcW w:w="0" w:type="dxa"/>
            <w:vAlign w:val="bottom"/>
          </w:tcPr>
          <w:p>
            <w:pPr>
              <w:spacing w:after="0"/>
              <w:rPr>
                <w:sz w:val="1"/>
                <w:szCs w:val="1"/>
                <w:color w:val="auto"/>
              </w:rPr>
            </w:pPr>
          </w:p>
        </w:tc>
      </w:tr>
      <w:tr>
        <w:trPr>
          <w:trHeight w:val="237"/>
        </w:trPr>
        <w:tc>
          <w:tcPr>
            <w:tcW w:w="9000" w:type="dxa"/>
            <w:vAlign w:val="bottom"/>
          </w:tcPr>
          <w:p>
            <w:pPr>
              <w:ind w:left="40"/>
              <w:spacing w:after="0"/>
              <w:rPr>
                <w:sz w:val="20"/>
                <w:szCs w:val="20"/>
                <w:color w:val="auto"/>
              </w:rPr>
            </w:pPr>
            <w:r>
              <w:rPr>
                <w:rFonts w:ascii="Arial" w:cs="Arial" w:eastAsia="Arial" w:hAnsi="Arial"/>
                <w:sz w:val="18"/>
                <w:szCs w:val="18"/>
                <w:color w:val="auto"/>
              </w:rPr>
              <w:t>Total Credit Facility, June 30, 2011 (Cost – $157,700,000)</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155,649,500</w:t>
            </w:r>
          </w:p>
        </w:tc>
        <w:tc>
          <w:tcPr>
            <w:tcW w:w="0" w:type="dxa"/>
            <w:vAlign w:val="bottom"/>
          </w:tcPr>
          <w:p>
            <w:pPr>
              <w:spacing w:after="0"/>
              <w:rPr>
                <w:sz w:val="1"/>
                <w:szCs w:val="1"/>
                <w:color w:val="auto"/>
              </w:rPr>
            </w:pPr>
          </w:p>
        </w:tc>
      </w:tr>
      <w:tr>
        <w:trPr>
          <w:trHeight w:val="67"/>
        </w:trPr>
        <w:tc>
          <w:tcPr>
            <w:tcW w:w="90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0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b w:val="1"/>
                <w:bCs w:val="1"/>
                <w:color w:val="auto"/>
              </w:rPr>
              <w:t>Period Ended June 30, 2010</w:t>
            </w:r>
          </w:p>
        </w:tc>
        <w:tc>
          <w:tcPr>
            <w:tcW w:w="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Long-Term Credit Facility</w:t>
            </w:r>
          </w:p>
        </w:tc>
        <w:tc>
          <w:tcPr>
            <w:tcW w:w="460" w:type="dxa"/>
            <w:vAlign w:val="bottom"/>
          </w:tcPr>
          <w:p>
            <w:pPr>
              <w:spacing w:after="0"/>
              <w:rPr>
                <w:sz w:val="15"/>
                <w:szCs w:val="15"/>
                <w:color w:val="auto"/>
              </w:rPr>
            </w:pPr>
          </w:p>
        </w:tc>
        <w:tc>
          <w:tcPr>
            <w:tcW w:w="1780" w:type="dxa"/>
            <w:vAlign w:val="bottom"/>
          </w:tcPr>
          <w:p>
            <w:pPr>
              <w:jc w:val="right"/>
              <w:ind w:right="714"/>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92"/>
        </w:trPr>
        <w:tc>
          <w:tcPr>
            <w:tcW w:w="9000" w:type="dxa"/>
            <w:vAlign w:val="bottom"/>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Beginning balance, September 30, 2009 (Cost – $218,100,000)</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unrealized appreciation included in earnings</w:t>
            </w:r>
          </w:p>
        </w:tc>
        <w:tc>
          <w:tcPr>
            <w:tcW w:w="4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28,900,620</w:t>
            </w:r>
          </w:p>
        </w:tc>
        <w:tc>
          <w:tcPr>
            <w:tcW w:w="0" w:type="dxa"/>
            <w:vAlign w:val="bottom"/>
          </w:tcPr>
          <w:p>
            <w:pPr>
              <w:spacing w:after="0"/>
              <w:rPr>
                <w:sz w:val="1"/>
                <w:szCs w:val="1"/>
                <w:color w:val="auto"/>
              </w:rPr>
            </w:pPr>
          </w:p>
        </w:tc>
      </w:tr>
      <w:tr>
        <w:trPr>
          <w:trHeight w:val="243"/>
        </w:trPr>
        <w:tc>
          <w:tcPr>
            <w:tcW w:w="9000" w:type="dxa"/>
            <w:vAlign w:val="bottom"/>
          </w:tcPr>
          <w:p>
            <w:pPr>
              <w:ind w:left="380"/>
              <w:spacing w:after="0"/>
              <w:rPr>
                <w:sz w:val="20"/>
                <w:szCs w:val="20"/>
                <w:color w:val="auto"/>
              </w:rPr>
            </w:pPr>
            <w:r>
              <w:rPr>
                <w:rFonts w:ascii="Arial" w:cs="Arial" w:eastAsia="Arial" w:hAnsi="Arial"/>
                <w:sz w:val="18"/>
                <w:szCs w:val="18"/>
                <w:color w:val="auto"/>
              </w:rPr>
              <w:t>Borrowings</w:t>
            </w:r>
          </w:p>
        </w:tc>
        <w:tc>
          <w:tcPr>
            <w:tcW w:w="4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132,500,000</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w:t>
            </w:r>
          </w:p>
        </w:tc>
        <w:tc>
          <w:tcPr>
            <w:tcW w:w="4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(99,400,000)</w:t>
            </w:r>
          </w:p>
        </w:tc>
        <w:tc>
          <w:tcPr>
            <w:tcW w:w="0" w:type="dxa"/>
            <w:vAlign w:val="bottom"/>
          </w:tcPr>
          <w:p>
            <w:pPr>
              <w:spacing w:after="0"/>
              <w:rPr>
                <w:sz w:val="1"/>
                <w:szCs w:val="1"/>
                <w:color w:val="auto"/>
              </w:rPr>
            </w:pPr>
          </w:p>
        </w:tc>
      </w:tr>
      <w:tr>
        <w:trPr>
          <w:trHeight w:val="243"/>
        </w:trPr>
        <w:tc>
          <w:tcPr>
            <w:tcW w:w="9000" w:type="dxa"/>
            <w:vAlign w:val="bottom"/>
          </w:tcPr>
          <w:p>
            <w:pPr>
              <w:ind w:left="380"/>
              <w:spacing w:after="0"/>
              <w:rPr>
                <w:sz w:val="20"/>
                <w:szCs w:val="20"/>
                <w:color w:val="auto"/>
              </w:rPr>
            </w:pPr>
            <w:r>
              <w:rPr>
                <w:rFonts w:ascii="Arial" w:cs="Arial" w:eastAsia="Arial" w:hAnsi="Arial"/>
                <w:sz w:val="18"/>
                <w:szCs w:val="18"/>
                <w:color w:val="auto"/>
              </w:rPr>
              <w:t>Transfers in and/or out of Level 3</w:t>
            </w:r>
          </w:p>
        </w:tc>
        <w:tc>
          <w:tcPr>
            <w:tcW w:w="4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of long-term Credit Facility at fair value, (Cost - $251,200,000)</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230,476,000</w:t>
            </w:r>
          </w:p>
        </w:tc>
        <w:tc>
          <w:tcPr>
            <w:tcW w:w="0" w:type="dxa"/>
            <w:vAlign w:val="bottom"/>
          </w:tcPr>
          <w:p>
            <w:pPr>
              <w:spacing w:after="0"/>
              <w:rPr>
                <w:sz w:val="1"/>
                <w:szCs w:val="1"/>
                <w:color w:val="auto"/>
              </w:rPr>
            </w:pPr>
          </w:p>
        </w:tc>
      </w:tr>
      <w:tr>
        <w:trPr>
          <w:trHeight w:val="236"/>
        </w:trPr>
        <w:tc>
          <w:tcPr>
            <w:tcW w:w="9000" w:type="dxa"/>
            <w:vAlign w:val="bottom"/>
          </w:tcPr>
          <w:p>
            <w:pPr>
              <w:ind w:left="340"/>
              <w:spacing w:after="0"/>
              <w:rPr>
                <w:sz w:val="20"/>
                <w:szCs w:val="20"/>
                <w:color w:val="auto"/>
              </w:rPr>
            </w:pPr>
            <w:r>
              <w:rPr>
                <w:rFonts w:ascii="Arial" w:cs="Arial" w:eastAsia="Arial" w:hAnsi="Arial"/>
                <w:sz w:val="18"/>
                <w:szCs w:val="18"/>
                <w:color w:val="auto"/>
              </w:rPr>
              <w:t>Temporary draw outstanding, at cost</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5,600,000</w:t>
            </w:r>
          </w:p>
        </w:tc>
        <w:tc>
          <w:tcPr>
            <w:tcW w:w="0" w:type="dxa"/>
            <w:vAlign w:val="bottom"/>
          </w:tcPr>
          <w:p>
            <w:pPr>
              <w:spacing w:after="0"/>
              <w:rPr>
                <w:sz w:val="1"/>
                <w:szCs w:val="1"/>
                <w:color w:val="auto"/>
              </w:rPr>
            </w:pPr>
          </w:p>
        </w:tc>
      </w:tr>
      <w:tr>
        <w:trPr>
          <w:trHeight w:val="27"/>
        </w:trPr>
        <w:tc>
          <w:tcPr>
            <w:tcW w:w="90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Credit Facility, June 30, 2010 (Cost - $256,800,000)</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236,076,000</w:t>
            </w: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JUNE 30,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The carrying value of our financial liabilities approximates fair value. We adopted ASC 825-10, which provides companies with an option to report selected financial assets and liabilities at fair value, and made an irrevocable election to apply ASC 825-10 to PennantPark Investment's long-term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balance sheet and changes in fair value of the Credit Facility are recorded in the Consolidated Statement of Operations. For the three and nine months ended June 30, 2011, our Credit Facility had a net change in unrealized appreciation of $0.6 million and $11.9 million, respectively. For the three and nine months ended June 30, 2010, our Credit Facility had a net change in unrealized appreciation of $3.2 million and $28.9 million, respectively. On June 30, 2011 and September 30, 2010, net unrealized depreciation on our long-term Credit Facility totaled $2.1 million and $14.0 million, respectively. We use a nationally recognized independent valuation service to measure the fair value of our Credit Facility in a manner consistent with the valuation process that the board of directors uses to value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8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An affiliated company is a company in which we own 5% or more of the portfolio company's voting securities. A controlled affiliate is a company in which we own 25% or more of a portfolio company's voting securities. Advances to and distributions from affiliates are included in the Consolidated Statements of Cash Flow under purchases. Transactions related to our investments with both controlled and non-controlled affiliates for the nine months ended June 30, 2011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Investment</w:t>
            </w:r>
          </w:p>
        </w:tc>
        <w:tc>
          <w:tcPr>
            <w:tcW w:w="2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Advances to</w:t>
            </w:r>
          </w:p>
        </w:tc>
        <w:tc>
          <w:tcPr>
            <w:tcW w:w="14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Distributions</w:t>
            </w:r>
          </w:p>
        </w:tc>
        <w:tc>
          <w:tcPr>
            <w:tcW w:w="20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affiliates</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from affiliates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Received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2"/>
              </w:rPr>
              <w:t>June 30, 2011</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Controlled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SuttonPark Holdings, Inc.</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8,000,100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470,167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Non-Controlled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Performance Holdings, Inc.</w:t>
            </w: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15,433,680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99"/>
              </w:rPr>
              <w:t>1,147,900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14,685,185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23,433,780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1,618,067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25,685,185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sets forth the computation of basic and diluted net increase in net assets resulting from operations per common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70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26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2010</w:t>
            </w:r>
          </w:p>
        </w:tc>
      </w:tr>
      <w:tr>
        <w:trPr>
          <w:trHeight w:val="228"/>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Numerator for net increase (decrease) in net assets resulting from</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2,318,415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4,259,433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41,427,625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9,904,537</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Denominator for basic and diluted weighted average shares</w:t>
            </w:r>
          </w:p>
        </w:tc>
        <w:tc>
          <w:tcPr>
            <w:tcW w:w="28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45,581,083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31,558,772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41,018,710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28,211,593</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Basic and diluted net increase (decrease) in net assets resulting</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from operations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0.35</w:t>
            </w:r>
          </w:p>
        </w:tc>
      </w:tr>
      <w:tr>
        <w:trPr>
          <w:trHeight w:val="675"/>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38"/>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JUNE 30, 2011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8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its total assets at quarter end. We may accomplish this in several ways, including purchasing U.S. Treasury Bills and closing out its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2011 and September 30, 2010, cash equivalents consisted of $28.8 million and $1.8 million in money market products,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8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net assets and net asset value per share on June 30, 2011 and 2010 were $504.9 million and $345.3 million, respectively, and $11.08 and $10.94, respectively. Below are the financial highlights for the nine months ended June 30, 2011 and 2010.</w:t>
      </w:r>
    </w:p>
    <w:p>
      <w:pPr>
        <w:spacing w:after="0" w:line="108"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Nine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23495</wp:posOffset>
            </wp:positionV>
            <wp:extent cx="21602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03" w:lineRule="exact"/>
        <w:rPr>
          <w:sz w:val="20"/>
          <w:szCs w:val="20"/>
          <w:color w:val="auto"/>
        </w:rPr>
      </w:pPr>
    </w:p>
    <w:p>
      <w:pPr>
        <w:ind w:left="8520"/>
        <w:spacing w:after="0"/>
        <w:tabs>
          <w:tab w:leader="none" w:pos="1026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 Share Data:</w:t>
      </w:r>
    </w:p>
    <w:p>
      <w:pPr>
        <w:sectPr>
          <w:pgSz w:w="11900" w:h="16838" w:orient="portrait"/>
          <w:cols w:equalWidth="0" w:num="1">
            <w:col w:w="11240"/>
          </w:cols>
          <w:pgMar w:left="320" w:top="125" w:right="3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asset value,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342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25"/>
          <w:szCs w:val="25"/>
          <w:color w:val="auto"/>
          <w:vertAlign w:val="superscript"/>
        </w:rPr>
        <w:t>(1)</w:t>
      </w:r>
    </w:p>
    <w:p>
      <w:pPr>
        <w:spacing w:after="0" w:line="2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change in realized and unrealized gain (loss)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3429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in net assets resulting from operations</w:t>
      </w:r>
      <w:r>
        <w:rPr>
          <w:rFonts w:ascii="Arial" w:cs="Arial" w:eastAsia="Arial" w:hAnsi="Arial"/>
          <w:sz w:val="22"/>
          <w:szCs w:val="22"/>
          <w:color w:val="auto"/>
          <w:vertAlign w:val="superscript"/>
        </w:rPr>
        <w:t>(1)</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25"/>
          <w:szCs w:val="25"/>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Accretive (Dilutive) effect of common stock issuance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(Dilutive) effect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asset value, end of period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 share market value,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342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return*</w:t>
      </w:r>
      <w:r>
        <w:rPr>
          <w:rFonts w:ascii="Arial" w:cs="Arial" w:eastAsia="Arial" w:hAnsi="Arial"/>
          <w:sz w:val="25"/>
          <w:szCs w:val="25"/>
          <w:color w:val="auto"/>
          <w:vertAlign w:val="superscript"/>
        </w:rPr>
        <w:t>(3)</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outstanding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Ratios ** / Supplemental Data:</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11.85</w:t>
            </w:r>
          </w:p>
        </w:tc>
      </w:tr>
      <w:tr>
        <w:trPr>
          <w:trHeight w:val="540"/>
        </w:trPr>
        <w:tc>
          <w:tcPr>
            <w:tcW w:w="380" w:type="dxa"/>
            <w:vAlign w:val="bottom"/>
          </w:tcPr>
          <w:p>
            <w:pPr>
              <w:spacing w:after="0"/>
              <w:rPr>
                <w:sz w:val="24"/>
                <w:szCs w:val="24"/>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0.82</w:t>
            </w:r>
          </w:p>
        </w:tc>
      </w:tr>
      <w:tr>
        <w:trPr>
          <w:trHeight w:val="540"/>
        </w:trPr>
        <w:tc>
          <w:tcPr>
            <w:tcW w:w="380" w:type="dxa"/>
            <w:vAlign w:val="bottom"/>
          </w:tcPr>
          <w:p>
            <w:pPr>
              <w:spacing w:after="0"/>
              <w:rPr>
                <w:sz w:val="24"/>
                <w:szCs w:val="24"/>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(0.47)</w:t>
            </w:r>
          </w:p>
        </w:tc>
      </w:tr>
      <w:tr>
        <w:trPr>
          <w:trHeight w:val="27"/>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3"/>
        </w:trPr>
        <w:tc>
          <w:tcPr>
            <w:tcW w:w="380" w:type="dxa"/>
            <w:vAlign w:val="bottom"/>
          </w:tcPr>
          <w:p>
            <w:pPr>
              <w:spacing w:after="0"/>
              <w:rPr>
                <w:sz w:val="24"/>
                <w:szCs w:val="24"/>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0.35</w:t>
            </w:r>
          </w:p>
        </w:tc>
      </w:tr>
      <w:tr>
        <w:trPr>
          <w:trHeight w:val="540"/>
        </w:trPr>
        <w:tc>
          <w:tcPr>
            <w:tcW w:w="38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(0.81)</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(0.33)</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(0.12)</w:t>
            </w:r>
          </w:p>
        </w:tc>
      </w:tr>
      <w:tr>
        <w:trPr>
          <w:trHeight w:val="27"/>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10.94</w:t>
            </w:r>
          </w:p>
        </w:tc>
      </w:tr>
      <w:tr>
        <w:trPr>
          <w:trHeight w:val="27"/>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9.55</w:t>
            </w:r>
          </w:p>
        </w:tc>
      </w:tr>
      <w:tr>
        <w:trPr>
          <w:trHeight w:val="540"/>
        </w:trPr>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27.29%</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45,581,083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31,558,772</w:t>
            </w:r>
          </w:p>
        </w:tc>
      </w:tr>
    </w:tbl>
    <w:p>
      <w:pPr>
        <w:spacing w:after="0" w:line="309" w:lineRule="exact"/>
        <w:rPr>
          <w:sz w:val="20"/>
          <w:szCs w:val="20"/>
          <w:color w:val="auto"/>
        </w:rPr>
      </w:pPr>
    </w:p>
    <w:p>
      <w:pPr>
        <w:sectPr>
          <w:pgSz w:w="11900" w:h="16838" w:orient="portrait"/>
          <w:cols w:equalWidth="0" w:num="2">
            <w:col w:w="7120" w:space="720"/>
            <w:col w:w="34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840" w:type="dxa"/>
            <w:vAlign w:val="bottom"/>
          </w:tcPr>
          <w:p>
            <w:pPr>
              <w:ind w:left="40"/>
              <w:spacing w:after="0"/>
              <w:rPr>
                <w:sz w:val="20"/>
                <w:szCs w:val="20"/>
                <w:color w:val="auto"/>
              </w:rPr>
            </w:pPr>
            <w:r>
              <w:rPr>
                <w:rFonts w:ascii="Arial" w:cs="Arial" w:eastAsia="Arial" w:hAnsi="Arial"/>
                <w:sz w:val="18"/>
                <w:szCs w:val="18"/>
                <w:color w:val="auto"/>
              </w:rPr>
              <w:t>Ratio of operating expenses to average net assets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7.23%</w:t>
            </w:r>
          </w:p>
        </w:tc>
      </w:tr>
      <w:tr>
        <w:trPr>
          <w:trHeight w:val="27"/>
        </w:trPr>
        <w:tc>
          <w:tcPr>
            <w:tcW w:w="7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Credit Facility related expenses to average net assets</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7"/>
        </w:trPr>
        <w:tc>
          <w:tcPr>
            <w:tcW w:w="7840" w:type="dxa"/>
            <w:vAlign w:val="bottom"/>
          </w:tcPr>
          <w:p>
            <w:pPr>
              <w:ind w:left="40"/>
              <w:spacing w:after="0"/>
              <w:rPr>
                <w:sz w:val="20"/>
                <w:szCs w:val="20"/>
                <w:color w:val="auto"/>
              </w:rPr>
            </w:pPr>
            <w:r>
              <w:rPr>
                <w:rFonts w:ascii="Arial" w:cs="Arial" w:eastAsia="Arial" w:hAnsi="Arial"/>
                <w:sz w:val="18"/>
                <w:szCs w:val="18"/>
                <w:color w:val="auto"/>
              </w:rPr>
              <w:t>Ratio of total expenses to average net assets</w:t>
            </w: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w:t>
            </w:r>
          </w:p>
        </w:tc>
      </w:tr>
      <w:tr>
        <w:trPr>
          <w:trHeight w:val="27"/>
        </w:trPr>
        <w:tc>
          <w:tcPr>
            <w:tcW w:w="7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net investment income to average net assets</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Net assets at end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504,939,091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345,266,050</w:t>
            </w:r>
          </w:p>
        </w:tc>
      </w:tr>
      <w:tr>
        <w:trPr>
          <w:trHeight w:val="27"/>
        </w:trPr>
        <w:tc>
          <w:tcPr>
            <w:tcW w:w="7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debt outstanding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249,441,641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239,097,082</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Average debt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8.48</w:t>
            </w:r>
          </w:p>
        </w:tc>
      </w:tr>
      <w:tr>
        <w:trPr>
          <w:trHeight w:val="27"/>
        </w:trPr>
        <w:tc>
          <w:tcPr>
            <w:tcW w:w="7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Portfolio turnover ratio</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r>
      <w:tr>
        <w:trPr>
          <w:trHeight w:val="202"/>
        </w:trPr>
        <w:tc>
          <w:tcPr>
            <w:tcW w:w="7840" w:type="dxa"/>
            <w:vAlign w:val="bottom"/>
          </w:tcPr>
          <w:p>
            <w:pPr>
              <w:spacing w:after="0" w:line="201" w:lineRule="exact"/>
              <w:rPr>
                <w:sz w:val="20"/>
                <w:szCs w:val="20"/>
                <w:color w:val="auto"/>
              </w:rPr>
            </w:pPr>
            <w:r>
              <w:rPr>
                <w:rFonts w:ascii="Arial" w:cs="Arial" w:eastAsia="Arial" w:hAnsi="Arial"/>
                <w:sz w:val="18"/>
                <w:szCs w:val="18"/>
                <w:color w:val="auto"/>
              </w:rPr>
              <w:t>___________________</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 Not annualized for periods less than one year.</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 Annualized for periods less than one year.</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ind w:left="740" w:hanging="7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share data are calculated based on the weighted average shares outstanding for the respective periods.</w:t>
      </w:r>
    </w:p>
    <w:p>
      <w:pPr>
        <w:spacing w:after="0" w:line="9" w:lineRule="exact"/>
        <w:rPr>
          <w:rFonts w:ascii="Arial" w:cs="Arial" w:eastAsia="Arial" w:hAnsi="Arial"/>
          <w:sz w:val="18"/>
          <w:szCs w:val="18"/>
          <w:color w:val="auto"/>
        </w:rPr>
      </w:pPr>
    </w:p>
    <w:p>
      <w:pPr>
        <w:ind w:left="740" w:right="20" w:hanging="732"/>
        <w:spacing w:after="0" w:line="250"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Distributions are determined based on taxable income calculated in accordance with income tax regulations, which may differ from amounts determined under GAAP.</w:t>
      </w:r>
    </w:p>
    <w:p>
      <w:pPr>
        <w:ind w:left="740" w:hanging="732"/>
        <w:spacing w:after="0" w:line="260"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distributions, if any, reinvested in accordance with our dividend reinvestment plan.</w:t>
      </w:r>
    </w:p>
    <w:p>
      <w:pPr>
        <w:sectPr>
          <w:pgSz w:w="11900" w:h="16838" w:orient="portrait"/>
          <w:cols w:equalWidth="0" w:num="1">
            <w:col w:w="11240"/>
          </w:cols>
          <w:pgMar w:left="320" w:top="125" w:right="339" w:bottom="1440" w:gutter="0" w:footer="0" w:header="0"/>
          <w:type w:val="continuous"/>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JUNE 30,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 AND SBA DEBENTURES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7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On June 25, 2007, PennantPark Investment entered into a senior secured revolving credit agreement, (the “Credit Facility” or “our Credit Facility”), with various lenders and SunTrust Bank, as administrative agent for the lenders. As of June 30, 2011 and September 30, 2010, there was $157.7 million (including a $21.0 million temporary draw) and $233.1 million (including a $5.2 million temporary draw) in outstanding borrowings under the Credit Facility, with a weighted average interest rate at the time of 1.49% and 1.34%, exclusive of the fee on undrawn commitment of 0.20%, and $157.3 million and $66.9 million of unused borrowing capacity, respectively.</w:t>
      </w:r>
    </w:p>
    <w:p>
      <w:pPr>
        <w:spacing w:after="0" w:line="14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Credit Facility lenders agreed to extend credit to PennantPark Investment in an aggregate principal or face amount of $315.0 million at any one time outstanding. The Credit Facility is a five-year revolving facility (with a stated maturity date of June 25, 2012) and pricing is set at 100 basis points over LIBOR. The Credit Facility contains customary affirmative and negative covenants, including the maintenance of a minimum stockholders' equity, the maintenance of a ratio not less than 200% of total assets (less total liabilities other than indebtedness) to total indebtedness, and restrictions on certain payments and issuance of debt. For a complete list of such covenants, see our report on Form 8-K, filed June 28, 2007 and on Form 10-Q, filed May 5, 2010. As of June 30, 2011, we were in compliance with our covenants relating to our Credit Facility.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77"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SBIC LP is able to borrow funds from the SBA against regulatory capital (which approximates equity capital) that is paid-in and is subject to customary regulatory requirements including, but not limited to, an examination by the SBA. As of June 30, 2011, PennantPark Investment had committed to SBIC LP $75.0 million ($50 million funded). As of September 30, 2010, we had committed to SBIC LP $50.0 million ($14.5 million funded). SBA debentures are non-recourse to us, have a 10-year maturity, and may be prepaid at any time without penalty. The interest rate of SBA debentures is fixed at the time of issuance, often referred to as pooling, at a market-driven spread over 10-year U.S. Treasury Notes.</w:t>
      </w:r>
    </w:p>
    <w:p>
      <w:pPr>
        <w:spacing w:after="0" w:line="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our borrowings outstanding with the SBA: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As of June 30, 2011</w:t>
            </w:r>
          </w:p>
        </w:tc>
        <w:tc>
          <w:tcPr>
            <w:tcW w:w="120" w:type="dxa"/>
            <w:vAlign w:val="bottom"/>
          </w:tcPr>
          <w:p>
            <w:pPr>
              <w:spacing w:after="0"/>
              <w:rPr>
                <w:sz w:val="16"/>
                <w:szCs w:val="16"/>
                <w:color w:val="auto"/>
              </w:rPr>
            </w:pPr>
          </w:p>
        </w:tc>
        <w:tc>
          <w:tcPr>
            <w:tcW w:w="2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As of September 30, 2010</w:t>
            </w:r>
          </w:p>
        </w:tc>
        <w:tc>
          <w:tcPr>
            <w:tcW w:w="0" w:type="dxa"/>
            <w:vAlign w:val="bottom"/>
          </w:tcPr>
          <w:p>
            <w:pPr>
              <w:spacing w:after="0"/>
              <w:rPr>
                <w:sz w:val="1"/>
                <w:szCs w:val="1"/>
                <w:color w:val="auto"/>
              </w:rPr>
            </w:pPr>
          </w:p>
        </w:tc>
      </w:tr>
      <w:tr>
        <w:trPr>
          <w:trHeight w:val="152"/>
        </w:trPr>
        <w:tc>
          <w:tcPr>
            <w:tcW w:w="3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Issuance Dates</w:t>
            </w:r>
          </w:p>
        </w:tc>
        <w:tc>
          <w:tcPr>
            <w:tcW w:w="17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Maturity</w:t>
            </w:r>
          </w:p>
        </w:tc>
        <w:tc>
          <w:tcPr>
            <w:tcW w:w="150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All-in Coupon</w:t>
            </w:r>
          </w:p>
        </w:tc>
        <w:tc>
          <w:tcPr>
            <w:tcW w:w="360" w:type="dxa"/>
            <w:vAlign w:val="bottom"/>
          </w:tcPr>
          <w:p>
            <w:pPr>
              <w:spacing w:after="0"/>
              <w:rPr>
                <w:sz w:val="13"/>
                <w:szCs w:val="13"/>
                <w:color w:val="auto"/>
              </w:rPr>
            </w:pPr>
          </w:p>
        </w:tc>
        <w:tc>
          <w:tcPr>
            <w:tcW w:w="15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4"/>
              </w:rPr>
              <w:t>Principal</w:t>
            </w: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All-in Coupon</w:t>
            </w:r>
          </w:p>
        </w:tc>
        <w:tc>
          <w:tcPr>
            <w:tcW w:w="300" w:type="dxa"/>
            <w:vAlign w:val="bottom"/>
          </w:tcPr>
          <w:p>
            <w:pPr>
              <w:spacing w:after="0"/>
              <w:rPr>
                <w:sz w:val="13"/>
                <w:szCs w:val="13"/>
                <w:color w:val="auto"/>
              </w:rPr>
            </w:pPr>
          </w:p>
        </w:tc>
        <w:tc>
          <w:tcPr>
            <w:tcW w:w="126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92"/>
        </w:trPr>
        <w:tc>
          <w:tcPr>
            <w:tcW w:w="310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500" w:type="dxa"/>
            <w:vAlign w:val="bottom"/>
            <w:gridSpan w:val="2"/>
          </w:tcPr>
          <w:p>
            <w:pPr>
              <w:ind w:left="480"/>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8"/>
                <w:szCs w:val="8"/>
                <w:b w:val="1"/>
                <w:bCs w:val="1"/>
                <w:color w:val="auto"/>
              </w:rPr>
              <w:t>(1)</w:t>
            </w:r>
          </w:p>
        </w:tc>
        <w:tc>
          <w:tcPr>
            <w:tcW w:w="360" w:type="dxa"/>
            <w:vAlign w:val="bottom"/>
          </w:tcPr>
          <w:p>
            <w:pPr>
              <w:spacing w:after="0"/>
              <w:rPr>
                <w:sz w:val="16"/>
                <w:szCs w:val="16"/>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Balance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xml:space="preserve">Rate </w:t>
            </w:r>
            <w:r>
              <w:rPr>
                <w:rFonts w:ascii="Arial" w:cs="Arial" w:eastAsia="Arial" w:hAnsi="Arial"/>
                <w:sz w:val="8"/>
                <w:szCs w:val="8"/>
                <w:b w:val="1"/>
                <w:bCs w:val="1"/>
                <w:color w:val="auto"/>
                <w:w w:val="95"/>
              </w:rPr>
              <w:t>(1)</w:t>
            </w:r>
          </w:p>
        </w:tc>
        <w:tc>
          <w:tcPr>
            <w:tcW w:w="300" w:type="dxa"/>
            <w:vAlign w:val="bottom"/>
          </w:tcPr>
          <w:p>
            <w:pPr>
              <w:spacing w:after="0"/>
              <w:rPr>
                <w:sz w:val="16"/>
                <w:szCs w:val="16"/>
                <w:color w:val="auto"/>
              </w:rPr>
            </w:pPr>
          </w:p>
        </w:tc>
        <w:tc>
          <w:tcPr>
            <w:tcW w:w="1260" w:type="dxa"/>
            <w:vAlign w:val="bottom"/>
          </w:tcPr>
          <w:p>
            <w:pPr>
              <w:jc w:val="right"/>
              <w:ind w:right="45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49"/>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 SBA Debentures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September 22, 2010</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September 1, 2020</w:t>
            </w:r>
          </w:p>
        </w:tc>
        <w:tc>
          <w:tcPr>
            <w:tcW w:w="1400" w:type="dxa"/>
            <w:vAlign w:val="bottom"/>
          </w:tcPr>
          <w:p>
            <w:pPr>
              <w:ind w:left="900"/>
              <w:spacing w:after="0"/>
              <w:rPr>
                <w:sz w:val="20"/>
                <w:szCs w:val="20"/>
                <w:color w:val="auto"/>
              </w:rPr>
            </w:pPr>
            <w:r>
              <w:rPr>
                <w:rFonts w:ascii="Arial" w:cs="Arial" w:eastAsia="Arial" w:hAnsi="Arial"/>
                <w:sz w:val="18"/>
                <w:szCs w:val="18"/>
                <w:color w:val="auto"/>
                <w:w w:val="93"/>
              </w:rPr>
              <w:t>3.50%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3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29, 2011</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March 1, 2021</w:t>
            </w:r>
          </w:p>
        </w:tc>
        <w:tc>
          <w:tcPr>
            <w:tcW w:w="14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44,500,000</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w w:val="93"/>
              </w:rPr>
              <w:t>4.45%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45,000,000</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Interim SBA Debentures</w:t>
            </w:r>
          </w:p>
        </w:tc>
        <w:tc>
          <w:tcPr>
            <w:tcW w:w="1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3"/>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30,000,000</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36"/>
        </w:trPr>
        <w:tc>
          <w:tcPr>
            <w:tcW w:w="31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SBA Debentures</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w w:val="93"/>
              </w:rPr>
              <w:t>3.14%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75,000,000</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14,500,000</w:t>
            </w:r>
          </w:p>
        </w:tc>
        <w:tc>
          <w:tcPr>
            <w:tcW w:w="0" w:type="dxa"/>
            <w:vAlign w:val="bottom"/>
          </w:tcPr>
          <w:p>
            <w:pPr>
              <w:spacing w:after="0"/>
              <w:rPr>
                <w:sz w:val="1"/>
                <w:szCs w:val="1"/>
                <w:color w:val="auto"/>
              </w:rPr>
            </w:pPr>
          </w:p>
        </w:tc>
      </w:tr>
      <w:tr>
        <w:trPr>
          <w:trHeight w:val="67"/>
        </w:trPr>
        <w:tc>
          <w:tcPr>
            <w:tcW w:w="274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SBA Commitment</w:t>
            </w: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100,000,000</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33,500,000</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Available Undrawn SBA Commitment</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25,000,000</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19,000,000</w:t>
            </w:r>
          </w:p>
        </w:tc>
        <w:tc>
          <w:tcPr>
            <w:tcW w:w="0" w:type="dxa"/>
            <w:vAlign w:val="bottom"/>
          </w:tcPr>
          <w:p>
            <w:pPr>
              <w:spacing w:after="0"/>
              <w:rPr>
                <w:sz w:val="1"/>
                <w:szCs w:val="1"/>
                <w:color w:val="auto"/>
              </w:rPr>
            </w:pPr>
          </w:p>
        </w:tc>
      </w:tr>
      <w:tr>
        <w:trPr>
          <w:trHeight w:val="243"/>
        </w:trPr>
        <w:tc>
          <w:tcPr>
            <w:tcW w:w="2740" w:type="dxa"/>
            <w:vAlign w:val="bottom"/>
          </w:tcPr>
          <w:p>
            <w:pPr>
              <w:ind w:left="60"/>
              <w:spacing w:after="0"/>
              <w:rPr>
                <w:sz w:val="20"/>
                <w:szCs w:val="20"/>
                <w:color w:val="auto"/>
              </w:rPr>
            </w:pPr>
            <w:r>
              <w:rPr>
                <w:rFonts w:ascii="Arial" w:cs="Arial" w:eastAsia="Arial" w:hAnsi="Arial"/>
                <w:sz w:val="18"/>
                <w:szCs w:val="18"/>
                <w:color w:val="auto"/>
              </w:rPr>
              <w:t>___________________</w:t>
            </w: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Coupon rate excludes 3.43% of upfront fees.</w:t>
      </w:r>
    </w:p>
    <w:p>
      <w:pPr>
        <w:spacing w:after="0" w:line="62"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Current SBA regulations limit the amount that SBIC LP may borrow to a maximum of $150 million, which is up to twice its potential regulatory capital. This means that SBIC LP may access the maximum borrowing if it has $75 million in regulatory capital.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SBIC LP is wholly owned by us. As of June 30, 2011, SBIC LP was in compliance with all terms relating to our SBA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JUNE 30, 2011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right="500" w:firstLine="405"/>
        <w:spacing w:after="0" w:line="286" w:lineRule="auto"/>
        <w:rPr>
          <w:sz w:val="20"/>
          <w:szCs w:val="20"/>
          <w:color w:val="auto"/>
        </w:rPr>
      </w:pPr>
      <w:r>
        <w:rPr>
          <w:rFonts w:ascii="Arial" w:cs="Arial" w:eastAsia="Arial" w:hAnsi="Arial"/>
          <w:sz w:val="17"/>
          <w:szCs w:val="17"/>
          <w:color w:val="auto"/>
        </w:rPr>
        <w:t>On June 1, 2011, we received an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233"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first lien secured debt and subordinated debt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On July 22, 2011, SBIC LP received a debt commitment from the SBA for an additional $50.0 million, bringing its total debt commitment from the SBA to $150.0 million.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reviewed the accompanying consolidated statement of assets and liabilities of PennantPark Investment Corporation and subsidiaries (the “Company”), including the consolidated schedules of investments, as of June 30, 2011, and the consolidated statements of operations for the three and nine months ended June 30, 2011 and 2010, changes in net assets, and cash flows for the nine months ended June 30, 2011 and 2010. These interim consolidated financial statements are the responsibility of the Company's management.</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review in accordance with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have previously audited, in accordance with standards of the Public Company Accounting Oversight Board (United States), the consolidated statement of assets and liabilities of PennantPark Investment Corporation, including the consolidated schedule of investments, as of September 30, 2010; and in our report dated November 17, 2010,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89979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997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 2011</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1"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This Report contains statements that constitute forward-looking statements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9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85" w:lineRule="exact"/>
        <w:rPr>
          <w:sz w:val="20"/>
          <w:szCs w:val="20"/>
          <w:color w:val="auto"/>
        </w:rPr>
      </w:pPr>
    </w:p>
    <w:p>
      <w:pPr>
        <w:ind w:right="420" w:firstLine="405"/>
        <w:spacing w:after="0" w:line="311"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in “Risk Factors” and elsewhere in this Report.</w:t>
      </w:r>
    </w:p>
    <w:p>
      <w:pPr>
        <w:spacing w:after="0" w:line="108"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 and current reports on Form 8-K.</w:t>
      </w:r>
    </w:p>
    <w:p>
      <w:pPr>
        <w:spacing w:after="0" w:line="117" w:lineRule="exact"/>
        <w:rPr>
          <w:sz w:val="20"/>
          <w:szCs w:val="20"/>
          <w:color w:val="auto"/>
        </w:rPr>
      </w:pPr>
    </w:p>
    <w:p>
      <w:pPr>
        <w:ind w:right="340" w:firstLine="405"/>
        <w:spacing w:after="0" w:line="263" w:lineRule="auto"/>
        <w:rPr>
          <w:sz w:val="20"/>
          <w:szCs w:val="20"/>
          <w:color w:val="auto"/>
        </w:rPr>
      </w:pPr>
      <w:r>
        <w:rPr>
          <w:rFonts w:ascii="Arial" w:cs="Arial" w:eastAsia="Arial" w:hAnsi="Arial"/>
          <w:sz w:val="18"/>
          <w:szCs w:val="18"/>
          <w:color w:val="auto"/>
        </w:rPr>
        <w:t>You should understand that under Sections 27A(b)(2)(B) of the Securities Act of 1933, as amended, and Section 21E(b)(2)(B) of the Securities Exchange Act of 1934, as amended, the “safe harbor” provisions of the Private Securities Litigation Reform Act of 1995 do not apply to this quarterly Report on Form 10-Q.</w:t>
      </w:r>
    </w:p>
    <w:p>
      <w:pPr>
        <w:spacing w:after="0" w:line="143"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to the financial statements contained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320" w:top="125" w:right="41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37"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four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 In the future, we may also securitize a portion of our investments to raise investment capital.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81" w:lineRule="exact"/>
        <w:rPr>
          <w:sz w:val="20"/>
          <w:szCs w:val="20"/>
          <w:color w:val="auto"/>
        </w:rPr>
      </w:pPr>
    </w:p>
    <w:p>
      <w:pPr>
        <w:ind w:right="140" w:firstLine="405"/>
        <w:spacing w:after="0" w:line="296" w:lineRule="auto"/>
        <w:rPr>
          <w:sz w:val="20"/>
          <w:szCs w:val="20"/>
          <w:color w:val="auto"/>
        </w:rPr>
      </w:pPr>
      <w:r>
        <w:rPr>
          <w:rFonts w:ascii="Arial" w:cs="Arial" w:eastAsia="Arial" w:hAnsi="Arial"/>
          <w:sz w:val="16"/>
          <w:szCs w:val="16"/>
          <w:color w:val="auto"/>
        </w:rPr>
        <w:t>PennantPark Investment Corporation was organized under the Maryland General Corporation Law in January 2007. We are a closed-end, externally managed,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w:t>
      </w:r>
    </w:p>
    <w:p>
      <w:pPr>
        <w:spacing w:after="0" w:line="121" w:lineRule="exact"/>
        <w:rPr>
          <w:sz w:val="20"/>
          <w:szCs w:val="20"/>
          <w:color w:val="auto"/>
        </w:rPr>
      </w:pPr>
    </w:p>
    <w:p>
      <w:pPr>
        <w:ind w:right="220" w:firstLine="405"/>
        <w:spacing w:after="0" w:line="311" w:lineRule="auto"/>
        <w:rPr>
          <w:sz w:val="20"/>
          <w:szCs w:val="20"/>
          <w:color w:val="auto"/>
        </w:rPr>
      </w:pPr>
      <w:r>
        <w:rPr>
          <w:rFonts w:ascii="Arial" w:cs="Arial" w:eastAsia="Arial" w:hAnsi="Arial"/>
          <w:sz w:val="16"/>
          <w:szCs w:val="16"/>
          <w:color w:val="auto"/>
        </w:rPr>
        <w:t>Our wholly owned subsidiary, PennantPark SBIC LP, was organized as a Delaware limited partnership on May 7, 2010 and received a license from the SBA to operate as an SBIC under Section 301(c) of the 1958 Act on July 30, 2010. The SBIC LP's investment objective is substantially similar to PennantPark Investment, generally co-investing in SBA eligible businesses that meet the investment criteria of PennantPark Investment.</w:t>
      </w:r>
    </w:p>
    <w:p>
      <w:pPr>
        <w:spacing w:after="0" w:line="10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investment activities are managed by PennantPark Investment Advisers.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LP under a separate investment management agreement. The SBIC LP investment management agreement does not affect the management and incentive fees that we pay to the Investment Adviser on a consolidated basis.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LP under separate administration agreement. Our board of directors, a majority of whom are independent of us and PennantPark Investment Advisers, supervises our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81"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from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into income. We record contractual prepayment premiums on loans and debt securities as income. Dividend income, if any, is recognized on an accrual basis on the ex-dividend date to the extent that we expect to collect such amounts.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81"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10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27"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81"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As of June 30, 2011, our portfolio totaled $778.9 million and consisted of $299.0 million of senior secured loans, $127.3 million of second lien secured debt, $284.5 million of subordinated debt and $68.1 million of preferred and common equity investments. Our portfolio consisted of 53% fixed rate investments, 35% variable rate investments with a LIBOR or prime floor and 12% variable rate investments. Overall, the portfolio had an unrealized appreciation of $15.1 million. Our overall portfolio consisted of 47 companies with an average investment size of $16.6 million, a weighted average yield on debt investments of 13.1%, and was invested 38% in senior secured loans, 16% in second lien secured debt, 37% in subordinated debt and 9% in preferred and common equity investments.</w:t>
      </w:r>
    </w:p>
    <w:p>
      <w:pPr>
        <w:spacing w:after="0" w:line="26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investments, 26% variable rate investments with a LIBOR or prime floor and 25% variable rate investments. Overall, the portfolio had an unrealized appreciation of $8.0 million. Our overall portfolio consisted of 43 companies with an average investment size of $15.5 million, a weighted average yield on debt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investments of 12.7%, and was invested 35% in senior secured loans, 24% in second lien secured debt, 34% in subordinated debt and 7% in preferred and common equity investments.</w:t>
      </w:r>
    </w:p>
    <w:p>
      <w:pPr>
        <w:spacing w:after="0" w:line="13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For the three months ended June 30, 2011, we invested $145.5 million in three new and four existing portfolio companies with a weighted average yield on debt investments of 13.5%. Sales and repayments of long-term investments for the three months ended June 30, 2011 totaled $119.3 million. For the nine months ended June 30, 2011, we invested $342.0 million in thirteen new and seven existing portfolio companies with a weighted average yield of 13.9% on debt investments. Sales and repayments of long-term investments totaled $256.4 million for the same period.</w:t>
      </w:r>
    </w:p>
    <w:p>
      <w:pPr>
        <w:spacing w:after="0" w:line="13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For the three months ended June 30, 2010, we invested $93.8 million in three new and four existing portfolio companies with a weighted average yield on debt investments of 14.5%. Sales and repayments of long term investments for the three months ended June 30, 2010 totaled $59.2 million. For the nine months ended June 30, 2010, we invested approximately $212.8 million in twelve new and ten existing portfolio companies with a weighted average yield of 13.7% on debt investments. Sales and repayments of long-term investments totaled $82.7 million for the same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discussion of our financial condition and results of operation is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3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16" w:lineRule="exact"/>
        <w:rPr>
          <w:sz w:val="20"/>
          <w:szCs w:val="20"/>
          <w:color w:val="auto"/>
        </w:rPr>
      </w:pPr>
    </w:p>
    <w:p>
      <w:pPr>
        <w:ind w:left="980" w:hanging="648"/>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116"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71" w:lineRule="exact"/>
        <w:rPr>
          <w:rFonts w:ascii="Arial" w:cs="Arial" w:eastAsia="Arial" w:hAnsi="Arial"/>
          <w:sz w:val="18"/>
          <w:szCs w:val="18"/>
          <w:color w:val="auto"/>
        </w:rPr>
      </w:pPr>
    </w:p>
    <w:p>
      <w:pPr>
        <w:jc w:val="both"/>
        <w:ind w:left="980" w:hanging="648"/>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980" w:hanging="648"/>
        <w:spacing w:after="0" w:line="26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129"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at the time.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Level 1: Inputs that are quoted prices (unadjusted) in active markets for identical assets or liabilities, accessible by us at the measurement date.</w:t>
      </w:r>
    </w:p>
    <w:p>
      <w:pPr>
        <w:spacing w:after="0" w:line="10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4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long-term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2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w:t>
      </w:r>
    </w:p>
    <w:p>
      <w:pPr>
        <w:spacing w:after="0" w:line="13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addition to using the above inputs in cash equivalents, investments and long-term Credit Facility valuations, PennantPark Investment employs the valuation policy approved by its board of directors that is consistent with ASC 820. Consistent with our valuation policy, PennantPark Investment evaluates the source of inputs, including any markets in which its investments are trading, in determining fair value.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and deferred financing costs on our debt are capitalized, and we then amortize such amounts as interest income or expense as applicable. We record contractual prepayment premiums on loans and debt investments as income. Dividend income, if any, is recognized on an accrual basis on the ex-dividend date to the extent that we expect to collect such amounts.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4"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w:t>
      </w:r>
    </w:p>
    <w:p>
      <w:pPr>
        <w:spacing w:after="0" w:line="94"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4"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operate so as to qualify to maintain our election to be taxed as a RIC under Subchapter M of the Code and intend to continue to do so. In order to qualify as a RIC and to not be subject to corporate-level tax on income, we are required, under Subchapter M of the Code, to distribute at least 90% of the sum of our ordinary income and realized net short-term capital gains, if any to our stockholders on an annual basis.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w:t>
      </w:r>
    </w:p>
    <w:p>
      <w:pPr>
        <w:spacing w:after="0" w:line="12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Set forth below are the results of operations for the three and nine months ended June 30, 2011 and 2010.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8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Investment income for the three and nine months ended June 30, 2011 was $22.9 million and $65.6 million, respectively, and was primarily attributable $7.7 million and $22.8 million from senior secured loans, $3.5 million and $9.5 million from second lien secured debt investments, and $8.5 million and $24.8 million from subordinated debt investments, respectively. This compares to investment income for the three and nine months ended June 30, 2010, which was $16.3 million and $43.4 million, respectively, and was primarily attributable to $4.7 million and $11.4 million from senior secured loans, $3.3 million and $9.8 million from second lien secured debt investments and $6.6 million and $17.9 million from subordinated debt investments, respectively. The increase in investment income compared with the same period in the prior year is due to the growth of our portfolio and rotation out of our lower yielding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8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Expenses for the three and nine months ended June 30, 2011, totaled $9.7 million and $28.1 million, respectively. Base management fee for the same respective periods totaled $3.8 million and $10.9 million, performance-based incentive fees totaled $3.3 million and $9.4 million, Credit Facility and SBA debentures expenses totaled $1.3 million and $3.6 million, general and administrative expenses totaled $1.3 million and $4.0 million, respectively, and excise tax for the nine months ended June 30, 2011 totaled $0.2 million. This compares to expenses for the three and nine months ended June 30, 2010, which totaled $7.5 million and $20.3 million, respectively. Base management fee for the same respective periods totaled $3.0 million and $8.3 million, performance-based incentive fees totaled $2.2 million and $5.8 million, Credit Facility expenses totaled $1.0 million and $2.6 million, general and administrative expenses totaled $1.3 million and $3.5 million, respectively, and excise tax for the nine months ended June 30, 2010 totaled $0.1 million. The increase in expenses is due to growth of both the portfolio and net investment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8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Net investment income totaled $13.2 million and $37.5 million, or $0.29 and $0.92 per share, for the three and nine months ended June 30, 2011, respectively. For the same respective periods in the prior year, net investment income totaled $8.8 million and $23.1 million, or $0.28 and $0.82 per share.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Sales and repayments of long-term investments for the three and nine months ended June 30, 2011 totaled $119.3 million and $256.4 million and realized gains totaled $6.2 million and $8.7 million, respectively, due to sales and refinancings of our debt investments. Sales and repayments of long-term investments for the three and nine months ended June 30, 2010 totaled $59.2 million and $82.7 million and realized gains (losses) totaled $0.1 million and $(16.6) million, respectively, due to sales and repayments of our debt investments</w:t>
      </w:r>
      <w:r>
        <w:rPr>
          <w:rFonts w:ascii="Arial" w:cs="Arial" w:eastAsia="Arial" w:hAnsi="Arial"/>
          <w:sz w:val="14"/>
          <w:szCs w:val="14"/>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or Depreciation on Investments and Credit Facility</w:t>
      </w:r>
    </w:p>
    <w:p>
      <w:pPr>
        <w:spacing w:after="0" w:line="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three and nine months ended June 30, 2011, our investments had a net change in unrealized (depreciation) appreciation of $(16.5) million and $7.1 million, respectively. For the three and nine months ended June 30, 2010, our investments had a net change in unrealized (depreciation) appreciation of $(1.5) million and $32.3 million, respectively. The net change in unrealized appreciation on our investments over the prior year is the result of changes in the leveraged credit markets over the comparable periods. On June 30, 2011 and September 30, 2010, net unrealized appreciation on investments totaled $15.1 million and $8.0 million, respectively.</w:t>
      </w:r>
    </w:p>
    <w:p>
      <w:pPr>
        <w:spacing w:after="0" w:line="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three and nine months ended June 30, 2011, our long-term Credit Facility had a net change in unrealized appreciation of $0.6 million and $11.9 million, respectively. For the three and nine months ended June 30, 2010, our long-term Credit Facility had a net change in unrealized appreciation of $3.2 million and $28.9 million, respectively. The net change in unrealized appreciation on our Credit Facility over the prior year is the result of it approaching maturity and the reduced borrowings outstanding over the comparable periods. On June 30, 2011 and September 30, 2010, net unrealized depreciation on our long-term Credit Facility totaled $2.1 million and $14.0 million,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Net increase in net assets resulting from operations totaled $2.3 million and $41.4 million, respectively, or $0.05 per share and $1.01 per share, respectively, for the three and nine months ended June 30, 2011. This compares to a net increase in net assets resulting from operations which totaled $4.3 million and $9.9 million, respectively, or $0.13 per share or $0.35 per share, for the three and nine months ended June 30, 2010. This change in net assets from operations is due to the continued growth in net investment income primarily as a result of growing our portfolio, offset by the appreciation in the value of our long-term Credit Facility as it approaches maturity in June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other operating expenses we incur. We used, and expect to continue to use, these capital resources as well as proceeds from rotation within our portfolio and from public and private offerings of securities to finance our investment objectives.</w:t>
      </w:r>
    </w:p>
    <w:p>
      <w:pPr>
        <w:spacing w:after="0" w:line="18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may raise additional equity or debt capital through both registered offerings off a shelf registration and private offerings of securities, by securitizing a portion of our investments or borrowing from the SBA through our SBIC subsidiary, among other considerations. Any future additional debt capital we incur, to the extent it is available under current credit market conditions, may be issued at a higher cost and on less favorable terms and conditions than our current Credit Facility. We continuously monitor conditions in the credit markets and seek opportunities to enhance our debt structure as our Credit Facility matures in June 2012. Furthermore, our availability under the Credit Facility depends on various covenants and restrictions discussed in the next paragraph. The primary uses of existing funds and any funds raised in the future is expected to be for repayment of indebtedness, investments in portfolio companies, cash distributions to our shareholders and other general corporate purposes.</w:t>
      </w:r>
    </w:p>
    <w:p>
      <w:pPr>
        <w:spacing w:after="0" w:line="69"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As of June 30, 2011 and September 30, 2010, we had $157.3 million and $66.9 million, respectively, of unused borrowing capacity under our Credit Facility, subject to maintenance of the applicable total assets to debt ratio of 200%, maintenance of a blended percentage of the values of our portfolio companies and restrictions on certain payments and issuance of debt.</w:t>
      </w:r>
    </w:p>
    <w:p>
      <w:pPr>
        <w:spacing w:after="0" w:line="25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June 25, 2007, PennantPark Investment entered into a Credit Facility, with various lenders and SunTrust Bank, as administrative agent for the lenders. SunTrust Robinson Humphrey Capital Markets acted as the joint lead arranger and JPMorgan Chase (Chase Lincoln First Commercial as successor in interest of Bear Stearns Corporate Lending Inc.) acted as joint lead arranger and syndication agent. As of June 30, 2011 and September 30, 2010, there were $157.7 million (including a $21.0 million temporary draw) and $233.1 million (including a $5.2 million temporary draw) in outstanding borrowings under the Credit Facility, with a weighted average interest rate at the time of 1.49% and 1.34%, exclusive of the fee on undrawn commitment of 0.20%, respectively.</w:t>
      </w:r>
    </w:p>
    <w:p>
      <w:pPr>
        <w:spacing w:after="0" w:line="152"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Under the Credit Facility, the lenders agreed to extend us credit in an initial aggregate principal or face amount not exceeding $315.0 million outstanding at any one time. The Credit Facility is a five-year revolving facility, with a stated maturity date of June 25, 2012, and is secured by substantially all of our investment portfolio assets, except for those assets of SBIC LP. Pricing of borrowings under our Credit Facility is set at 100 basis points over LIBOR.</w:t>
      </w:r>
    </w:p>
    <w:p>
      <w:pPr>
        <w:spacing w:after="0" w:line="146"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The Credit Facility contains affirmative and restrictive covenants, including maintenance of a minimum shareholders' equity of the greater of (i) 40% of our total assets of as of the last day of any fiscal quarter and (ii) the sum of (A) $120.0 million plus (B) 25% of the net proceeds from the sale of equity interests by us and our subsidiaries after the closing date of the Credit Facility and maintenance of a ratio of total assets (less total liabilities other than indebtedness) to total indebtedness, in each case not less than 2.0:1.0 (excluding any exemptive relief granted by the SEC with respect to the indebtedness of any SBIC subsidiary).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our portfolio. As of June 30, 2011, we were in compliance with the terms of its Credit Facility.</w:t>
      </w:r>
    </w:p>
    <w:p>
      <w:pPr>
        <w:spacing w:after="0" w:line="137"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On February 11, 2011, we sold 9.2 million shares of our common stock at a price of $12.40 per share resulting in net proceeds of $108.3 million. This compares to the prior year where we sold 5.75 million shares at a price of $10.00 per share resulting in net proceeds of $54.3 million.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40" w:firstLine="405"/>
        <w:spacing w:after="0" w:line="290" w:lineRule="auto"/>
        <w:rPr>
          <w:sz w:val="20"/>
          <w:szCs w:val="20"/>
          <w:color w:val="auto"/>
        </w:rPr>
      </w:pPr>
      <w:r>
        <w:rPr>
          <w:rFonts w:ascii="Arial" w:cs="Arial" w:eastAsia="Arial" w:hAnsi="Arial"/>
          <w:sz w:val="16"/>
          <w:szCs w:val="16"/>
          <w:color w:val="auto"/>
        </w:rPr>
        <w:t>As of June 30, 2011, we had committed to SBIC LP $75.0 million ($50.0 million funded), had SBA debentures outstanding of $75.0 million with a weighted average interest rate at the time of 3.14%, exclusive of 3.43% of upfront fees. The SBA had $25.0 million remaining unused borrowing capacity subject to customary regulatory requirements. As of September 30, 2010, we had committed to SBIC LP $50.0 million ($14.5 million funded), had SBA debentures outstanding of $14.5 million with a weighted average interest rate at the time of 0.93%, exclusive of 3.43% of upfront fees, and had $19.0 million remaining unused borrowing capacity. SBA debentures are non-recourse to us, have a 10 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 This means that SBIC LP may access the maximum borrowing if it has $75.0 million in regulatory capital.</w:t>
      </w:r>
    </w:p>
    <w:p>
      <w:pPr>
        <w:spacing w:after="0" w:line="1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As of June 30, 2011, SBIC LP had a debenture commitment from the SBA in the amount of $100.0 million with $75.0 million outstanding. Of the $75.0 million of SBA debentures outstanding, $45.0 million is fixed for 10 years with a weighted average rate of 4.45%, inclusive of the SBA annual fee, and $30.0 million is temporary financing currently bearing a weighted average rate of 1.18% that will reset to a market-driven rate in September 2011 and will remain fixed thereafter for 10 years.</w:t>
      </w:r>
    </w:p>
    <w:p>
      <w:pPr>
        <w:spacing w:after="0" w:line="18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requiring capitalization thresholds that limit distributions to us, and is subject to periodic audits and examinations. As of June 30, 2011, SBIC LP was in compliance with its regulatory requirements.</w:t>
      </w:r>
    </w:p>
    <w:p>
      <w:pPr>
        <w:spacing w:after="0" w:line="80" w:lineRule="exact"/>
        <w:rPr>
          <w:sz w:val="20"/>
          <w:szCs w:val="20"/>
          <w:color w:val="auto"/>
        </w:rPr>
      </w:pPr>
    </w:p>
    <w:p>
      <w:pPr>
        <w:jc w:val="both"/>
        <w:ind w:right="500" w:firstLine="405"/>
        <w:spacing w:after="0" w:line="286" w:lineRule="auto"/>
        <w:rPr>
          <w:sz w:val="20"/>
          <w:szCs w:val="20"/>
          <w:color w:val="auto"/>
        </w:rPr>
      </w:pPr>
      <w:r>
        <w:rPr>
          <w:rFonts w:ascii="Arial" w:cs="Arial" w:eastAsia="Arial" w:hAnsi="Arial"/>
          <w:sz w:val="17"/>
          <w:szCs w:val="17"/>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233"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As of June 30, 2011, we had $57.8 million of assets bearing a coupon of 9% or lower. We intend to seek to rotate these assets into new, higher yielding investments over time.</w:t>
      </w:r>
    </w:p>
    <w:p>
      <w:pPr>
        <w:spacing w:after="0" w:line="130"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Our operating activities used cash of $35.8 million for the nine months ended June 30, 2011, and our financing activities provided cash of $62.8 million for the same period, primarily from net repayments under our Credit Facility, SBA debentures issued, and our common stock offering.</w:t>
      </w:r>
    </w:p>
    <w:p>
      <w:pPr>
        <w:spacing w:after="0" w:line="83"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operating activities used cash of $101.6 million for the nine months ended June 30, 2010, and our financing activities provided cash of $69.6 million for the same period, primarily from our common stock offering.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 summary of our significant contractual payment obligations as of June 30, 2011 including, but not limited to, borrowings under our multi-currency $315.0 million, five-year, senior secured revolving Credit Facility maturing in June 2012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center"/>
              <w:ind w:left="57"/>
              <w:spacing w:after="0"/>
              <w:rPr>
                <w:sz w:val="20"/>
                <w:szCs w:val="20"/>
                <w:color w:val="auto"/>
              </w:rPr>
            </w:pPr>
            <w:r>
              <w:rPr>
                <w:rFonts w:ascii="Arial" w:cs="Arial" w:eastAsia="Arial" w:hAnsi="Arial"/>
                <w:sz w:val="14"/>
                <w:szCs w:val="14"/>
                <w:b w:val="1"/>
                <w:bCs w:val="1"/>
                <w:color w:val="auto"/>
                <w:w w:val="92"/>
              </w:rPr>
              <w:t>Payments due by period (in millions)</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Less than</w:t>
            </w:r>
          </w:p>
        </w:tc>
        <w:tc>
          <w:tcPr>
            <w:tcW w:w="280" w:type="dxa"/>
            <w:vAlign w:val="bottom"/>
          </w:tcPr>
          <w:p>
            <w:pPr>
              <w:spacing w:after="0"/>
              <w:rPr>
                <w:sz w:val="13"/>
                <w:szCs w:val="13"/>
                <w:color w:val="auto"/>
              </w:rPr>
            </w:pPr>
          </w:p>
        </w:tc>
        <w:tc>
          <w:tcPr>
            <w:tcW w:w="94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88"/>
              </w:rPr>
              <w:t>1-3</w:t>
            </w:r>
          </w:p>
        </w:tc>
        <w:tc>
          <w:tcPr>
            <w:tcW w:w="120" w:type="dxa"/>
            <w:vAlign w:val="bottom"/>
          </w:tcPr>
          <w:p>
            <w:pPr>
              <w:spacing w:after="0"/>
              <w:rPr>
                <w:sz w:val="13"/>
                <w:szCs w:val="13"/>
                <w:color w:val="auto"/>
              </w:rPr>
            </w:pPr>
          </w:p>
        </w:tc>
        <w:tc>
          <w:tcPr>
            <w:tcW w:w="860" w:type="dxa"/>
            <w:vAlign w:val="bottom"/>
          </w:tcPr>
          <w:p>
            <w:pPr>
              <w:jc w:val="right"/>
              <w:ind w:right="79"/>
              <w:spacing w:after="0" w:line="153" w:lineRule="exact"/>
              <w:rPr>
                <w:sz w:val="20"/>
                <w:szCs w:val="20"/>
                <w:color w:val="auto"/>
              </w:rPr>
            </w:pPr>
            <w:r>
              <w:rPr>
                <w:rFonts w:ascii="Arial" w:cs="Arial" w:eastAsia="Arial" w:hAnsi="Arial"/>
                <w:sz w:val="14"/>
                <w:szCs w:val="14"/>
                <w:b w:val="1"/>
                <w:bCs w:val="1"/>
                <w:color w:val="auto"/>
              </w:rPr>
              <w:t>3-5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years</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43"/>
        </w:trPr>
        <w:tc>
          <w:tcPr>
            <w:tcW w:w="46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62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46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4620" w:type="dxa"/>
            <w:vAlign w:val="bottom"/>
          </w:tcPr>
          <w:p>
            <w:pPr>
              <w:ind w:left="40"/>
              <w:spacing w:after="0"/>
              <w:rPr>
                <w:sz w:val="20"/>
                <w:szCs w:val="20"/>
                <w:color w:val="auto"/>
              </w:rPr>
            </w:pPr>
            <w:r>
              <w:rPr>
                <w:rFonts w:ascii="Arial" w:cs="Arial" w:eastAsia="Arial" w:hAnsi="Arial"/>
                <w:sz w:val="18"/>
                <w:szCs w:val="18"/>
                <w:color w:val="auto"/>
              </w:rPr>
              <w:t>SBA debentures</w:t>
            </w:r>
            <w:r>
              <w:rPr>
                <w:rFonts w:ascii="Arial" w:cs="Arial" w:eastAsia="Arial" w:hAnsi="Arial"/>
                <w:sz w:val="25"/>
                <w:szCs w:val="25"/>
                <w:color w:val="auto"/>
                <w:vertAlign w:val="superscript"/>
              </w:rPr>
              <w:t>(2)</w:t>
            </w:r>
          </w:p>
        </w:tc>
        <w:tc>
          <w:tcPr>
            <w:tcW w:w="300" w:type="dxa"/>
            <w:vAlign w:val="bottom"/>
          </w:tcPr>
          <w:p>
            <w:pPr>
              <w:spacing w:after="0"/>
              <w:rPr>
                <w:sz w:val="24"/>
                <w:szCs w:val="24"/>
                <w:color w:val="auto"/>
              </w:rPr>
            </w:pPr>
          </w:p>
        </w:tc>
        <w:tc>
          <w:tcPr>
            <w:tcW w:w="980" w:type="dxa"/>
            <w:vAlign w:val="bottom"/>
            <w:vMerge w:val="restart"/>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4"/>
                <w:szCs w:val="24"/>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vMerge w:val="restart"/>
          </w:tcPr>
          <w:p>
            <w:pPr>
              <w:jc w:val="right"/>
              <w:ind w:right="15"/>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Subtotal debt outstanding</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4"/>
                <w:szCs w:val="24"/>
                <w:color w:val="auto"/>
              </w:rPr>
            </w:pPr>
          </w:p>
        </w:tc>
        <w:tc>
          <w:tcPr>
            <w:tcW w:w="9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4"/>
                <w:szCs w:val="24"/>
                <w:color w:val="auto"/>
              </w:rPr>
            </w:pPr>
          </w:p>
        </w:tc>
        <w:tc>
          <w:tcPr>
            <w:tcW w:w="4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61"/>
        </w:trPr>
        <w:tc>
          <w:tcPr>
            <w:tcW w:w="46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1060" w:type="dxa"/>
            <w:vAlign w:val="bottom"/>
            <w:tcBorders>
              <w:bottom w:val="single" w:sz="8" w:color="CCEEFF"/>
            </w:tcBorders>
            <w:gridSpan w:val="2"/>
            <w:vMerge w:val="continue"/>
            <w:shd w:val="clear" w:color="auto" w:fill="CCEEFF"/>
          </w:tcPr>
          <w:p>
            <w:pPr>
              <w:spacing w:after="0"/>
              <w:rPr>
                <w:sz w:val="5"/>
                <w:szCs w:val="5"/>
                <w:color w:val="auto"/>
              </w:rPr>
            </w:pPr>
          </w:p>
        </w:tc>
        <w:tc>
          <w:tcPr>
            <w:tcW w:w="86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CCEEFF"/>
            </w:tcBorders>
            <w:gridSpan w:val="2"/>
            <w:vMerge w:val="continue"/>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4620" w:type="dxa"/>
            <w:vAlign w:val="bottom"/>
          </w:tcPr>
          <w:p>
            <w:pPr>
              <w:ind w:left="40"/>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25"/>
                <w:szCs w:val="25"/>
                <w:color w:val="auto"/>
                <w:vertAlign w:val="superscript"/>
              </w:rPr>
              <w:t>(4)</w:t>
            </w:r>
          </w:p>
        </w:tc>
        <w:tc>
          <w:tcPr>
            <w:tcW w:w="300" w:type="dxa"/>
            <w:vAlign w:val="bottom"/>
          </w:tcPr>
          <w:p>
            <w:pPr>
              <w:spacing w:after="0"/>
              <w:rPr>
                <w:sz w:val="24"/>
                <w:szCs w:val="24"/>
                <w:color w:val="auto"/>
              </w:rPr>
            </w:pPr>
          </w:p>
        </w:tc>
        <w:tc>
          <w:tcPr>
            <w:tcW w:w="980" w:type="dxa"/>
            <w:vAlign w:val="bottom"/>
            <w:vMerge w:val="restart"/>
          </w:tcPr>
          <w:p>
            <w:pPr>
              <w:jc w:val="right"/>
              <w:ind w:right="33"/>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vMerge w:val="restart"/>
          </w:tcPr>
          <w:p>
            <w:pPr>
              <w:jc w:val="right"/>
              <w:ind w:right="15"/>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vMerge w:val="restart"/>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77"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As of June 30, 2011, we had $157.3 million of unused borrowing capacity under our Credit Facility, subject to maintenance of the applicable total assets to debt ratio of 200%, maintenance of a blended percentage of the values of our portfolio companies and restrictions on certain payments and issuance of debt.</w:t>
      </w: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June 30, 2011, SBIC LP had $25.0 million of unused borrowing capacity under SBIC LP’s commitment from the SBA.</w:t>
      </w:r>
    </w:p>
    <w:p>
      <w:pPr>
        <w:spacing w:after="0" w:line="18" w:lineRule="exact"/>
        <w:rPr>
          <w:rFonts w:ascii="Arial" w:cs="Arial" w:eastAsia="Arial" w:hAnsi="Arial"/>
          <w:sz w:val="16"/>
          <w:szCs w:val="16"/>
          <w:color w:val="auto"/>
        </w:rPr>
      </w:pPr>
    </w:p>
    <w:p>
      <w:pPr>
        <w:ind w:left="660" w:hanging="652"/>
        <w:spacing w:after="0" w:line="264"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weighted average interest rate on the total debt outstanding as of June 30, 2011 is 2.02% exclusive of the fee on the undrawn commitment of 0.20% on the Credit Facility and 3.43% of upfront fees on SBIC LP’s SBA debentures.</w:t>
      </w:r>
    </w:p>
    <w:p>
      <w:pPr>
        <w:ind w:left="660" w:hanging="652"/>
        <w:spacing w:after="0" w:line="288"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Unfunded debt investments described in the Consolidated Statements of Assets and Liabilities represent unfunded delayed draws on investments in first lien secured debt and subordinated debt investments.</w:t>
      </w:r>
    </w:p>
    <w:p>
      <w:pPr>
        <w:sectPr>
          <w:pgSz w:w="11900" w:h="16838" w:orient="portrait"/>
          <w:cols w:equalWidth="0" w:num="1">
            <w:col w:w="11240"/>
          </w:cols>
          <w:pgMar w:left="320" w:top="125"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have entered into certain contracts under which we have material future commitments. Under our Investment Management Agreement, which was renewed in February 2011, PennantPark Investment Advisers serves as our investment adviser in accordance with the terms of that Investment Management Agreement. PennantPark Investment, through the Investment Adviser, provides similar services to SBIC LP under its investment management agreement with SBIC LP. SBIC LP's investment management agreement does not affect the management or incentive fees that we pay to the Investment Adviser on a consolidated basis. Payments under our Investment Management Agreement in each reporting period is equal to (1) a management fee equal to a percentage of the value of our gross assets and (2) an incentive fee based on our performance.</w:t>
      </w:r>
    </w:p>
    <w:p>
      <w:pPr>
        <w:spacing w:after="0" w:line="17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Under our Administration Agreement, which was renewed in February 2011, PennantPark Investment Administration furnishes us with office facilities and administrative services necessary to conduct our day-to-day operations. PennantPark Investment, through the Administrator, provides similar services to SBIC LP under an administration agreement with SBIC LP, which is intended to have no effect on the consolidated administration fee. We, through the Administrator, provide administrative and managerial assistance to our controlled affiliate, SPH. If requested to provide managerial assistance to our portfolio companies, we or PennantPark Investment Administration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w:t>
      </w:r>
    </w:p>
    <w:p>
      <w:pPr>
        <w:spacing w:after="0" w:line="151" w:lineRule="exact"/>
        <w:rPr>
          <w:sz w:val="20"/>
          <w:szCs w:val="20"/>
          <w:color w:val="auto"/>
        </w:rPr>
      </w:pPr>
    </w:p>
    <w:p>
      <w:pPr>
        <w:jc w:val="both"/>
        <w:ind w:right="80" w:firstLine="405"/>
        <w:spacing w:after="0" w:line="311"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currently engage in no off-balance sheet arrangements, including any risk management of commodity pricing or other hedging practices.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4"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at least 90% of the sum of our ordinary income and realized net short-term capital gains, if any, to our stockholders on an annual basis.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 For the nine months ended June 30, 2011 and 2010, we elected to retain a portion of our calendar year income and accrued an excise tax of $0.2 million and $0.1 million, respectively.</w:t>
      </w:r>
    </w:p>
    <w:p>
      <w:pPr>
        <w:spacing w:after="0" w:line="5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three and nine months ended June 30, 2011, we declared distributions of $0.27 and $0.80 per share, respectively, for total distributions of $12.3 million and $34.0 million, respectively. For the same periods in the prior year, we declared distributions of $0.26 and $0.77 per share, respectively, for total distributions of $8.2 million and $22.9 million, respectively. Distributions are paid from taxable earnings and may include a return of capital and/or capital gains. The specific tax characteristics of the distributions will be reported to stockholders on Form 1099-DIV after the end of the calendar year and in its periodic report filed with the SEC.</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intend to continue to make quarterly distributions to our stockholders. Our quarterly distributions, if any, are determined by our board of directors.</w:t>
      </w:r>
    </w:p>
    <w:p>
      <w:pPr>
        <w:spacing w:after="0" w:line="20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3"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elect to receive cash, each shareholder electing to receive cash will receive a pro rata amount of cash (with the balance of the distribution paid in stock). In no event will any shareholder electing to receive cash receive an amount equal to less than 10% of his or her entire distribution in cash. We have not elected to distribute stock as a dividend but reserve the right to do so.</w:t>
      </w:r>
    </w:p>
    <w:p>
      <w:pPr>
        <w:spacing w:after="0" w:line="14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business development company under the 1940 Act and/or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8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On July 22, 2011, SBIC LP received a debt commitment from the SBA for an additional $50.0 million, bringing its total debt commitment from the SBA to $150.0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one to three months, after which they reset to current market interest rates.</w:t>
      </w:r>
    </w:p>
    <w:p>
      <w:pPr>
        <w:spacing w:after="0" w:line="143"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Assuming that the current balance sheet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the net change in net assets resulting from operations, or net income. Accordingly, no assurances can be given that actual results would not differ materially from the statement above.</w:t>
      </w:r>
    </w:p>
    <w:p>
      <w:pPr>
        <w:spacing w:after="0" w:line="13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In periods of increasing interest rates, our cost of funds would increase, which may reduce our net investment income. As a result, there can be no assurance that a significant change in market interest rates will not have a material adverse effect on our net investment income.</w:t>
      </w:r>
    </w:p>
    <w:p>
      <w:pPr>
        <w:spacing w:after="0" w:line="146"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1"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As of the period covered by this Report, we, including our Chief Executive Officer and Chief Financial Officer, evaluated the effectiveness of the design and operation of our disclosure controls and procedures (as defined in Rule 13a-15(e) of the 1934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9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June 30, 2011 that has materially affected, or is reasonably likely to materially affect, our control over financial reporting.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Neither we nor our Investment Adviser nor our Administrator is currently subject to any material legal proceedings, nor, to our knowledge, is any material legal proceeding threatened against us,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In addition to the other information set forth in this report, you should consider carefully the factors discussed in Part I “Item 1A. Risk Factors” in our Annual Report on Form 10-K for the fiscal year ended September 30, 2010, which could materially affect our business, financial condition and/or operating results. The risks described in our Annual Report on Form 10-K are not the only risks facing us. Additional risks and uncertainties not currently known to us or that we currently deem to be immaterial also may materially and adversely affect our business, financial condition and/or operating results.</w:t>
      </w:r>
    </w:p>
    <w:p>
      <w:pPr>
        <w:spacing w:after="0" w:line="194"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utilize a revolving five-year credit facility to make investments in our portfolio companies. Our credit facility expires in June 2012.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under current market conditions, we believe it may be unlikely that we could renew or refinance our credit facility on terms as favorable as those in our existing credit facility. In particular, market interest rates have increased for borrowers such as us since we entered into our credit facility in June 2007.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360" w:lineRule="exact"/>
        <w:rPr>
          <w:sz w:val="20"/>
          <w:szCs w:val="20"/>
          <w:color w:val="auto"/>
        </w:rPr>
      </w:pPr>
    </w:p>
    <w:p>
      <w:pPr>
        <w:ind w:left="840" w:right="60" w:hanging="537"/>
        <w:spacing w:after="0" w:line="277" w:lineRule="auto"/>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Incorporation (Incorporated by reference to the Registrant’s Pre-Effective Amendment No.1 to the Registration Statement on Form N-2/A (File No. 333-140092), filed on March 5, 2007).</w:t>
      </w:r>
    </w:p>
    <w:p>
      <w:pPr>
        <w:spacing w:after="0" w:line="130" w:lineRule="exact"/>
        <w:rPr>
          <w:sz w:val="20"/>
          <w:szCs w:val="20"/>
          <w:color w:val="auto"/>
        </w:rPr>
      </w:pPr>
    </w:p>
    <w:p>
      <w:pPr>
        <w:ind w:left="840" w:right="560" w:hanging="537"/>
        <w:spacing w:after="0" w:line="277" w:lineRule="auto"/>
        <w:tabs>
          <w:tab w:leader="none" w:pos="8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Registrant (Incorporated by reference to Exhibit 3.2 to Form N-2 (File No. 333-172525), filed on April 15, 2011).</w:t>
      </w:r>
    </w:p>
    <w:p>
      <w:pPr>
        <w:spacing w:after="0" w:line="130" w:lineRule="exact"/>
        <w:rPr>
          <w:sz w:val="20"/>
          <w:szCs w:val="20"/>
          <w:color w:val="auto"/>
        </w:rPr>
      </w:pPr>
    </w:p>
    <w:p>
      <w:pPr>
        <w:ind w:left="300"/>
        <w:spacing w:after="0"/>
        <w:tabs>
          <w:tab w:leader="none" w:pos="8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Exhibit 99(d)(1) to the Registrant’s Registration Statement on Form N-2 (File No. 333-</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150033), filed on April 2, 2008).</w:t>
      </w:r>
    </w:p>
    <w:p>
      <w:pPr>
        <w:spacing w:after="0" w:line="170" w:lineRule="exact"/>
        <w:rPr>
          <w:sz w:val="20"/>
          <w:szCs w:val="20"/>
          <w:color w:val="auto"/>
        </w:rPr>
      </w:pPr>
    </w:p>
    <w:p>
      <w:pPr>
        <w:ind w:left="40" w:right="1400" w:firstLine="280"/>
        <w:spacing w:after="0" w:line="510" w:lineRule="auto"/>
        <w:tabs>
          <w:tab w:leader="none" w:pos="8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Computation of Per Share Earnings (included in the notes to the consolidated financial statements contained in this Report). 31.1 * Certification of Chief Executive Officer pursuant to Rule 13a-14 of the Securities Exchange Act of 1934, as amended.</w:t>
      </w:r>
    </w:p>
    <w:p>
      <w:pPr>
        <w:spacing w:after="0" w:line="1"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84"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84"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185"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Privacy Policy of the Registrant (Incorporated by reference to Exhibit 99.1 to the Registrant’s Annual Report on Form 10-K (File No. 814-</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00736), filed on December 13, 2007).</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w:t>
      </w:r>
    </w:p>
    <w:p>
      <w:pPr>
        <w:spacing w:after="0" w:line="171" w:lineRule="exact"/>
        <w:rPr>
          <w:sz w:val="20"/>
          <w:szCs w:val="20"/>
          <w:color w:val="auto"/>
        </w:rPr>
      </w:pPr>
    </w:p>
    <w:p>
      <w:pPr>
        <w:ind w:left="720" w:hanging="685"/>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125" w:right="4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30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PENNANTPARK INVESTMENT CORPORATION</w:t>
      </w:r>
    </w:p>
    <w:p>
      <w:pPr>
        <w:spacing w:after="0" w:line="387" w:lineRule="exact"/>
        <w:rPr>
          <w:sz w:val="20"/>
          <w:szCs w:val="20"/>
          <w:color w:val="auto"/>
        </w:rPr>
      </w:pPr>
    </w:p>
    <w:p>
      <w:pPr>
        <w:ind w:left="40"/>
        <w:spacing w:after="0"/>
        <w:tabs>
          <w:tab w:leader="none" w:pos="700" w:val="left"/>
          <w:tab w:leader="none" w:pos="4420" w:val="left"/>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53" w:lineRule="exact"/>
        <w:rPr>
          <w:sz w:val="20"/>
          <w:szCs w:val="20"/>
          <w:color w:val="auto"/>
        </w:rPr>
      </w:pPr>
    </w:p>
    <w:p>
      <w:pPr>
        <w:jc w:val="center"/>
        <w:ind w:left="4720"/>
        <w:spacing w:after="0"/>
        <w:rPr>
          <w:sz w:val="20"/>
          <w:szCs w:val="20"/>
          <w:color w:val="auto"/>
        </w:rPr>
      </w:pPr>
      <w:r>
        <w:rPr>
          <w:rFonts w:ascii="Arial" w:cs="Arial" w:eastAsia="Arial" w:hAnsi="Arial"/>
          <w:sz w:val="18"/>
          <w:szCs w:val="18"/>
          <w:b w:val="1"/>
          <w:bCs w:val="1"/>
          <w:color w:val="auto"/>
        </w:rPr>
        <w:t>Arthur H. Penn</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b w:val="1"/>
          <w:bCs w:val="1"/>
          <w:color w:val="auto"/>
        </w:rPr>
        <w:t>Chief Executive Officer</w:t>
      </w:r>
    </w:p>
    <w:p>
      <w:pPr>
        <w:spacing w:after="0" w:line="391" w:lineRule="exact"/>
        <w:rPr>
          <w:sz w:val="20"/>
          <w:szCs w:val="20"/>
          <w:color w:val="auto"/>
        </w:rPr>
      </w:pPr>
    </w:p>
    <w:p>
      <w:pPr>
        <w:ind w:left="40"/>
        <w:spacing w:after="0"/>
        <w:tabs>
          <w:tab w:leader="none" w:pos="700" w:val="left"/>
          <w:tab w:leader="none" w:pos="4420" w:val="left"/>
          <w:tab w:leader="none" w:pos="7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53"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Aviv Efrat</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460" w:firstLine="3451"/>
        <w:spacing w:after="0" w:line="440"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right="20" w:firstLine="8"/>
        <w:spacing w:after="0" w:line="342" w:lineRule="auto"/>
        <w:tabs>
          <w:tab w:leader="none" w:pos="199"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0" w:lineRule="exact"/>
        <w:rPr>
          <w:sz w:val="20"/>
          <w:szCs w:val="20"/>
          <w:color w:val="auto"/>
        </w:rPr>
      </w:pPr>
    </w:p>
    <w:p>
      <w:pPr>
        <w:jc w:val="both"/>
        <w:ind w:firstLine="8"/>
        <w:spacing w:after="0" w:line="263" w:lineRule="auto"/>
        <w:tabs>
          <w:tab w:leader="none" w:pos="1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29"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9" w:lineRule="exact"/>
        <w:rPr>
          <w:rFonts w:ascii="Arial" w:cs="Arial" w:eastAsia="Arial" w:hAnsi="Arial"/>
          <w:sz w:val="18"/>
          <w:szCs w:val="18"/>
          <w:color w:val="auto"/>
        </w:rPr>
      </w:pPr>
    </w:p>
    <w:p>
      <w:pPr>
        <w:ind w:firstLine="8"/>
        <w:spacing w:after="0" w:line="277" w:lineRule="auto"/>
        <w:tabs>
          <w:tab w:leader="none" w:pos="1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20" w:firstLine="8"/>
        <w:spacing w:after="0" w:line="308" w:lineRule="auto"/>
        <w:tabs>
          <w:tab w:leader="none" w:pos="211"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92" w:lineRule="exact"/>
        <w:rPr>
          <w:sz w:val="20"/>
          <w:szCs w:val="20"/>
          <w:color w:val="auto"/>
        </w:rPr>
      </w:pPr>
    </w:p>
    <w:p>
      <w:pPr>
        <w:ind w:firstLine="8"/>
        <w:spacing w:after="0" w:line="308" w:lineRule="auto"/>
        <w:tabs>
          <w:tab w:leader="none" w:pos="20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92" w:lineRule="exact"/>
        <w:rPr>
          <w:sz w:val="20"/>
          <w:szCs w:val="20"/>
          <w:color w:val="auto"/>
        </w:rPr>
      </w:pPr>
    </w:p>
    <w:p>
      <w:pPr>
        <w:ind w:firstLine="8"/>
        <w:spacing w:after="0" w:line="277" w:lineRule="auto"/>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6" w:lineRule="exact"/>
        <w:rPr>
          <w:rFonts w:ascii="Arial" w:cs="Arial" w:eastAsia="Arial" w:hAnsi="Arial"/>
          <w:sz w:val="18"/>
          <w:szCs w:val="18"/>
          <w:color w:val="auto"/>
        </w:rPr>
      </w:pPr>
    </w:p>
    <w:p>
      <w:pPr>
        <w:ind w:firstLine="8"/>
        <w:spacing w:after="0" w:line="277" w:lineRule="auto"/>
        <w:tabs>
          <w:tab w:leader="none" w:pos="2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2011</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3287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Arthur H. Penn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66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480" w:firstLine="3476"/>
        <w:spacing w:after="0" w:line="440"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right="20" w:firstLine="8"/>
        <w:spacing w:after="0" w:line="342" w:lineRule="auto"/>
        <w:tabs>
          <w:tab w:leader="none" w:pos="199"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0" w:lineRule="exact"/>
        <w:rPr>
          <w:sz w:val="20"/>
          <w:szCs w:val="20"/>
          <w:color w:val="auto"/>
        </w:rPr>
      </w:pPr>
    </w:p>
    <w:p>
      <w:pPr>
        <w:jc w:val="both"/>
        <w:ind w:firstLine="8"/>
        <w:spacing w:after="0" w:line="263" w:lineRule="auto"/>
        <w:tabs>
          <w:tab w:leader="none" w:pos="1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29"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9" w:lineRule="exact"/>
        <w:rPr>
          <w:rFonts w:ascii="Arial" w:cs="Arial" w:eastAsia="Arial" w:hAnsi="Arial"/>
          <w:sz w:val="18"/>
          <w:szCs w:val="18"/>
          <w:color w:val="auto"/>
        </w:rPr>
      </w:pPr>
    </w:p>
    <w:p>
      <w:pPr>
        <w:ind w:firstLine="8"/>
        <w:spacing w:after="0" w:line="277" w:lineRule="auto"/>
        <w:tabs>
          <w:tab w:leader="none" w:pos="191"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20" w:firstLine="8"/>
        <w:spacing w:after="0" w:line="308" w:lineRule="auto"/>
        <w:tabs>
          <w:tab w:leader="none" w:pos="2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92" w:lineRule="exact"/>
        <w:rPr>
          <w:sz w:val="20"/>
          <w:szCs w:val="20"/>
          <w:color w:val="auto"/>
        </w:rPr>
      </w:pPr>
    </w:p>
    <w:p>
      <w:pPr>
        <w:ind w:firstLine="8"/>
        <w:spacing w:after="0" w:line="308" w:lineRule="auto"/>
        <w:tabs>
          <w:tab w:leader="none" w:pos="20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92" w:lineRule="exact"/>
        <w:rPr>
          <w:sz w:val="20"/>
          <w:szCs w:val="20"/>
          <w:color w:val="auto"/>
        </w:rPr>
      </w:pPr>
    </w:p>
    <w:p>
      <w:pPr>
        <w:ind w:firstLine="8"/>
        <w:spacing w:after="0" w:line="277" w:lineRule="auto"/>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6" w:lineRule="exact"/>
        <w:rPr>
          <w:rFonts w:ascii="Arial" w:cs="Arial" w:eastAsia="Arial" w:hAnsi="Arial"/>
          <w:sz w:val="18"/>
          <w:szCs w:val="18"/>
          <w:color w:val="auto"/>
        </w:rPr>
      </w:pPr>
    </w:p>
    <w:p>
      <w:pPr>
        <w:ind w:firstLine="8"/>
        <w:spacing w:after="0" w:line="277" w:lineRule="auto"/>
        <w:tabs>
          <w:tab w:leader="none" w:pos="2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2011</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3287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Aviv Efrat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66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connection with this Report on Form 10-Q for the nine months ended June 30, 2011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130"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1300" w:right="2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0633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Arthur H. Penn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3, 2011</w:t>
      </w:r>
    </w:p>
    <w:p>
      <w:pPr>
        <w:sectPr>
          <w:pgSz w:w="11900" w:h="16838" w:orient="portrait"/>
          <w:cols w:equalWidth="0" w:num="1">
            <w:col w:w="11240"/>
          </w:cols>
          <w:pgMar w:left="320" w:top="58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57" w:lineRule="exact"/>
        <w:rPr>
          <w:sz w:val="20"/>
          <w:szCs w:val="20"/>
          <w:color w:val="auto"/>
        </w:rPr>
      </w:pPr>
    </w:p>
    <w:p>
      <w:pPr>
        <w:jc w:val="both"/>
        <w:ind w:right="260" w:firstLine="432"/>
        <w:spacing w:after="0" w:line="263" w:lineRule="auto"/>
        <w:rPr>
          <w:sz w:val="20"/>
          <w:szCs w:val="20"/>
          <w:color w:val="auto"/>
        </w:rPr>
      </w:pPr>
      <w:r>
        <w:rPr>
          <w:rFonts w:ascii="Arial" w:cs="Arial" w:eastAsia="Arial" w:hAnsi="Arial"/>
          <w:sz w:val="18"/>
          <w:szCs w:val="18"/>
          <w:color w:val="auto"/>
        </w:rPr>
        <w:t>In connection with this Report on Form 10-Q for the nine months ended June 30, 2011 (the “Report”) of PennantPark Investment Corporation (the “Registrant”), as filed with the Securities and Exchange Commission on the date hereof, I, Aviv Efrat, Chief Financial Officer of the Registrant, hereby certify, to the best of my knowledge, that:</w:t>
      </w:r>
    </w:p>
    <w:p>
      <w:pPr>
        <w:spacing w:after="0" w:line="130"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1300" w:right="28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0633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Aviv Efrat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3, 2011</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T"/>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lowerLetter"/>
      <w:start w:val="1"/>
    </w:lvl>
    <w:lvl w:ilvl="1">
      <w:lvlJc w:val="left"/>
      <w:lvlText w:val="(%2)"/>
      <w:numFmt w:val="decimal"/>
      <w:start w:val="1"/>
    </w:lvl>
  </w:abstractNum>
  <w:abstractNum w:abstractNumId="5">
    <w:nsid w:val="41A7C4C9"/>
    <w:multiLevelType w:val="hybridMultilevel"/>
    <w:lvl w:ilvl="0">
      <w:lvlJc w:val="left"/>
      <w:lvlText w:val="(%1)"/>
      <w:numFmt w:val="lowerLetter"/>
      <w:start w:val="2"/>
    </w:lvl>
    <w:lvl w:ilvl="1">
      <w:lvlJc w:val="left"/>
      <w:lvlText w:val="%2"/>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4"/>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2020-05-05T15:09:56Z</dcterms:created>
  <dcterms:modified xsi:type="dcterms:W3CDTF">2020-05-05T15:09:56Z</dcterms:modified>
</cp:coreProperties>
</file>