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184150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203835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640"/>
        <w:spacing w:after="0"/>
        <w:rPr>
          <w:sz w:val="20"/>
          <w:szCs w:val="20"/>
          <w:color w:val="auto"/>
        </w:rPr>
      </w:pPr>
      <w:r>
        <w:rPr>
          <w:rFonts w:ascii="Arial" w:cs="Arial" w:eastAsia="Arial" w:hAnsi="Arial"/>
          <w:sz w:val="21"/>
          <w:szCs w:val="21"/>
          <w:b w:val="1"/>
          <w:bCs w:val="1"/>
          <w:color w:val="auto"/>
        </w:rPr>
        <w:t>Date of Report (Date of earliest event reported) February 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198120</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499"/>
        <w:spacing w:after="0"/>
        <w:rPr>
          <w:sz w:val="20"/>
          <w:szCs w:val="20"/>
          <w:color w:val="auto"/>
        </w:rPr>
      </w:pPr>
      <w:r>
        <w:rPr>
          <w:rFonts w:ascii="Arial" w:cs="Arial" w:eastAsia="Arial" w:hAnsi="Arial"/>
          <w:sz w:val="39"/>
          <w:szCs w:val="39"/>
          <w:b w:val="1"/>
          <w:bCs w:val="1"/>
          <w:color w:val="auto"/>
        </w:rPr>
        <w:t>PennantPark Investment Corporation</w:t>
      </w:r>
    </w:p>
    <w:p>
      <w:pPr>
        <w:spacing w:after="0" w:line="100"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190500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ectPr>
          <w:pgSz w:w="11900" w:h="16838" w:orient="portrait"/>
          <w:cols w:equalWidth="0" w:num="1">
            <w:col w:w="10740"/>
          </w:cols>
          <w:pgMar w:left="320" w:top="314" w:right="8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84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1880"/>
        <w:spacing w:after="0"/>
        <w:rPr>
          <w:sz w:val="20"/>
          <w:szCs w:val="20"/>
          <w:color w:val="auto"/>
        </w:rPr>
      </w:pPr>
      <w:r>
        <w:rPr>
          <w:rFonts w:ascii="Arial" w:cs="Arial" w:eastAsia="Arial" w:hAnsi="Arial"/>
          <w:sz w:val="15"/>
          <w:szCs w:val="15"/>
          <w:b w:val="1"/>
          <w:bCs w:val="1"/>
          <w:color w:val="auto"/>
        </w:rPr>
        <w:t>814-00736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20-8250744</w:t>
      </w:r>
    </w:p>
    <w:p>
      <w:pPr>
        <w:spacing w:after="0" w:line="55" w:lineRule="exact"/>
        <w:rPr>
          <w:sz w:val="24"/>
          <w:szCs w:val="24"/>
          <w:color w:val="auto"/>
        </w:rPr>
      </w:pPr>
    </w:p>
    <w:p>
      <w:pPr>
        <w:sectPr>
          <w:pgSz w:w="11900" w:h="16838" w:orient="portrait"/>
          <w:cols w:equalWidth="0" w:num="3">
            <w:col w:w="4540" w:space="720"/>
            <w:col w:w="2640" w:space="720"/>
            <w:col w:w="2120"/>
          </w:cols>
          <w:pgMar w:left="320" w:top="314" w:right="839" w:bottom="1440" w:gutter="0" w:footer="0" w:header="0"/>
          <w:type w:val="continuous"/>
        </w:sectPr>
      </w:pPr>
    </w:p>
    <w:p>
      <w:pPr>
        <w:jc w:val="center"/>
        <w:ind w:right="100"/>
        <w:spacing w:after="0"/>
        <w:rPr>
          <w:sz w:val="20"/>
          <w:szCs w:val="20"/>
          <w:color w:val="auto"/>
        </w:rPr>
      </w:pPr>
      <w:r>
        <w:rPr>
          <w:rFonts w:ascii="Arial" w:cs="Arial" w:eastAsia="Arial" w:hAnsi="Arial"/>
          <w:sz w:val="12"/>
          <w:szCs w:val="12"/>
          <w:b w:val="1"/>
          <w:bCs w:val="1"/>
          <w:color w:val="auto"/>
        </w:rPr>
        <w:t>(State or other jurisdiction</w:t>
      </w:r>
    </w:p>
    <w:p>
      <w:pPr>
        <w:spacing w:after="0" w:line="14" w:lineRule="exact"/>
        <w:rPr>
          <w:sz w:val="24"/>
          <w:szCs w:val="24"/>
          <w:color w:val="auto"/>
        </w:rPr>
      </w:pPr>
    </w:p>
    <w:p>
      <w:pPr>
        <w:jc w:val="center"/>
        <w:ind w:right="10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3"/>
          <w:szCs w:val="13"/>
          <w:b w:val="1"/>
          <w:bCs w:val="1"/>
          <w:color w:val="auto"/>
        </w:rPr>
        <w:t>(IRS Employer</w:t>
      </w:r>
    </w:p>
    <w:p>
      <w:pPr>
        <w:spacing w:after="0" w:line="2" w:lineRule="exact"/>
        <w:rPr>
          <w:sz w:val="24"/>
          <w:szCs w:val="24"/>
          <w:color w:val="auto"/>
        </w:rPr>
      </w:pPr>
    </w:p>
    <w:p>
      <w:pPr>
        <w:jc w:val="center"/>
        <w:ind w:right="118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520" w:space="720"/>
            <w:col w:w="2560" w:space="720"/>
            <w:col w:w="2220"/>
          </w:cols>
          <w:pgMar w:left="320" w:top="314" w:right="839" w:bottom="1440" w:gutter="0" w:footer="0" w:header="0"/>
          <w:type w:val="continuous"/>
        </w:sectPr>
      </w:pPr>
    </w:p>
    <w:p>
      <w:pPr>
        <w:spacing w:after="0" w:line="13"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590 Madison Avenue, 15th Floor, New York, NY</w:t>
      </w:r>
    </w:p>
    <w:p>
      <w:pPr>
        <w:spacing w:after="0" w:line="20" w:lineRule="exact"/>
        <w:rPr>
          <w:sz w:val="24"/>
          <w:szCs w:val="24"/>
          <w:color w:val="auto"/>
        </w:rPr>
      </w:pPr>
      <w:r>
        <w:rPr>
          <w:sz w:val="24"/>
          <w:szCs w:val="24"/>
          <w:color w:val="auto"/>
        </w:rPr>
        <w:br w:type="column"/>
      </w:r>
    </w:p>
    <w:p>
      <w:pPr>
        <w:jc w:val="center"/>
        <w:ind w:right="2640"/>
        <w:spacing w:after="0"/>
        <w:rPr>
          <w:sz w:val="20"/>
          <w:szCs w:val="20"/>
          <w:color w:val="auto"/>
        </w:rPr>
      </w:pPr>
      <w:r>
        <w:rPr>
          <w:rFonts w:ascii="Arial" w:cs="Arial" w:eastAsia="Arial" w:hAnsi="Arial"/>
          <w:sz w:val="15"/>
          <w:szCs w:val="15"/>
          <w:b w:val="1"/>
          <w:bCs w:val="1"/>
          <w:color w:val="auto"/>
        </w:rPr>
        <w:t>10022</w:t>
      </w:r>
    </w:p>
    <w:p>
      <w:pPr>
        <w:spacing w:after="0" w:line="55" w:lineRule="exact"/>
        <w:rPr>
          <w:sz w:val="24"/>
          <w:szCs w:val="24"/>
          <w:color w:val="auto"/>
        </w:rPr>
      </w:pPr>
    </w:p>
    <w:p>
      <w:pPr>
        <w:sectPr>
          <w:pgSz w:w="11900" w:h="16838" w:orient="portrait"/>
          <w:cols w:equalWidth="0" w:num="2">
            <w:col w:w="6940" w:space="720"/>
            <w:col w:w="3080"/>
          </w:cols>
          <w:pgMar w:left="320" w:top="314" w:right="839" w:bottom="1440" w:gutter="0" w:footer="0" w:header="0"/>
          <w:type w:val="continuous"/>
        </w:sectPr>
      </w:pPr>
    </w:p>
    <w:p>
      <w:pPr>
        <w:ind w:left="222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6840" w:space="720"/>
            <w:col w:w="3180"/>
          </w:cols>
          <w:pgMar w:left="320" w:top="314" w:right="839" w:bottom="1440" w:gutter="0" w:footer="0" w:header="0"/>
          <w:type w:val="continuous"/>
        </w:sectPr>
      </w:pPr>
    </w:p>
    <w:p>
      <w:pPr>
        <w:jc w:val="center"/>
        <w:ind w:right="-4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212-905-1000</w:t>
      </w:r>
    </w:p>
    <w:p>
      <w:pPr>
        <w:spacing w:after="0" w:line="17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49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155" w:lineRule="exact"/>
        <w:rPr>
          <w:sz w:val="24"/>
          <w:szCs w:val="24"/>
          <w:color w:val="auto"/>
        </w:rPr>
      </w:pPr>
    </w:p>
    <w:p>
      <w:pPr>
        <w:ind w:firstLine="449"/>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314" w:right="83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177"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On February 1, 2011, the Company held its annual meeting of stockholders (the “Annual Meeting”). At the Annual Meeting, the Company’s stockholders approved three proposals. The proposals are described in detail in the Company’s definitive proxy statement for the Annual Meeting as filed with the Securities and Exchange Commission on December 7, 2010. As of December 14, 2010, the record date, 36,223,950 shares of common stock were eligible to vote.</w:t>
      </w:r>
    </w:p>
    <w:p>
      <w:pPr>
        <w:spacing w:after="0" w:line="8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Company’s stockholders elected two directors of the Company, each of whom will serve until the 2014 Annual Meeting, or until his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is duly elected and qualifies or until his earlier resignation, removal from office, death or incapacity. The two directors were re-elected pursuant to the voting results set forth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tcPr>
          <w:p>
            <w:pPr>
              <w:ind w:left="220"/>
              <w:spacing w:after="0"/>
              <w:rPr>
                <w:sz w:val="20"/>
                <w:szCs w:val="20"/>
                <w:color w:val="auto"/>
              </w:rPr>
            </w:pPr>
            <w:r>
              <w:rPr>
                <w:rFonts w:ascii="Arial" w:cs="Arial" w:eastAsia="Arial" w:hAnsi="Arial"/>
                <w:sz w:val="13"/>
                <w:szCs w:val="13"/>
                <w:b w:val="1"/>
                <w:bCs w:val="1"/>
                <w:color w:val="auto"/>
              </w:rPr>
              <w:t>Broker</w:t>
            </w:r>
          </w:p>
        </w:tc>
      </w:tr>
      <w:tr>
        <w:trPr>
          <w:trHeight w:val="161"/>
        </w:trPr>
        <w:tc>
          <w:tcPr>
            <w:tcW w:w="52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For</w:t>
            </w:r>
          </w:p>
        </w:tc>
        <w:tc>
          <w:tcPr>
            <w:tcW w:w="400" w:type="dxa"/>
            <w:vAlign w:val="bottom"/>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Withheld</w:t>
            </w:r>
          </w:p>
        </w:tc>
        <w:tc>
          <w:tcPr>
            <w:tcW w:w="400" w:type="dxa"/>
            <w:vAlign w:val="bottom"/>
          </w:tcPr>
          <w:p>
            <w:pPr>
              <w:spacing w:after="0"/>
              <w:rPr>
                <w:sz w:val="14"/>
                <w:szCs w:val="14"/>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3"/>
                <w:szCs w:val="13"/>
                <w:b w:val="1"/>
                <w:bCs w:val="1"/>
                <w:color w:val="auto"/>
              </w:rPr>
              <w:t>Non Vote</w:t>
            </w:r>
          </w:p>
        </w:tc>
        <w:tc>
          <w:tcPr>
            <w:tcW w:w="100" w:type="dxa"/>
            <w:vAlign w:val="bottom"/>
          </w:tcPr>
          <w:p>
            <w:pPr>
              <w:spacing w:after="0"/>
              <w:rPr>
                <w:sz w:val="14"/>
                <w:szCs w:val="14"/>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18,152,090</w:t>
            </w:r>
          </w:p>
        </w:tc>
        <w:tc>
          <w:tcPr>
            <w:tcW w:w="14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888,035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12,816,497</w:t>
            </w:r>
          </w:p>
        </w:tc>
        <w:tc>
          <w:tcPr>
            <w:tcW w:w="100" w:type="dxa"/>
            <w:vAlign w:val="bottom"/>
            <w:shd w:val="clear" w:color="auto" w:fill="CCEEFF"/>
          </w:tcPr>
          <w:p>
            <w:pPr>
              <w:spacing w:after="0"/>
              <w:rPr>
                <w:sz w:val="18"/>
                <w:szCs w:val="18"/>
                <w:color w:val="auto"/>
              </w:rPr>
            </w:pP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Samuel L. Katz</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18,705,888</w:t>
            </w:r>
          </w:p>
        </w:tc>
        <w:tc>
          <w:tcPr>
            <w:tcW w:w="1440" w:type="dxa"/>
            <w:vAlign w:val="bottom"/>
            <w:gridSpan w:val="3"/>
          </w:tcPr>
          <w:p>
            <w:pPr>
              <w:ind w:left="480"/>
              <w:spacing w:after="0"/>
              <w:rPr>
                <w:sz w:val="20"/>
                <w:szCs w:val="20"/>
                <w:color w:val="auto"/>
              </w:rPr>
            </w:pPr>
            <w:r>
              <w:rPr>
                <w:rFonts w:ascii="Arial" w:cs="Arial" w:eastAsia="Arial" w:hAnsi="Arial"/>
                <w:sz w:val="18"/>
                <w:szCs w:val="18"/>
                <w:color w:val="auto"/>
              </w:rPr>
              <w:t>334,237</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12,816,497</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The Company’s stockholders ratified the selection of KPMG LLP to serve as the Company’s independent registered public accounting firm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 ending December 31, 2011, as set forth below:</w:t>
      </w:r>
    </w:p>
    <w:p>
      <w:pPr>
        <w:spacing w:after="0" w:line="162" w:lineRule="exact"/>
        <w:rPr>
          <w:sz w:val="20"/>
          <w:szCs w:val="20"/>
          <w:color w:val="auto"/>
        </w:rPr>
      </w:pPr>
    </w:p>
    <w:tbl>
      <w:tblPr>
        <w:tblLayout w:type="fixed"/>
        <w:tblInd w:w="280" w:type="dxa"/>
        <w:tblCellMar>
          <w:top w:w="0" w:type="dxa"/>
          <w:left w:w="0" w:type="dxa"/>
          <w:bottom w:w="0" w:type="dxa"/>
          <w:right w:w="0" w:type="dxa"/>
        </w:tblCellMar>
      </w:tblPr>
      <w:tr>
        <w:trPr>
          <w:trHeight w:val="175"/>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w:t>
            </w:r>
          </w:p>
        </w:tc>
        <w:tc>
          <w:tcPr>
            <w:tcW w:w="2040" w:type="dxa"/>
            <w:vAlign w:val="bottom"/>
          </w:tcPr>
          <w:p>
            <w:pPr>
              <w:spacing w:after="0"/>
              <w:rPr>
                <w:sz w:val="15"/>
                <w:szCs w:val="15"/>
                <w:color w:val="auto"/>
              </w:rPr>
            </w:pPr>
          </w:p>
        </w:tc>
        <w:tc>
          <w:tcPr>
            <w:tcW w:w="160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Against</w:t>
            </w:r>
          </w:p>
        </w:tc>
        <w:tc>
          <w:tcPr>
            <w:tcW w:w="1840" w:type="dxa"/>
            <w:vAlign w:val="bottom"/>
          </w:tcPr>
          <w:p>
            <w:pPr>
              <w:spacing w:after="0"/>
              <w:rPr>
                <w:sz w:val="15"/>
                <w:szCs w:val="15"/>
                <w:color w:val="auto"/>
              </w:rPr>
            </w:pPr>
          </w:p>
        </w:tc>
        <w:tc>
          <w:tcPr>
            <w:tcW w:w="160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Abstain</w:t>
            </w:r>
          </w:p>
        </w:tc>
      </w:tr>
      <w:tr>
        <w:trPr>
          <w:trHeight w:val="216"/>
        </w:trPr>
        <w:tc>
          <w:tcPr>
            <w:tcW w:w="1080" w:type="dxa"/>
            <w:vAlign w:val="bottom"/>
          </w:tcPr>
          <w:p>
            <w:pPr>
              <w:jc w:val="right"/>
              <w:ind w:right="82"/>
              <w:spacing w:after="0"/>
              <w:rPr>
                <w:sz w:val="20"/>
                <w:szCs w:val="20"/>
                <w:color w:val="auto"/>
              </w:rPr>
            </w:pPr>
            <w:r>
              <w:rPr>
                <w:rFonts w:ascii="Arial" w:cs="Arial" w:eastAsia="Arial" w:hAnsi="Arial"/>
                <w:sz w:val="18"/>
                <w:szCs w:val="18"/>
                <w:color w:val="auto"/>
                <w:w w:val="99"/>
              </w:rPr>
              <w:t>31,725,951</w:t>
            </w:r>
          </w:p>
        </w:tc>
        <w:tc>
          <w:tcPr>
            <w:tcW w:w="2040" w:type="dxa"/>
            <w:vAlign w:val="bottom"/>
          </w:tcPr>
          <w:p>
            <w:pPr>
              <w:spacing w:after="0"/>
              <w:rPr>
                <w:sz w:val="18"/>
                <w:szCs w:val="18"/>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89,119</w:t>
            </w:r>
          </w:p>
        </w:tc>
        <w:tc>
          <w:tcPr>
            <w:tcW w:w="1840" w:type="dxa"/>
            <w:vAlign w:val="bottom"/>
          </w:tcPr>
          <w:p>
            <w:pPr>
              <w:spacing w:after="0"/>
              <w:rPr>
                <w:sz w:val="18"/>
                <w:szCs w:val="18"/>
                <w:color w:val="auto"/>
              </w:rPr>
            </w:pPr>
          </w:p>
        </w:tc>
        <w:tc>
          <w:tcPr>
            <w:tcW w:w="1600" w:type="dxa"/>
            <w:vAlign w:val="bottom"/>
          </w:tcPr>
          <w:p>
            <w:pPr>
              <w:ind w:left="560"/>
              <w:spacing w:after="0"/>
              <w:rPr>
                <w:sz w:val="20"/>
                <w:szCs w:val="20"/>
                <w:color w:val="auto"/>
              </w:rPr>
            </w:pPr>
            <w:r>
              <w:rPr>
                <w:rFonts w:ascii="Arial" w:cs="Arial" w:eastAsia="Arial" w:hAnsi="Arial"/>
                <w:sz w:val="18"/>
                <w:szCs w:val="18"/>
                <w:color w:val="auto"/>
              </w:rPr>
              <w:t>41,552</w:t>
            </w:r>
          </w:p>
        </w:tc>
      </w:tr>
    </w:tbl>
    <w:p>
      <w:pPr>
        <w:spacing w:after="0" w:line="141"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b w:val="1"/>
          <w:bCs w:val="1"/>
          <w:color w:val="auto"/>
        </w:rPr>
        <w:t xml:space="preserve">Proposal 3. </w:t>
      </w:r>
      <w:r>
        <w:rPr>
          <w:rFonts w:ascii="Arial" w:cs="Arial" w:eastAsia="Arial" w:hAnsi="Arial"/>
          <w:sz w:val="16"/>
          <w:szCs w:val="16"/>
          <w:color w:val="auto"/>
        </w:rPr>
        <w:t>The Company’s stockholders approved a proposal to authorize flexibility for the Company, with the approval of its Board of Directors, to sell</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its common stock (during the 12 months subsequent to the date of the Annual Meeting) at a price below its then current net asset value per share subject to certain limitations as described the proxy statement. The proposal was approved pursuant to the voting results set forth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ind w:left="220"/>
              <w:spacing w:after="0"/>
              <w:rPr>
                <w:sz w:val="20"/>
                <w:szCs w:val="20"/>
                <w:color w:val="auto"/>
              </w:rPr>
            </w:pPr>
            <w:r>
              <w:rPr>
                <w:rFonts w:ascii="Arial" w:cs="Arial" w:eastAsia="Arial" w:hAnsi="Arial"/>
                <w:sz w:val="13"/>
                <w:szCs w:val="13"/>
                <w:b w:val="1"/>
                <w:bCs w:val="1"/>
                <w:color w:val="auto"/>
              </w:rPr>
              <w:t>Broker</w:t>
            </w:r>
          </w:p>
        </w:tc>
      </w:tr>
      <w:tr>
        <w:trPr>
          <w:trHeight w:val="161"/>
        </w:trPr>
        <w:tc>
          <w:tcPr>
            <w:tcW w:w="4520" w:type="dxa"/>
            <w:vAlign w:val="bottom"/>
          </w:tcPr>
          <w:p>
            <w:pPr>
              <w:spacing w:after="0"/>
              <w:rPr>
                <w:sz w:val="14"/>
                <w:szCs w:val="14"/>
                <w:color w:val="auto"/>
              </w:rPr>
            </w:pPr>
          </w:p>
        </w:tc>
        <w:tc>
          <w:tcPr>
            <w:tcW w:w="8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For</w:t>
            </w:r>
          </w:p>
        </w:tc>
        <w:tc>
          <w:tcPr>
            <w:tcW w:w="260" w:type="dxa"/>
            <w:vAlign w:val="bottom"/>
          </w:tcPr>
          <w:p>
            <w:pPr>
              <w:spacing w:after="0"/>
              <w:rPr>
                <w:sz w:val="14"/>
                <w:szCs w:val="14"/>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Against</w:t>
            </w:r>
          </w:p>
        </w:tc>
        <w:tc>
          <w:tcPr>
            <w:tcW w:w="240" w:type="dxa"/>
            <w:vAlign w:val="bottom"/>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Abstain</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Non Vote</w:t>
            </w:r>
          </w:p>
        </w:tc>
        <w:tc>
          <w:tcPr>
            <w:tcW w:w="100" w:type="dxa"/>
            <w:vAlign w:val="bottom"/>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With Affiliates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15,244,768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3,645,047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150,310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12,816,497</w:t>
            </w:r>
          </w:p>
        </w:tc>
        <w:tc>
          <w:tcPr>
            <w:tcW w:w="100" w:type="dxa"/>
            <w:vAlign w:val="bottom"/>
            <w:shd w:val="clear" w:color="auto" w:fill="CCEEFF"/>
          </w:tcPr>
          <w:p>
            <w:pPr>
              <w:spacing w:after="0"/>
              <w:rPr>
                <w:sz w:val="18"/>
                <w:szCs w:val="18"/>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 Outstanding</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42.08%</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10.06%</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0.41%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35.38%</w:t>
            </w:r>
          </w:p>
        </w:tc>
      </w:tr>
      <w:tr>
        <w:trPr>
          <w:trHeight w:val="102"/>
        </w:trPr>
        <w:tc>
          <w:tcPr>
            <w:tcW w:w="4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Without Affiliates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14,460,027</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3,645,047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90,210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12,816,497</w:t>
            </w:r>
          </w:p>
        </w:tc>
        <w:tc>
          <w:tcPr>
            <w:tcW w:w="100" w:type="dxa"/>
            <w:vAlign w:val="bottom"/>
            <w:shd w:val="clear" w:color="auto" w:fill="CCEEFF"/>
          </w:tcPr>
          <w:p>
            <w:pPr>
              <w:spacing w:after="0"/>
              <w:rPr>
                <w:sz w:val="18"/>
                <w:szCs w:val="18"/>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 Outstanding</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40.89%</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10.31%</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0.26%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36.23%</w:t>
            </w:r>
          </w:p>
        </w:tc>
      </w:tr>
    </w:tbl>
    <w:p>
      <w:pPr>
        <w:sectPr>
          <w:pgSz w:w="11900" w:h="16838" w:orient="portrait"/>
          <w:cols w:equalWidth="0" w:num="1">
            <w:col w:w="11200"/>
          </w:cols>
          <w:pgMar w:left="320" w:top="27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177" w:lineRule="exact"/>
        <w:rPr>
          <w:sz w:val="20"/>
          <w:szCs w:val="20"/>
          <w:color w:val="auto"/>
        </w:rPr>
      </w:pPr>
    </w:p>
    <w:p>
      <w:pPr>
        <w:ind w:right="40" w:firstLine="449"/>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40" w:type="dxa"/>
            <w:vAlign w:val="bottom"/>
          </w:tcPr>
          <w:p>
            <w:pPr>
              <w:spacing w:after="0"/>
              <w:rPr>
                <w:sz w:val="19"/>
                <w:szCs w:val="19"/>
                <w:color w:val="auto"/>
              </w:rPr>
            </w:pPr>
          </w:p>
        </w:tc>
        <w:tc>
          <w:tcPr>
            <w:tcW w:w="5600" w:type="dxa"/>
            <w:vAlign w:val="bottom"/>
          </w:tcPr>
          <w:p>
            <w:pPr>
              <w:jc w:val="center"/>
              <w:ind w:left="12"/>
              <w:spacing w:after="0"/>
              <w:rPr>
                <w:sz w:val="20"/>
                <w:szCs w:val="20"/>
                <w:color w:val="auto"/>
              </w:rPr>
            </w:pPr>
            <w:r>
              <w:rPr>
                <w:rFonts w:ascii="Arial" w:cs="Arial" w:eastAsia="Arial" w:hAnsi="Arial"/>
                <w:sz w:val="18"/>
                <w:szCs w:val="18"/>
                <w:b w:val="1"/>
                <w:bCs w:val="1"/>
                <w:color w:val="auto"/>
                <w:w w:val="89"/>
              </w:rPr>
              <w:t>PennantPark Investment Corporation</w:t>
            </w:r>
          </w:p>
        </w:tc>
      </w:tr>
      <w:tr>
        <w:trPr>
          <w:trHeight w:val="222"/>
        </w:trPr>
        <w:tc>
          <w:tcPr>
            <w:tcW w:w="5640" w:type="dxa"/>
            <w:vAlign w:val="bottom"/>
          </w:tcPr>
          <w:p>
            <w:pPr>
              <w:spacing w:after="0"/>
              <w:rPr>
                <w:sz w:val="19"/>
                <w:szCs w:val="19"/>
                <w:color w:val="auto"/>
              </w:rPr>
            </w:pPr>
          </w:p>
        </w:tc>
        <w:tc>
          <w:tcPr>
            <w:tcW w:w="5600" w:type="dxa"/>
            <w:vAlign w:val="bottom"/>
          </w:tcPr>
          <w:p>
            <w:pPr>
              <w:jc w:val="center"/>
              <w:ind w:left="32"/>
              <w:spacing w:after="0"/>
              <w:rPr>
                <w:sz w:val="20"/>
                <w:szCs w:val="20"/>
                <w:color w:val="auto"/>
              </w:rPr>
            </w:pPr>
            <w:r>
              <w:rPr>
                <w:rFonts w:ascii="Arial" w:cs="Arial" w:eastAsia="Arial" w:hAnsi="Arial"/>
                <w:sz w:val="18"/>
                <w:szCs w:val="18"/>
                <w:color w:val="auto"/>
                <w:w w:val="89"/>
              </w:rPr>
              <w:t>(Registrant)</w:t>
            </w:r>
          </w:p>
        </w:tc>
      </w:tr>
      <w:tr>
        <w:trPr>
          <w:trHeight w:val="364"/>
        </w:trPr>
        <w:tc>
          <w:tcPr>
            <w:tcW w:w="5640" w:type="dxa"/>
            <w:vAlign w:val="bottom"/>
          </w:tcPr>
          <w:p>
            <w:pPr>
              <w:spacing w:after="0"/>
              <w:rPr>
                <w:sz w:val="20"/>
                <w:szCs w:val="20"/>
                <w:color w:val="auto"/>
              </w:rPr>
            </w:pPr>
            <w:r>
              <w:rPr>
                <w:rFonts w:ascii="Arial" w:cs="Arial" w:eastAsia="Arial" w:hAnsi="Arial"/>
                <w:sz w:val="18"/>
                <w:szCs w:val="18"/>
                <w:color w:val="auto"/>
              </w:rPr>
              <w:t>February 3, 2011</w:t>
            </w:r>
          </w:p>
        </w:tc>
        <w:tc>
          <w:tcPr>
            <w:tcW w:w="56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4"/>
              </w:rPr>
              <w:t>/s/ AVIV EFRAT</w:t>
            </w:r>
          </w:p>
        </w:tc>
      </w:tr>
      <w:tr>
        <w:trPr>
          <w:trHeight w:val="203"/>
        </w:trPr>
        <w:tc>
          <w:tcPr>
            <w:tcW w:w="5640" w:type="dxa"/>
            <w:vAlign w:val="bottom"/>
          </w:tcPr>
          <w:p>
            <w:pPr>
              <w:spacing w:after="0" w:line="203" w:lineRule="exact"/>
              <w:rPr>
                <w:sz w:val="20"/>
                <w:szCs w:val="20"/>
                <w:color w:val="auto"/>
              </w:rPr>
            </w:pPr>
            <w:r>
              <w:rPr>
                <w:rFonts w:ascii="Arial" w:cs="Arial" w:eastAsia="Arial" w:hAnsi="Arial"/>
                <w:sz w:val="18"/>
                <w:szCs w:val="18"/>
                <w:color w:val="auto"/>
              </w:rPr>
              <w:t>(Date)</w:t>
            </w:r>
          </w:p>
        </w:tc>
        <w:tc>
          <w:tcPr>
            <w:tcW w:w="5600" w:type="dxa"/>
            <w:vAlign w:val="bottom"/>
          </w:tcPr>
          <w:p>
            <w:pPr>
              <w:jc w:val="center"/>
              <w:ind w:left="12"/>
              <w:spacing w:after="0" w:line="203" w:lineRule="exact"/>
              <w:rPr>
                <w:sz w:val="20"/>
                <w:szCs w:val="20"/>
                <w:color w:val="auto"/>
              </w:rPr>
            </w:pPr>
            <w:r>
              <w:rPr>
                <w:rFonts w:ascii="Arial" w:cs="Arial" w:eastAsia="Arial" w:hAnsi="Arial"/>
                <w:sz w:val="18"/>
                <w:szCs w:val="18"/>
                <w:color w:val="auto"/>
                <w:w w:val="96"/>
              </w:rPr>
              <w:t>Aviv Efrat</w:t>
            </w:r>
          </w:p>
        </w:tc>
      </w:tr>
      <w:tr>
        <w:trPr>
          <w:trHeight w:val="222"/>
        </w:trPr>
        <w:tc>
          <w:tcPr>
            <w:tcW w:w="5640" w:type="dxa"/>
            <w:vAlign w:val="bottom"/>
          </w:tcPr>
          <w:p>
            <w:pPr>
              <w:spacing w:after="0"/>
              <w:rPr>
                <w:sz w:val="19"/>
                <w:szCs w:val="19"/>
                <w:color w:val="auto"/>
              </w:rPr>
            </w:pPr>
          </w:p>
        </w:tc>
        <w:tc>
          <w:tcPr>
            <w:tcW w:w="5600" w:type="dxa"/>
            <w:vAlign w:val="bottom"/>
          </w:tcPr>
          <w:p>
            <w:pPr>
              <w:jc w:val="center"/>
              <w:ind w:left="32"/>
              <w:spacing w:after="0"/>
              <w:rPr>
                <w:sz w:val="20"/>
                <w:szCs w:val="20"/>
                <w:color w:val="auto"/>
              </w:rPr>
            </w:pPr>
            <w:r>
              <w:rPr>
                <w:rFonts w:ascii="Arial" w:cs="Arial" w:eastAsia="Arial" w:hAnsi="Arial"/>
                <w:sz w:val="18"/>
                <w:szCs w:val="18"/>
                <w:color w:val="auto"/>
                <w:w w:val="90"/>
              </w:rPr>
              <w:t>Chief Financial Officer &amp; Treasurer</w:t>
            </w: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2020-05-05T15:07:36Z</dcterms:created>
  <dcterms:modified xsi:type="dcterms:W3CDTF">2020-05-05T15:07:36Z</dcterms:modified>
</cp:coreProperties>
</file>